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B09" w:rsidRPr="00920D27" w:rsidRDefault="00427B09" w:rsidP="00427B09">
      <w:pPr>
        <w:autoSpaceDE w:val="0"/>
        <w:autoSpaceDN w:val="0"/>
        <w:adjustRightInd w:val="0"/>
        <w:rPr>
          <w:rFonts w:ascii="Times New Roman" w:hAnsi="Times New Roman" w:cs="Times New Roman"/>
          <w:sz w:val="24"/>
          <w:szCs w:val="24"/>
        </w:rPr>
      </w:pPr>
      <w:r w:rsidRPr="00920D27">
        <w:rPr>
          <w:rFonts w:ascii="Times New Roman" w:hAnsi="Times New Roman" w:cs="Times New Roman"/>
          <w:sz w:val="24"/>
          <w:szCs w:val="24"/>
        </w:rPr>
        <w:t>Marcin Niemczyk</w:t>
      </w:r>
    </w:p>
    <w:p w:rsidR="00427B09" w:rsidRDefault="00427B09" w:rsidP="00427B09">
      <w:pPr>
        <w:autoSpaceDE w:val="0"/>
        <w:autoSpaceDN w:val="0"/>
        <w:adjustRightInd w:val="0"/>
        <w:rPr>
          <w:rFonts w:ascii="Times New Roman" w:hAnsi="Times New Roman" w:cs="Times New Roman"/>
          <w:sz w:val="24"/>
          <w:szCs w:val="24"/>
        </w:rPr>
      </w:pPr>
      <w:r w:rsidRPr="00920D27">
        <w:rPr>
          <w:rFonts w:ascii="Times New Roman" w:hAnsi="Times New Roman" w:cs="Times New Roman"/>
          <w:sz w:val="24"/>
          <w:szCs w:val="24"/>
        </w:rPr>
        <w:t>Uniwersytet Rzeszowski</w:t>
      </w:r>
    </w:p>
    <w:p w:rsidR="00920D27" w:rsidRPr="00920D27" w:rsidRDefault="00920D27" w:rsidP="00427B09">
      <w:pPr>
        <w:autoSpaceDE w:val="0"/>
        <w:autoSpaceDN w:val="0"/>
        <w:adjustRightInd w:val="0"/>
        <w:rPr>
          <w:rFonts w:ascii="Times New Roman" w:hAnsi="Times New Roman" w:cs="Times New Roman"/>
          <w:sz w:val="24"/>
          <w:szCs w:val="24"/>
        </w:rPr>
      </w:pPr>
    </w:p>
    <w:p w:rsidR="00427B09" w:rsidRPr="00920D27" w:rsidRDefault="00427B09" w:rsidP="00427B09">
      <w:pPr>
        <w:autoSpaceDE w:val="0"/>
        <w:autoSpaceDN w:val="0"/>
        <w:adjustRightInd w:val="0"/>
        <w:jc w:val="center"/>
        <w:rPr>
          <w:rFonts w:ascii="Times New Roman" w:hAnsi="Times New Roman" w:cs="Times New Roman"/>
          <w:b/>
          <w:i/>
          <w:sz w:val="24"/>
          <w:szCs w:val="24"/>
        </w:rPr>
      </w:pPr>
      <w:r w:rsidRPr="00920D27">
        <w:rPr>
          <w:rFonts w:ascii="Times New Roman" w:hAnsi="Times New Roman" w:cs="Times New Roman"/>
          <w:b/>
          <w:i/>
          <w:sz w:val="24"/>
          <w:szCs w:val="24"/>
        </w:rPr>
        <w:t xml:space="preserve">Rola i znaczenie mediów elektronicznych we współczesnej dydaktyce historii doktryn </w:t>
      </w:r>
      <w:r w:rsidR="00920D27">
        <w:rPr>
          <w:rFonts w:ascii="Times New Roman" w:hAnsi="Times New Roman" w:cs="Times New Roman"/>
          <w:b/>
          <w:i/>
          <w:sz w:val="24"/>
          <w:szCs w:val="24"/>
        </w:rPr>
        <w:br/>
      </w:r>
      <w:r w:rsidRPr="00920D27">
        <w:rPr>
          <w:rFonts w:ascii="Times New Roman" w:hAnsi="Times New Roman" w:cs="Times New Roman"/>
          <w:b/>
          <w:i/>
          <w:sz w:val="24"/>
          <w:szCs w:val="24"/>
        </w:rPr>
        <w:t>polityczno-prawnych</w:t>
      </w:r>
    </w:p>
    <w:p w:rsidR="00427B09" w:rsidRDefault="00427B09" w:rsidP="00587076">
      <w:pPr>
        <w:jc w:val="both"/>
        <w:rPr>
          <w:rFonts w:ascii="Times New Roman" w:hAnsi="Times New Roman" w:cs="Times New Roman"/>
          <w:sz w:val="24"/>
          <w:szCs w:val="24"/>
        </w:rPr>
      </w:pPr>
    </w:p>
    <w:p w:rsidR="00920D27" w:rsidRPr="00920D27" w:rsidRDefault="00920D27" w:rsidP="00587076">
      <w:pPr>
        <w:jc w:val="both"/>
        <w:rPr>
          <w:rFonts w:ascii="Times New Roman" w:hAnsi="Times New Roman" w:cs="Times New Roman"/>
          <w:sz w:val="24"/>
          <w:szCs w:val="24"/>
        </w:rPr>
      </w:pPr>
    </w:p>
    <w:p w:rsidR="00427B09" w:rsidRPr="00920D27" w:rsidRDefault="00427B09" w:rsidP="00587076">
      <w:pPr>
        <w:jc w:val="both"/>
        <w:rPr>
          <w:rFonts w:ascii="Times New Roman" w:hAnsi="Times New Roman" w:cs="Times New Roman"/>
          <w:sz w:val="24"/>
          <w:szCs w:val="24"/>
        </w:rPr>
      </w:pPr>
      <w:r w:rsidRPr="00920D27">
        <w:rPr>
          <w:rFonts w:ascii="Times New Roman" w:hAnsi="Times New Roman" w:cs="Times New Roman"/>
          <w:b/>
          <w:sz w:val="24"/>
          <w:szCs w:val="24"/>
        </w:rPr>
        <w:t>STRESZCZENIE</w:t>
      </w:r>
    </w:p>
    <w:p w:rsidR="00427B09" w:rsidRPr="00920D27" w:rsidRDefault="00427B09" w:rsidP="00587076">
      <w:pPr>
        <w:jc w:val="both"/>
        <w:rPr>
          <w:rFonts w:ascii="Times New Roman" w:hAnsi="Times New Roman" w:cs="Times New Roman"/>
          <w:sz w:val="24"/>
          <w:szCs w:val="24"/>
        </w:rPr>
      </w:pPr>
    </w:p>
    <w:p w:rsidR="00587076" w:rsidRPr="00920D27" w:rsidRDefault="00587076" w:rsidP="00790888">
      <w:pPr>
        <w:jc w:val="both"/>
        <w:rPr>
          <w:rFonts w:ascii="Times New Roman" w:hAnsi="Times New Roman" w:cs="Times New Roman"/>
          <w:sz w:val="24"/>
          <w:szCs w:val="24"/>
        </w:rPr>
      </w:pPr>
      <w:r w:rsidRPr="00920D27">
        <w:rPr>
          <w:rFonts w:ascii="Times New Roman" w:hAnsi="Times New Roman" w:cs="Times New Roman"/>
          <w:sz w:val="24"/>
          <w:szCs w:val="24"/>
        </w:rPr>
        <w:t xml:space="preserve">Współczesne rozwiązania techniczne stwarzają nauczycielom akademickim duże możliwości zwiększenia zainteresowania ofertą dydaktyczną adresowaną do studentów. Dzięki tym narzędziom staje się także możliwe uzyskanie efektu synergii: poprzez atrakcyjność zajęć można stymulować bowiem wzrost efektywności nauczania. Oznacza to także, że przedmioty historyczno-prawne nie są skazane na dydaktyczną monotonię, skutkującą pogłębiającym się brakiem zainteresowania ze strony studentów tego rodzaju dydaktycznymi propozycjami. Wykorzystywanie mediów elektronicznych, we współczesnej dydaktyce historii doktryn polityczno-prawnych, nie może być jednak dyktowane tylko atrakcyjnością tego typu metod i technik kształcenia. Ich podstawową rolą powinno być bowiem zwiększenie skuteczności w uzyskiwaniu zakładanych efektów kształcenia. Celem artykułu jest przedstawienie oraz analiza tych aspektów kształcenia akademickiego, które związane są z wykorzystywaniem w dydaktyce narzędzi jakie pojawiły się wraz z rozwojem mediów elektronicznych. Dla przykładowego zobrazowania przedmiotowych treści, zaprezentowano oraz przeanalizowano także wyniki przeprowadzonych, specjalnie w tym celu, badań ankietowych studentów. Postulowana polimetodyczność w realizacji dydaktyki historii doktryn polityczno-prawnych może stanowić szansę na ponowne ukazanie przydatności przedmiotów historycznych w procesie kształcenia przyszłych prawników. Wystrzegając się traktowania e-learningu jedynie jako sposobu na podniesienie atrakcyjności prowadzonych zajęć, należy traktować go jako mechanizm wspomagający tradycyjny proces kształcenia. Proces, który nadal powinien pozostać oparty na bezpośrednim kontakcie nauczycieli akademickich ze studentami. </w:t>
      </w:r>
    </w:p>
    <w:p w:rsidR="00587076" w:rsidRPr="00920D27" w:rsidRDefault="00587076" w:rsidP="00587076">
      <w:pPr>
        <w:jc w:val="both"/>
        <w:rPr>
          <w:rFonts w:ascii="Times New Roman" w:hAnsi="Times New Roman" w:cs="Times New Roman"/>
          <w:sz w:val="24"/>
          <w:szCs w:val="24"/>
        </w:rPr>
      </w:pPr>
    </w:p>
    <w:p w:rsidR="00587076" w:rsidRPr="00920D27" w:rsidRDefault="00587076" w:rsidP="007935E0">
      <w:pPr>
        <w:jc w:val="both"/>
        <w:rPr>
          <w:rFonts w:ascii="Times New Roman" w:hAnsi="Times New Roman" w:cs="Times New Roman"/>
          <w:sz w:val="24"/>
          <w:szCs w:val="24"/>
        </w:rPr>
      </w:pPr>
      <w:r w:rsidRPr="00920D27">
        <w:rPr>
          <w:rFonts w:ascii="Times New Roman" w:hAnsi="Times New Roman" w:cs="Times New Roman"/>
          <w:sz w:val="24"/>
          <w:szCs w:val="24"/>
        </w:rPr>
        <w:t>Słowa kluczowe: historia doktryn polityczno-prawnych, dydaktyka, e-learning, efekty kształcenia, media elektroniczne</w:t>
      </w:r>
    </w:p>
    <w:p w:rsidR="006315FA" w:rsidRDefault="006315FA" w:rsidP="007935E0">
      <w:pPr>
        <w:jc w:val="both"/>
        <w:rPr>
          <w:rFonts w:ascii="Times New Roman" w:hAnsi="Times New Roman" w:cs="Times New Roman"/>
          <w:sz w:val="24"/>
          <w:szCs w:val="24"/>
        </w:rPr>
      </w:pPr>
    </w:p>
    <w:p w:rsidR="000226B7" w:rsidRDefault="000226B7" w:rsidP="007935E0">
      <w:pPr>
        <w:jc w:val="both"/>
        <w:rPr>
          <w:rFonts w:ascii="Times New Roman" w:hAnsi="Times New Roman" w:cs="Times New Roman"/>
          <w:sz w:val="24"/>
          <w:szCs w:val="24"/>
        </w:rPr>
      </w:pPr>
    </w:p>
    <w:p w:rsidR="000226B7" w:rsidRDefault="000226B7" w:rsidP="007935E0">
      <w:pPr>
        <w:jc w:val="both"/>
        <w:rPr>
          <w:rFonts w:ascii="Times New Roman" w:hAnsi="Times New Roman" w:cs="Times New Roman"/>
          <w:sz w:val="24"/>
          <w:szCs w:val="24"/>
        </w:rPr>
      </w:pPr>
    </w:p>
    <w:p w:rsidR="000226B7" w:rsidRDefault="000226B7" w:rsidP="007935E0">
      <w:pPr>
        <w:jc w:val="both"/>
        <w:rPr>
          <w:rFonts w:ascii="Times New Roman" w:hAnsi="Times New Roman" w:cs="Times New Roman"/>
          <w:sz w:val="24"/>
          <w:szCs w:val="24"/>
        </w:rPr>
      </w:pPr>
    </w:p>
    <w:p w:rsidR="000226B7" w:rsidRDefault="000226B7" w:rsidP="007935E0">
      <w:pPr>
        <w:jc w:val="both"/>
        <w:rPr>
          <w:rFonts w:ascii="Times New Roman" w:hAnsi="Times New Roman" w:cs="Times New Roman"/>
          <w:sz w:val="24"/>
          <w:szCs w:val="24"/>
        </w:rPr>
      </w:pPr>
      <w:bookmarkStart w:id="0" w:name="_GoBack"/>
      <w:bookmarkEnd w:id="0"/>
    </w:p>
    <w:p w:rsidR="008E3C6A" w:rsidRPr="006315FA" w:rsidRDefault="008E3C6A" w:rsidP="006315FA">
      <w:pPr>
        <w:jc w:val="center"/>
        <w:rPr>
          <w:rFonts w:ascii="Times New Roman" w:hAnsi="Times New Roman" w:cs="Times New Roman"/>
          <w:b/>
          <w:i/>
          <w:sz w:val="24"/>
          <w:szCs w:val="24"/>
        </w:rPr>
      </w:pPr>
      <w:r w:rsidRPr="006315FA">
        <w:rPr>
          <w:rFonts w:ascii="Times New Roman" w:hAnsi="Times New Roman" w:cs="Times New Roman"/>
          <w:b/>
          <w:i/>
          <w:sz w:val="24"/>
          <w:szCs w:val="24"/>
        </w:rPr>
        <w:lastRenderedPageBreak/>
        <w:t xml:space="preserve">The </w:t>
      </w:r>
      <w:r w:rsidR="001901D6" w:rsidRPr="006315FA">
        <w:rPr>
          <w:rFonts w:ascii="Times New Roman" w:hAnsi="Times New Roman" w:cs="Times New Roman"/>
          <w:b/>
          <w:i/>
          <w:sz w:val="24"/>
          <w:szCs w:val="24"/>
        </w:rPr>
        <w:t>meaning</w:t>
      </w:r>
      <w:r w:rsidRPr="006315FA">
        <w:rPr>
          <w:rFonts w:ascii="Times New Roman" w:hAnsi="Times New Roman" w:cs="Times New Roman"/>
          <w:b/>
          <w:i/>
          <w:sz w:val="24"/>
          <w:szCs w:val="24"/>
        </w:rPr>
        <w:t xml:space="preserve"> and the significance of electronic media in the contemporary didactics of the history of </w:t>
      </w:r>
      <w:r w:rsidR="00371CFA" w:rsidRPr="006315FA">
        <w:rPr>
          <w:rFonts w:ascii="Times New Roman" w:hAnsi="Times New Roman" w:cs="Times New Roman"/>
          <w:b/>
          <w:i/>
          <w:sz w:val="24"/>
          <w:szCs w:val="24"/>
          <w:lang w:val="en-GB"/>
        </w:rPr>
        <w:t>political-legal doctrines</w:t>
      </w:r>
    </w:p>
    <w:p w:rsidR="008E3C6A" w:rsidRPr="00920D27" w:rsidRDefault="00233327" w:rsidP="007935E0">
      <w:pPr>
        <w:jc w:val="both"/>
        <w:rPr>
          <w:rFonts w:ascii="Times New Roman" w:hAnsi="Times New Roman" w:cs="Times New Roman"/>
          <w:sz w:val="24"/>
          <w:szCs w:val="24"/>
        </w:rPr>
      </w:pPr>
      <w:r>
        <w:rPr>
          <w:rFonts w:ascii="Times New Roman" w:hAnsi="Times New Roman" w:cs="Times New Roman"/>
          <w:sz w:val="24"/>
          <w:szCs w:val="24"/>
        </w:rPr>
        <w:t xml:space="preserve"> </w:t>
      </w:r>
    </w:p>
    <w:p w:rsidR="00790888" w:rsidRPr="00920D27" w:rsidRDefault="00790888" w:rsidP="009E7E59">
      <w:pPr>
        <w:jc w:val="both"/>
        <w:rPr>
          <w:rFonts w:ascii="Times New Roman" w:hAnsi="Times New Roman" w:cs="Times New Roman"/>
          <w:b/>
          <w:sz w:val="24"/>
          <w:szCs w:val="24"/>
          <w:lang w:val="en-GB"/>
        </w:rPr>
      </w:pPr>
      <w:r w:rsidRPr="00920D27">
        <w:rPr>
          <w:rFonts w:ascii="Times New Roman" w:hAnsi="Times New Roman" w:cs="Times New Roman"/>
          <w:b/>
          <w:sz w:val="24"/>
          <w:szCs w:val="24"/>
          <w:lang w:val="en-GB"/>
        </w:rPr>
        <w:t>SUMMARY</w:t>
      </w:r>
    </w:p>
    <w:p w:rsidR="009E7E59" w:rsidRPr="00920D27" w:rsidRDefault="009E7E59" w:rsidP="009E7E59">
      <w:pPr>
        <w:jc w:val="both"/>
        <w:rPr>
          <w:rFonts w:ascii="Times New Roman" w:hAnsi="Times New Roman" w:cs="Times New Roman"/>
          <w:sz w:val="24"/>
          <w:szCs w:val="24"/>
          <w:lang w:val="en-GB"/>
        </w:rPr>
      </w:pPr>
      <w:r w:rsidRPr="00920D27">
        <w:rPr>
          <w:rFonts w:ascii="Times New Roman" w:hAnsi="Times New Roman" w:cs="Times New Roman"/>
          <w:sz w:val="24"/>
          <w:szCs w:val="24"/>
          <w:lang w:val="en-GB"/>
        </w:rPr>
        <w:t xml:space="preserve">Contemporary technological solutions create the academic teachers many possibilities to increase the interest of didactic offer addressed to students. Thanks to those tools it is possible to achieve the effect of synergy: through the attractiveness of the classes one can stimulate the increase of the effectiveness of teaching. It also means that history-legal academic subjects are not doomed to didactical monotony, resulting in the decrease of the interest of students with those kinds of didactic propositions. However, the use of the electronic media in the contemporary teaching of the history of political-legal doctrines, cannot be dictated only by the attractiveness of those type of methods and teaching techniques. For their main role should be the growth of the effectiveness of achieving the assumed teaching effects. The aim of this article is to present and analyse those aspects of university teaching which are closely connected with the use in didactics of the tools that originated along with the development of electronic media. As an example of the content of this article, there are presentations and analysis of the surveys carried out especially to that matter. Postulated polimethodology in the realisation of the teaching of the history of political-legal doctrines may create a chance to once again present the usefulness of history subjects in the process of the teaching of future lawyers. To avoid treating e-learning only as a way to increase the attractiveness of the classes, one should treat it as a backup mechanism in traditional teaching process. A process which should still be based on direct contact between the university teachers and the students. </w:t>
      </w:r>
    </w:p>
    <w:p w:rsidR="00882438" w:rsidRPr="00920D27" w:rsidRDefault="00AA7D1D" w:rsidP="007935E0">
      <w:pPr>
        <w:jc w:val="both"/>
        <w:rPr>
          <w:rFonts w:ascii="Times New Roman" w:hAnsi="Times New Roman" w:cs="Times New Roman"/>
          <w:sz w:val="24"/>
          <w:szCs w:val="24"/>
          <w:lang w:val="en-GB"/>
        </w:rPr>
      </w:pPr>
      <w:r w:rsidRPr="00920D27">
        <w:rPr>
          <w:rFonts w:ascii="Times New Roman" w:hAnsi="Times New Roman" w:cs="Times New Roman"/>
          <w:sz w:val="24"/>
          <w:szCs w:val="24"/>
          <w:lang w:val="en-GB"/>
        </w:rPr>
        <w:t xml:space="preserve"> </w:t>
      </w:r>
    </w:p>
    <w:p w:rsidR="00722464" w:rsidRPr="00920D27" w:rsidRDefault="00882438" w:rsidP="007935E0">
      <w:pPr>
        <w:jc w:val="both"/>
        <w:rPr>
          <w:rFonts w:ascii="Times New Roman" w:hAnsi="Times New Roman" w:cs="Times New Roman"/>
          <w:sz w:val="24"/>
          <w:szCs w:val="24"/>
          <w:lang w:val="en-GB"/>
        </w:rPr>
      </w:pPr>
      <w:r w:rsidRPr="00920D27">
        <w:rPr>
          <w:rFonts w:ascii="Times New Roman" w:hAnsi="Times New Roman" w:cs="Times New Roman"/>
          <w:sz w:val="24"/>
          <w:szCs w:val="24"/>
          <w:lang w:val="en-GB"/>
        </w:rPr>
        <w:t>Key words: history of political-legal doctrines, didactics, e-learning, teaching effects, electronic media</w:t>
      </w:r>
      <w:r w:rsidR="00AC4057" w:rsidRPr="00920D27">
        <w:rPr>
          <w:rFonts w:ascii="Times New Roman" w:hAnsi="Times New Roman" w:cs="Times New Roman"/>
          <w:sz w:val="24"/>
          <w:szCs w:val="24"/>
          <w:lang w:val="en-GB"/>
        </w:rPr>
        <w:t xml:space="preserve">   </w:t>
      </w:r>
      <w:r w:rsidR="00F875B6" w:rsidRPr="00920D27">
        <w:rPr>
          <w:rFonts w:ascii="Times New Roman" w:hAnsi="Times New Roman" w:cs="Times New Roman"/>
          <w:sz w:val="24"/>
          <w:szCs w:val="24"/>
          <w:lang w:val="en-GB"/>
        </w:rPr>
        <w:t xml:space="preserve"> </w:t>
      </w:r>
    </w:p>
    <w:sectPr w:rsidR="00722464" w:rsidRPr="00920D27" w:rsidSect="00920D27">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1D"/>
    <w:rsid w:val="000226B7"/>
    <w:rsid w:val="000254B8"/>
    <w:rsid w:val="00095D99"/>
    <w:rsid w:val="0012221B"/>
    <w:rsid w:val="0012226B"/>
    <w:rsid w:val="001901D6"/>
    <w:rsid w:val="00233327"/>
    <w:rsid w:val="00371CFA"/>
    <w:rsid w:val="003B1D1D"/>
    <w:rsid w:val="00427B09"/>
    <w:rsid w:val="004603D4"/>
    <w:rsid w:val="00487B9E"/>
    <w:rsid w:val="004E08D1"/>
    <w:rsid w:val="00516D1A"/>
    <w:rsid w:val="00587076"/>
    <w:rsid w:val="005E6850"/>
    <w:rsid w:val="006315FA"/>
    <w:rsid w:val="00722464"/>
    <w:rsid w:val="00790888"/>
    <w:rsid w:val="007935E0"/>
    <w:rsid w:val="00882438"/>
    <w:rsid w:val="008E3C6A"/>
    <w:rsid w:val="00920D27"/>
    <w:rsid w:val="009E7E59"/>
    <w:rsid w:val="00A4619C"/>
    <w:rsid w:val="00AA7D1D"/>
    <w:rsid w:val="00AC4057"/>
    <w:rsid w:val="00AE26D7"/>
    <w:rsid w:val="00B01572"/>
    <w:rsid w:val="00B01CDB"/>
    <w:rsid w:val="00D96BBA"/>
    <w:rsid w:val="00DA43B9"/>
    <w:rsid w:val="00E43D92"/>
    <w:rsid w:val="00F875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1D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1D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68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563</Words>
  <Characters>3382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dc:creator>
  <cp:lastModifiedBy>XY</cp:lastModifiedBy>
  <cp:revision>11</cp:revision>
  <cp:lastPrinted>2016-01-31T10:11:00Z</cp:lastPrinted>
  <dcterms:created xsi:type="dcterms:W3CDTF">2016-01-31T16:37:00Z</dcterms:created>
  <dcterms:modified xsi:type="dcterms:W3CDTF">2016-02-17T21:44:00Z</dcterms:modified>
</cp:coreProperties>
</file>