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633" w:rsidRDefault="00CB1633" w:rsidP="00DE09AA">
      <w:pPr>
        <w:jc w:val="both"/>
        <w:rPr>
          <w:rFonts w:ascii="Times New Roman" w:hAnsi="Times New Roman" w:cs="Times New Roman"/>
          <w:sz w:val="24"/>
        </w:rPr>
      </w:pPr>
    </w:p>
    <w:p w:rsidR="007A5AF3" w:rsidRPr="007A5AF3" w:rsidRDefault="007A5AF3" w:rsidP="00291D67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5AF3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General Clauses in Unfair Competition Law</w:t>
      </w:r>
    </w:p>
    <w:p w:rsidR="007A5AF3" w:rsidRPr="007A5AF3" w:rsidRDefault="007A5AF3" w:rsidP="00291D67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Summary </w:t>
      </w:r>
    </w:p>
    <w:p w:rsidR="00BC3401" w:rsidRDefault="007A5AF3" w:rsidP="001C4003">
      <w:p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DB18DD" w:rsidRPr="00DB18DD" w:rsidRDefault="007A5AF3" w:rsidP="00BC340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7A5AF3">
        <w:rPr>
          <w:rFonts w:ascii="Times New Roman" w:hAnsi="Times New Roman" w:cs="Times New Roman"/>
          <w:sz w:val="24"/>
          <w:lang w:val="en-US"/>
        </w:rPr>
        <w:t xml:space="preserve">General clauses in the law of unfair competition are the subject of this article. </w:t>
      </w:r>
      <w:r>
        <w:rPr>
          <w:rFonts w:ascii="Times New Roman" w:hAnsi="Times New Roman" w:cs="Times New Roman"/>
          <w:sz w:val="24"/>
          <w:lang w:val="en-US"/>
        </w:rPr>
        <w:t xml:space="preserve">The Author </w:t>
      </w:r>
      <w:r w:rsidR="00320568">
        <w:rPr>
          <w:rFonts w:ascii="Times New Roman" w:hAnsi="Times New Roman" w:cs="Times New Roman"/>
          <w:sz w:val="24"/>
          <w:lang w:val="en-US"/>
        </w:rPr>
        <w:t xml:space="preserve">acknowledges </w:t>
      </w:r>
      <w:r>
        <w:rPr>
          <w:rFonts w:ascii="Times New Roman" w:hAnsi="Times New Roman" w:cs="Times New Roman"/>
          <w:sz w:val="24"/>
          <w:lang w:val="en-US"/>
        </w:rPr>
        <w:t xml:space="preserve">that a general clause could by understood in two ways. </w:t>
      </w:r>
      <w:r w:rsidR="00320568">
        <w:rPr>
          <w:rFonts w:ascii="Times New Roman" w:hAnsi="Times New Roman" w:cs="Times New Roman"/>
          <w:sz w:val="24"/>
          <w:lang w:val="en-US"/>
        </w:rPr>
        <w:t xml:space="preserve">First of all, </w:t>
      </w:r>
      <w:r w:rsidR="00320568" w:rsidRPr="00320568">
        <w:rPr>
          <w:rFonts w:ascii="Times New Roman" w:hAnsi="Times New Roman" w:cs="Times New Roman"/>
          <w:sz w:val="24"/>
          <w:lang w:val="en-US"/>
        </w:rPr>
        <w:t>as a norm resulting from a provision</w:t>
      </w:r>
      <w:r w:rsidR="00320568">
        <w:rPr>
          <w:rFonts w:ascii="Times New Roman" w:hAnsi="Times New Roman" w:cs="Times New Roman"/>
          <w:sz w:val="24"/>
          <w:lang w:val="en-US"/>
        </w:rPr>
        <w:t xml:space="preserve">, which </w:t>
      </w:r>
      <w:r w:rsidR="00320568" w:rsidRPr="00320568">
        <w:rPr>
          <w:rFonts w:ascii="Times New Roman" w:hAnsi="Times New Roman" w:cs="Times New Roman"/>
          <w:sz w:val="24"/>
          <w:lang w:val="en-US"/>
        </w:rPr>
        <w:t>authoriz</w:t>
      </w:r>
      <w:r w:rsidR="00320568">
        <w:rPr>
          <w:rFonts w:ascii="Times New Roman" w:hAnsi="Times New Roman" w:cs="Times New Roman"/>
          <w:sz w:val="24"/>
          <w:lang w:val="en-US"/>
        </w:rPr>
        <w:t xml:space="preserve">es an </w:t>
      </w:r>
      <w:r w:rsidR="00320568" w:rsidRPr="00320568">
        <w:rPr>
          <w:rFonts w:ascii="Times New Roman" w:hAnsi="Times New Roman" w:cs="Times New Roman"/>
          <w:sz w:val="24"/>
          <w:lang w:val="en-US"/>
        </w:rPr>
        <w:t xml:space="preserve">entity applying </w:t>
      </w:r>
      <w:r w:rsidR="00320568">
        <w:rPr>
          <w:rFonts w:ascii="Times New Roman" w:hAnsi="Times New Roman" w:cs="Times New Roman"/>
          <w:sz w:val="24"/>
          <w:lang w:val="en-US"/>
        </w:rPr>
        <w:t xml:space="preserve">the </w:t>
      </w:r>
      <w:r w:rsidR="00320568" w:rsidRPr="00320568">
        <w:rPr>
          <w:rFonts w:ascii="Times New Roman" w:hAnsi="Times New Roman" w:cs="Times New Roman"/>
          <w:sz w:val="24"/>
          <w:lang w:val="en-US"/>
        </w:rPr>
        <w:t xml:space="preserve">law to base its decision on </w:t>
      </w:r>
      <w:r w:rsidR="00320568">
        <w:rPr>
          <w:rFonts w:ascii="Times New Roman" w:hAnsi="Times New Roman" w:cs="Times New Roman"/>
          <w:sz w:val="24"/>
          <w:lang w:val="en-US"/>
        </w:rPr>
        <w:t xml:space="preserve">a non-legal </w:t>
      </w:r>
      <w:r w:rsidR="00320568" w:rsidRPr="00320568">
        <w:rPr>
          <w:rFonts w:ascii="Times New Roman" w:hAnsi="Times New Roman" w:cs="Times New Roman"/>
          <w:sz w:val="24"/>
          <w:lang w:val="en-US"/>
        </w:rPr>
        <w:t>criterion.</w:t>
      </w:r>
      <w:r w:rsidR="00320568">
        <w:rPr>
          <w:rFonts w:ascii="Times New Roman" w:hAnsi="Times New Roman" w:cs="Times New Roman"/>
          <w:sz w:val="24"/>
          <w:lang w:val="en-US"/>
        </w:rPr>
        <w:t xml:space="preserve"> Second of all, </w:t>
      </w:r>
      <w:r w:rsidR="00DB18DD">
        <w:rPr>
          <w:rFonts w:ascii="Times New Roman" w:hAnsi="Times New Roman" w:cs="Times New Roman"/>
          <w:sz w:val="24"/>
          <w:lang w:val="en-US"/>
        </w:rPr>
        <w:t xml:space="preserve">a term not precisely formulated. The necessity for general clauses in unfair competition law </w:t>
      </w:r>
      <w:r w:rsidR="006A31CC">
        <w:rPr>
          <w:rFonts w:ascii="Times New Roman" w:hAnsi="Times New Roman" w:cs="Times New Roman"/>
          <w:sz w:val="24"/>
          <w:lang w:val="en-US"/>
        </w:rPr>
        <w:t xml:space="preserve">is caused by the impossibility to </w:t>
      </w:r>
      <w:r w:rsidR="00DB18DD" w:rsidRPr="00DB18DD">
        <w:rPr>
          <w:rFonts w:ascii="Times New Roman" w:hAnsi="Times New Roman" w:cs="Times New Roman"/>
          <w:sz w:val="24"/>
          <w:lang w:val="en-US"/>
        </w:rPr>
        <w:t xml:space="preserve">accurately determine all possible forms of unfair </w:t>
      </w:r>
      <w:r w:rsidR="00EF11DA">
        <w:rPr>
          <w:rFonts w:ascii="Times New Roman" w:hAnsi="Times New Roman" w:cs="Times New Roman"/>
          <w:sz w:val="24"/>
          <w:lang w:val="en-US"/>
        </w:rPr>
        <w:t>practices of</w:t>
      </w:r>
      <w:r w:rsidR="00BC3401">
        <w:rPr>
          <w:rFonts w:ascii="Times New Roman" w:hAnsi="Times New Roman" w:cs="Times New Roman"/>
          <w:sz w:val="24"/>
          <w:lang w:val="en-US"/>
        </w:rPr>
        <w:t xml:space="preserve"> those</w:t>
      </w:r>
      <w:r w:rsidR="00EF11DA">
        <w:rPr>
          <w:rFonts w:ascii="Times New Roman" w:hAnsi="Times New Roman" w:cs="Times New Roman"/>
          <w:sz w:val="24"/>
          <w:lang w:val="en-US"/>
        </w:rPr>
        <w:t xml:space="preserve"> entities on the market, whose goal is to acquire consumers for their g</w:t>
      </w:r>
      <w:r w:rsidR="00DB18DD" w:rsidRPr="00DB18DD">
        <w:rPr>
          <w:rFonts w:ascii="Times New Roman" w:hAnsi="Times New Roman" w:cs="Times New Roman"/>
          <w:sz w:val="24"/>
          <w:lang w:val="en-US"/>
        </w:rPr>
        <w:t>oods (services).</w:t>
      </w:r>
    </w:p>
    <w:p w:rsidR="00860D5C" w:rsidRPr="00940547" w:rsidRDefault="00EF11DA" w:rsidP="001C400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EF11DA">
        <w:rPr>
          <w:rFonts w:ascii="Times New Roman" w:hAnsi="Times New Roman" w:cs="Times New Roman"/>
          <w:sz w:val="24"/>
          <w:lang w:val="en-US"/>
        </w:rPr>
        <w:t>Three unfair competition law systems can be recognized amon</w:t>
      </w:r>
      <w:r w:rsidR="00940547">
        <w:rPr>
          <w:rFonts w:ascii="Times New Roman" w:hAnsi="Times New Roman" w:cs="Times New Roman"/>
          <w:sz w:val="24"/>
          <w:lang w:val="en-US"/>
        </w:rPr>
        <w:t>g</w:t>
      </w:r>
      <w:r w:rsidRPr="00EF11DA">
        <w:rPr>
          <w:rFonts w:ascii="Times New Roman" w:hAnsi="Times New Roman" w:cs="Times New Roman"/>
          <w:sz w:val="24"/>
          <w:lang w:val="en-US"/>
        </w:rPr>
        <w:t xml:space="preserve"> the EU member states: </w:t>
      </w:r>
      <w:r>
        <w:rPr>
          <w:rFonts w:ascii="Times New Roman" w:hAnsi="Times New Roman" w:cs="Times New Roman"/>
          <w:sz w:val="24"/>
          <w:lang w:val="en-US"/>
        </w:rPr>
        <w:t>the common law system, the French</w:t>
      </w:r>
      <w:r w:rsidRPr="00EF11DA">
        <w:rPr>
          <w:rFonts w:ascii="Times New Roman" w:hAnsi="Times New Roman" w:cs="Times New Roman"/>
          <w:sz w:val="24"/>
          <w:lang w:val="en-US"/>
        </w:rPr>
        <w:t xml:space="preserve"> system and the German</w:t>
      </w:r>
      <w:r>
        <w:rPr>
          <w:rFonts w:ascii="Times New Roman" w:hAnsi="Times New Roman" w:cs="Times New Roman"/>
          <w:sz w:val="24"/>
          <w:lang w:val="en-US"/>
        </w:rPr>
        <w:t>ic</w:t>
      </w:r>
      <w:r w:rsidRPr="00EF11DA">
        <w:rPr>
          <w:rFonts w:ascii="Times New Roman" w:hAnsi="Times New Roman" w:cs="Times New Roman"/>
          <w:sz w:val="24"/>
          <w:lang w:val="en-US"/>
        </w:rPr>
        <w:t xml:space="preserve"> system. </w:t>
      </w:r>
      <w:r w:rsidR="00940547">
        <w:rPr>
          <w:rFonts w:ascii="Times New Roman" w:hAnsi="Times New Roman" w:cs="Times New Roman"/>
          <w:sz w:val="24"/>
          <w:lang w:val="en-US"/>
        </w:rPr>
        <w:t>The common law systems lacks a general clause and it, generally speaking, constitutes of many sanctions, which arise from court judgments based on e</w:t>
      </w:r>
      <w:r w:rsidR="00291D67" w:rsidRPr="00940547">
        <w:rPr>
          <w:rFonts w:ascii="Times New Roman" w:hAnsi="Times New Roman" w:cs="Times New Roman"/>
          <w:sz w:val="24"/>
          <w:lang w:val="en-US"/>
        </w:rPr>
        <w:t>quity law.</w:t>
      </w:r>
      <w:r w:rsidR="00940547">
        <w:rPr>
          <w:rFonts w:ascii="Times New Roman" w:hAnsi="Times New Roman" w:cs="Times New Roman"/>
          <w:sz w:val="24"/>
          <w:lang w:val="en-US"/>
        </w:rPr>
        <w:t xml:space="preserve"> The general clause, i</w:t>
      </w:r>
      <w:r w:rsidR="00940547" w:rsidRPr="00940547">
        <w:rPr>
          <w:rFonts w:ascii="Times New Roman" w:hAnsi="Times New Roman" w:cs="Times New Roman"/>
          <w:sz w:val="24"/>
          <w:lang w:val="en-US"/>
        </w:rPr>
        <w:t xml:space="preserve">n the French system, arises from Article </w:t>
      </w:r>
      <w:r w:rsidR="00291D67" w:rsidRPr="00940547">
        <w:rPr>
          <w:rFonts w:ascii="Times New Roman" w:hAnsi="Times New Roman" w:cs="Times New Roman"/>
          <w:sz w:val="24"/>
          <w:lang w:val="en-US"/>
        </w:rPr>
        <w:t xml:space="preserve">1382 </w:t>
      </w:r>
      <w:r w:rsidR="00940547" w:rsidRPr="00940547">
        <w:rPr>
          <w:rFonts w:ascii="Times New Roman" w:hAnsi="Times New Roman" w:cs="Times New Roman"/>
          <w:sz w:val="24"/>
          <w:lang w:val="en-US"/>
        </w:rPr>
        <w:t xml:space="preserve">and </w:t>
      </w:r>
      <w:r w:rsidR="00291D67" w:rsidRPr="00940547">
        <w:rPr>
          <w:rFonts w:ascii="Times New Roman" w:hAnsi="Times New Roman" w:cs="Times New Roman"/>
          <w:sz w:val="24"/>
          <w:lang w:val="en-US"/>
        </w:rPr>
        <w:t xml:space="preserve">1383 </w:t>
      </w:r>
      <w:r w:rsidR="00940547" w:rsidRPr="00940547">
        <w:rPr>
          <w:rFonts w:ascii="Times New Roman" w:hAnsi="Times New Roman" w:cs="Times New Roman"/>
          <w:sz w:val="24"/>
          <w:lang w:val="en-US"/>
        </w:rPr>
        <w:t>of the Napoleonic Civil Code. Based on those provisions, the French courts over the past centuries</w:t>
      </w:r>
      <w:r w:rsidR="00940547">
        <w:rPr>
          <w:rFonts w:ascii="Times New Roman" w:hAnsi="Times New Roman" w:cs="Times New Roman"/>
          <w:sz w:val="24"/>
          <w:lang w:val="en-US"/>
        </w:rPr>
        <w:t>,</w:t>
      </w:r>
      <w:r w:rsidR="00940547" w:rsidRPr="00940547">
        <w:rPr>
          <w:rFonts w:ascii="Times New Roman" w:hAnsi="Times New Roman" w:cs="Times New Roman"/>
          <w:sz w:val="24"/>
          <w:lang w:val="en-US"/>
        </w:rPr>
        <w:t xml:space="preserve"> have developed a system of restrictions with regard to </w:t>
      </w:r>
      <w:r w:rsidR="00940547">
        <w:rPr>
          <w:rFonts w:ascii="Times New Roman" w:hAnsi="Times New Roman" w:cs="Times New Roman"/>
          <w:sz w:val="24"/>
          <w:lang w:val="en-US"/>
        </w:rPr>
        <w:t xml:space="preserve">business practices on the market. </w:t>
      </w:r>
      <w:r w:rsidR="00940547" w:rsidRPr="00940547">
        <w:rPr>
          <w:rFonts w:ascii="Times New Roman" w:hAnsi="Times New Roman" w:cs="Times New Roman"/>
          <w:sz w:val="24"/>
          <w:lang w:val="en-US"/>
        </w:rPr>
        <w:t xml:space="preserve">In the Germanic system there is a general clause and an unfair competition law act which </w:t>
      </w:r>
      <w:r w:rsidR="003970D9">
        <w:rPr>
          <w:rFonts w:ascii="Times New Roman" w:hAnsi="Times New Roman" w:cs="Times New Roman"/>
          <w:sz w:val="24"/>
          <w:lang w:val="en-US"/>
        </w:rPr>
        <w:t xml:space="preserve">includes many defined acts of unfair competition. </w:t>
      </w:r>
    </w:p>
    <w:p w:rsidR="009B4EDC" w:rsidRDefault="009B4EDC" w:rsidP="001C400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9B4EDC">
        <w:rPr>
          <w:rFonts w:ascii="Times New Roman" w:hAnsi="Times New Roman" w:cs="Times New Roman"/>
          <w:sz w:val="24"/>
          <w:lang w:val="en-US"/>
        </w:rPr>
        <w:t xml:space="preserve">The Unfair Commercial Practices Directive no. 2005/29 </w:t>
      </w:r>
      <w:r>
        <w:rPr>
          <w:rFonts w:ascii="Times New Roman" w:hAnsi="Times New Roman" w:cs="Times New Roman"/>
          <w:sz w:val="24"/>
          <w:lang w:val="en-US"/>
        </w:rPr>
        <w:t>is the basic act of EU law in the area of unfair competition. The Directive is with regard to business-to-consumer relations. Business-to-business relations are outside</w:t>
      </w:r>
      <w:r w:rsidR="00BC3401">
        <w:rPr>
          <w:rFonts w:ascii="Times New Roman" w:hAnsi="Times New Roman" w:cs="Times New Roman"/>
          <w:sz w:val="24"/>
          <w:lang w:val="en-US"/>
        </w:rPr>
        <w:t xml:space="preserve"> of</w:t>
      </w:r>
      <w:r>
        <w:rPr>
          <w:rFonts w:ascii="Times New Roman" w:hAnsi="Times New Roman" w:cs="Times New Roman"/>
          <w:sz w:val="24"/>
          <w:lang w:val="en-US"/>
        </w:rPr>
        <w:t xml:space="preserve"> the realms of this directive. Article 5 (1) which encompasses a general clause is of essential importance. In accordance with that Article a commercial practice shall be unfair if: a) </w:t>
      </w:r>
      <w:r w:rsidRPr="009B4EDC">
        <w:rPr>
          <w:rFonts w:ascii="inherit" w:eastAsia="Times New Roman" w:hAnsi="inherit" w:cs="Times New Roman"/>
          <w:sz w:val="24"/>
          <w:szCs w:val="24"/>
          <w:lang w:val="en-US" w:eastAsia="pl-PL"/>
        </w:rPr>
        <w:t>it is contrary to the requirements of professional diligence</w:t>
      </w:r>
      <w:r>
        <w:rPr>
          <w:rFonts w:ascii="inherit" w:eastAsia="Times New Roman" w:hAnsi="inherit" w:cs="Times New Roman"/>
          <w:sz w:val="24"/>
          <w:szCs w:val="24"/>
          <w:lang w:val="en-US" w:eastAsia="pl-PL"/>
        </w:rPr>
        <w:t xml:space="preserve"> and b) </w:t>
      </w:r>
      <w:r w:rsidRPr="009B4EDC">
        <w:rPr>
          <w:rFonts w:ascii="inherit" w:eastAsia="Times New Roman" w:hAnsi="inherit" w:cs="Times New Roman"/>
          <w:sz w:val="24"/>
          <w:szCs w:val="24"/>
          <w:lang w:val="en-US" w:eastAsia="pl-PL"/>
        </w:rPr>
        <w:t xml:space="preserve">it materially distorts or is likely to materially distort the economic </w:t>
      </w:r>
      <w:proofErr w:type="spellStart"/>
      <w:r w:rsidRPr="009B4EDC">
        <w:rPr>
          <w:rFonts w:ascii="inherit" w:eastAsia="Times New Roman" w:hAnsi="inherit" w:cs="Times New Roman"/>
          <w:sz w:val="24"/>
          <w:szCs w:val="24"/>
          <w:lang w:val="en-US" w:eastAsia="pl-PL"/>
        </w:rPr>
        <w:t>behaviour</w:t>
      </w:r>
      <w:proofErr w:type="spellEnd"/>
      <w:r w:rsidRPr="009B4EDC">
        <w:rPr>
          <w:rFonts w:ascii="inherit" w:eastAsia="Times New Roman" w:hAnsi="inherit" w:cs="Times New Roman"/>
          <w:sz w:val="24"/>
          <w:szCs w:val="24"/>
          <w:lang w:val="en-US" w:eastAsia="pl-PL"/>
        </w:rPr>
        <w:t xml:space="preserve"> with regard to the average consumer</w:t>
      </w:r>
      <w:r>
        <w:rPr>
          <w:rFonts w:ascii="inherit" w:eastAsia="Times New Roman" w:hAnsi="inherit" w:cs="Times New Roman"/>
          <w:sz w:val="24"/>
          <w:szCs w:val="24"/>
          <w:lang w:val="en-US" w:eastAsia="pl-PL"/>
        </w:rPr>
        <w:t xml:space="preserve">. This directive has been implemented into the laws of EU member states. </w:t>
      </w:r>
    </w:p>
    <w:p w:rsidR="009B4EDC" w:rsidRPr="009B4EDC" w:rsidRDefault="007A3849" w:rsidP="001C400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In </w:t>
      </w:r>
      <w:r w:rsidR="00BD424A">
        <w:rPr>
          <w:rFonts w:ascii="Times New Roman" w:hAnsi="Times New Roman" w:cs="Times New Roman"/>
          <w:sz w:val="24"/>
          <w:lang w:val="en-US"/>
        </w:rPr>
        <w:t xml:space="preserve">countries </w:t>
      </w:r>
      <w:r w:rsidR="00BD424A">
        <w:rPr>
          <w:rFonts w:ascii="Times New Roman" w:hAnsi="Times New Roman" w:cs="Times New Roman"/>
          <w:sz w:val="24"/>
          <w:lang w:val="en-US"/>
        </w:rPr>
        <w:t xml:space="preserve">with the </w:t>
      </w:r>
      <w:r>
        <w:rPr>
          <w:rFonts w:ascii="Times New Roman" w:hAnsi="Times New Roman" w:cs="Times New Roman"/>
          <w:sz w:val="24"/>
          <w:lang w:val="en-US"/>
        </w:rPr>
        <w:t xml:space="preserve">common law system and the French system the implementation has been accomplished through consumer protection acts. In other countries this transposition was achieved </w:t>
      </w:r>
      <w:r w:rsidR="00BD424A">
        <w:rPr>
          <w:rFonts w:ascii="Times New Roman" w:hAnsi="Times New Roman" w:cs="Times New Roman"/>
          <w:sz w:val="24"/>
          <w:lang w:val="en-US"/>
        </w:rPr>
        <w:t>in two ways</w:t>
      </w:r>
      <w:r>
        <w:rPr>
          <w:rFonts w:ascii="Times New Roman" w:hAnsi="Times New Roman" w:cs="Times New Roman"/>
          <w:sz w:val="24"/>
          <w:lang w:val="en-US"/>
        </w:rPr>
        <w:t xml:space="preserve">: through the implementation of two general clauses into existing </w:t>
      </w:r>
      <w:r>
        <w:rPr>
          <w:rFonts w:ascii="Times New Roman" w:hAnsi="Times New Roman" w:cs="Times New Roman"/>
          <w:sz w:val="24"/>
          <w:lang w:val="en-US"/>
        </w:rPr>
        <w:lastRenderedPageBreak/>
        <w:t xml:space="preserve">acts or through the development of one general clause which regulates relations between all the participants of the market game.   </w:t>
      </w:r>
    </w:p>
    <w:p w:rsidR="00291D67" w:rsidRPr="007A3849" w:rsidRDefault="007A3849" w:rsidP="001C400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7A3849">
        <w:rPr>
          <w:rFonts w:ascii="Times New Roman" w:hAnsi="Times New Roman" w:cs="Times New Roman"/>
          <w:sz w:val="24"/>
          <w:lang w:val="en-US"/>
        </w:rPr>
        <w:t xml:space="preserve">The area of unfair competition is regulated in Poland by the Unfair Competition Act of 1993. </w:t>
      </w:r>
      <w:r>
        <w:rPr>
          <w:rFonts w:ascii="Times New Roman" w:hAnsi="Times New Roman" w:cs="Times New Roman"/>
          <w:sz w:val="24"/>
          <w:lang w:val="en-US"/>
        </w:rPr>
        <w:t xml:space="preserve">This act in Article 3 (1) includes a general clause </w:t>
      </w:r>
      <w:r w:rsidR="00BD424A">
        <w:rPr>
          <w:rFonts w:ascii="Times New Roman" w:hAnsi="Times New Roman" w:cs="Times New Roman"/>
          <w:sz w:val="24"/>
          <w:lang w:val="en-US"/>
        </w:rPr>
        <w:t>comprising</w:t>
      </w:r>
      <w:r>
        <w:rPr>
          <w:rFonts w:ascii="Times New Roman" w:hAnsi="Times New Roman" w:cs="Times New Roman"/>
          <w:sz w:val="24"/>
          <w:lang w:val="en-US"/>
        </w:rPr>
        <w:t xml:space="preserve"> the two above described </w:t>
      </w:r>
      <w:r w:rsidR="00BD424A">
        <w:rPr>
          <w:rFonts w:ascii="Times New Roman" w:hAnsi="Times New Roman" w:cs="Times New Roman"/>
          <w:sz w:val="24"/>
          <w:lang w:val="en-US"/>
        </w:rPr>
        <w:t>methods</w:t>
      </w:r>
      <w:r w:rsidR="008806C9" w:rsidRPr="007A3849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Directive no 2005/29 was implemented into polish law through the Unfair Practices Act of 2007. </w:t>
      </w:r>
      <w:r w:rsidR="00BD424A">
        <w:rPr>
          <w:rFonts w:ascii="Times New Roman" w:hAnsi="Times New Roman" w:cs="Times New Roman"/>
          <w:sz w:val="24"/>
          <w:lang w:val="en-US"/>
        </w:rPr>
        <w:t>This legislation has a general clause in Article 4, which only partially corresponds with Article 5 (1) of the Directive. With regard to Article 3 (1) of the Unfair Competition Act and Article 4 of the Unfair Practices Act the term “</w:t>
      </w:r>
      <w:r w:rsidR="00495C4B">
        <w:rPr>
          <w:rFonts w:ascii="Times New Roman" w:hAnsi="Times New Roman" w:cs="Times New Roman"/>
          <w:sz w:val="24"/>
          <w:lang w:val="en-US"/>
        </w:rPr>
        <w:t>good practices</w:t>
      </w:r>
      <w:r w:rsidR="00BD424A">
        <w:rPr>
          <w:rFonts w:ascii="Times New Roman" w:hAnsi="Times New Roman" w:cs="Times New Roman"/>
          <w:sz w:val="24"/>
          <w:lang w:val="en-US"/>
        </w:rPr>
        <w:t>”</w:t>
      </w:r>
      <w:r w:rsidR="00495C4B">
        <w:rPr>
          <w:rFonts w:ascii="Times New Roman" w:hAnsi="Times New Roman" w:cs="Times New Roman"/>
          <w:sz w:val="24"/>
          <w:lang w:val="en-US"/>
        </w:rPr>
        <w:t xml:space="preserve"> (“</w:t>
      </w:r>
      <w:proofErr w:type="spellStart"/>
      <w:r w:rsidR="00495C4B" w:rsidRPr="00495C4B">
        <w:rPr>
          <w:rFonts w:ascii="Times New Roman" w:hAnsi="Times New Roman" w:cs="Times New Roman"/>
          <w:i/>
          <w:sz w:val="24"/>
          <w:lang w:val="en-US"/>
        </w:rPr>
        <w:t>bonos</w:t>
      </w:r>
      <w:proofErr w:type="spellEnd"/>
      <w:r w:rsidR="00495C4B" w:rsidRPr="00495C4B">
        <w:rPr>
          <w:rFonts w:ascii="Times New Roman" w:hAnsi="Times New Roman" w:cs="Times New Roman"/>
          <w:i/>
          <w:sz w:val="24"/>
          <w:lang w:val="en-US"/>
        </w:rPr>
        <w:t xml:space="preserve"> mores</w:t>
      </w:r>
      <w:r w:rsidR="00495C4B">
        <w:rPr>
          <w:rFonts w:ascii="Times New Roman" w:hAnsi="Times New Roman" w:cs="Times New Roman"/>
          <w:sz w:val="24"/>
          <w:lang w:val="en-US"/>
        </w:rPr>
        <w:t>”)</w:t>
      </w:r>
      <w:r w:rsidR="00BD424A">
        <w:rPr>
          <w:rFonts w:ascii="Times New Roman" w:hAnsi="Times New Roman" w:cs="Times New Roman"/>
          <w:sz w:val="24"/>
          <w:lang w:val="en-US"/>
        </w:rPr>
        <w:t xml:space="preserve"> </w:t>
      </w:r>
      <w:r w:rsidR="00495C4B">
        <w:rPr>
          <w:rFonts w:ascii="Times New Roman" w:hAnsi="Times New Roman" w:cs="Times New Roman"/>
          <w:sz w:val="24"/>
          <w:lang w:val="en-US"/>
        </w:rPr>
        <w:t xml:space="preserve">lacks a precise definition. In general it should be understood as a term which regards the requirement for a fair market behavior of </w:t>
      </w:r>
      <w:r w:rsidR="00BC3401">
        <w:rPr>
          <w:rFonts w:ascii="Times New Roman" w:hAnsi="Times New Roman" w:cs="Times New Roman"/>
          <w:sz w:val="24"/>
          <w:lang w:val="en-US"/>
        </w:rPr>
        <w:t>business entities</w:t>
      </w:r>
      <w:r w:rsidR="00495C4B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495C4B" w:rsidRPr="00495C4B" w:rsidRDefault="00495C4B" w:rsidP="00BC340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495C4B">
        <w:rPr>
          <w:rFonts w:ascii="Times New Roman" w:hAnsi="Times New Roman" w:cs="Times New Roman"/>
          <w:sz w:val="24"/>
          <w:lang w:val="en-US"/>
        </w:rPr>
        <w:t xml:space="preserve">The use of the same term – good practices – in both law acts </w:t>
      </w:r>
      <w:r>
        <w:rPr>
          <w:rFonts w:ascii="Times New Roman" w:hAnsi="Times New Roman" w:cs="Times New Roman"/>
          <w:sz w:val="24"/>
          <w:lang w:val="en-US"/>
        </w:rPr>
        <w:t>allows to raise claims based on one of the acts</w:t>
      </w:r>
      <w:r w:rsidR="00BC3401">
        <w:rPr>
          <w:rFonts w:ascii="Times New Roman" w:hAnsi="Times New Roman" w:cs="Times New Roman"/>
          <w:sz w:val="24"/>
          <w:lang w:val="en-US"/>
        </w:rPr>
        <w:t xml:space="preserve">, where the unfair acts infringe the rights of a business entity, even if it also infringe the rights of the consumers and also the other way around, based on the other act when the unfair act is </w:t>
      </w:r>
      <w:bookmarkStart w:id="0" w:name="_GoBack"/>
      <w:bookmarkEnd w:id="0"/>
      <w:r w:rsidR="00BC3401">
        <w:rPr>
          <w:rFonts w:ascii="Times New Roman" w:hAnsi="Times New Roman" w:cs="Times New Roman"/>
          <w:sz w:val="24"/>
          <w:lang w:val="en-US"/>
        </w:rPr>
        <w:t xml:space="preserve">detrimental to the interests of consumers, even if it  </w:t>
      </w:r>
      <w:r w:rsidR="00BC3401" w:rsidRPr="00BC3401">
        <w:rPr>
          <w:rFonts w:ascii="Times New Roman" w:hAnsi="Times New Roman" w:cs="Times New Roman"/>
          <w:sz w:val="24"/>
          <w:lang w:val="en-US"/>
        </w:rPr>
        <w:t>s</w:t>
      </w:r>
      <w:r w:rsidRPr="00495C4B">
        <w:rPr>
          <w:rFonts w:ascii="Times New Roman" w:hAnsi="Times New Roman" w:cs="Times New Roman"/>
          <w:sz w:val="24"/>
          <w:lang w:val="en-US"/>
        </w:rPr>
        <w:t xml:space="preserve">imultaneously </w:t>
      </w:r>
      <w:r w:rsidR="00BC3401" w:rsidRPr="00495C4B">
        <w:rPr>
          <w:rFonts w:ascii="Times New Roman" w:hAnsi="Times New Roman" w:cs="Times New Roman"/>
          <w:sz w:val="24"/>
          <w:lang w:val="en-US"/>
        </w:rPr>
        <w:t>threatens</w:t>
      </w:r>
      <w:r w:rsidRPr="00495C4B">
        <w:rPr>
          <w:rFonts w:ascii="Times New Roman" w:hAnsi="Times New Roman" w:cs="Times New Roman"/>
          <w:sz w:val="24"/>
          <w:lang w:val="en-US"/>
        </w:rPr>
        <w:t xml:space="preserve"> the interests of </w:t>
      </w:r>
      <w:r w:rsidR="00BC3401">
        <w:rPr>
          <w:rFonts w:ascii="Times New Roman" w:hAnsi="Times New Roman" w:cs="Times New Roman"/>
          <w:sz w:val="24"/>
          <w:lang w:val="en-US"/>
        </w:rPr>
        <w:t>business entities.</w:t>
      </w:r>
    </w:p>
    <w:p w:rsidR="007A5AF3" w:rsidRPr="00495C4B" w:rsidRDefault="007A5AF3" w:rsidP="001C400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</w:p>
    <w:sectPr w:rsidR="007A5AF3" w:rsidRPr="00495C4B" w:rsidSect="00CF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E52"/>
    <w:multiLevelType w:val="hybridMultilevel"/>
    <w:tmpl w:val="2B409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54714"/>
    <w:multiLevelType w:val="hybridMultilevel"/>
    <w:tmpl w:val="113A6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19D"/>
    <w:rsid w:val="000B14D6"/>
    <w:rsid w:val="000E64E5"/>
    <w:rsid w:val="001759D8"/>
    <w:rsid w:val="001C4003"/>
    <w:rsid w:val="00207943"/>
    <w:rsid w:val="002500AE"/>
    <w:rsid w:val="002559AD"/>
    <w:rsid w:val="00280F27"/>
    <w:rsid w:val="00291D67"/>
    <w:rsid w:val="00320568"/>
    <w:rsid w:val="00333601"/>
    <w:rsid w:val="003944AB"/>
    <w:rsid w:val="003970D9"/>
    <w:rsid w:val="003E3440"/>
    <w:rsid w:val="0041179E"/>
    <w:rsid w:val="00495C4B"/>
    <w:rsid w:val="004C0043"/>
    <w:rsid w:val="00500E6D"/>
    <w:rsid w:val="00506759"/>
    <w:rsid w:val="00597FB0"/>
    <w:rsid w:val="006A31CC"/>
    <w:rsid w:val="007A3849"/>
    <w:rsid w:val="007A5AF3"/>
    <w:rsid w:val="007E4EB8"/>
    <w:rsid w:val="00800F8F"/>
    <w:rsid w:val="00860D5C"/>
    <w:rsid w:val="008806C9"/>
    <w:rsid w:val="00940547"/>
    <w:rsid w:val="00951C71"/>
    <w:rsid w:val="009639A8"/>
    <w:rsid w:val="009B4EDC"/>
    <w:rsid w:val="009F7EFF"/>
    <w:rsid w:val="00A2519D"/>
    <w:rsid w:val="00B218A1"/>
    <w:rsid w:val="00B43AA9"/>
    <w:rsid w:val="00B847E6"/>
    <w:rsid w:val="00BC3401"/>
    <w:rsid w:val="00BD424A"/>
    <w:rsid w:val="00C071A7"/>
    <w:rsid w:val="00C51FCB"/>
    <w:rsid w:val="00CB1633"/>
    <w:rsid w:val="00CF0A4F"/>
    <w:rsid w:val="00DB18DD"/>
    <w:rsid w:val="00DE09AA"/>
    <w:rsid w:val="00ED601E"/>
    <w:rsid w:val="00EF11DA"/>
    <w:rsid w:val="00F51906"/>
    <w:rsid w:val="00FF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0A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51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79E"/>
    <w:rPr>
      <w:rFonts w:ascii="Segoe UI" w:hAnsi="Segoe UI" w:cs="Segoe UI"/>
      <w:sz w:val="18"/>
      <w:szCs w:val="18"/>
    </w:rPr>
  </w:style>
  <w:style w:type="paragraph" w:customStyle="1" w:styleId="doc-ti">
    <w:name w:val="doc-ti"/>
    <w:basedOn w:val="Normalny"/>
    <w:rsid w:val="007A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9B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0A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51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79E"/>
    <w:rPr>
      <w:rFonts w:ascii="Segoe UI" w:hAnsi="Segoe UI" w:cs="Segoe UI"/>
      <w:sz w:val="18"/>
      <w:szCs w:val="18"/>
    </w:rPr>
  </w:style>
  <w:style w:type="paragraph" w:customStyle="1" w:styleId="doc-ti">
    <w:name w:val="doc-ti"/>
    <w:basedOn w:val="Normalny"/>
    <w:rsid w:val="007A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9B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</dc:creator>
  <cp:lastModifiedBy>Ewa Jaroszyńska-Kozłowska</cp:lastModifiedBy>
  <cp:revision>4</cp:revision>
  <cp:lastPrinted>2015-10-06T06:46:00Z</cp:lastPrinted>
  <dcterms:created xsi:type="dcterms:W3CDTF">2015-10-08T08:58:00Z</dcterms:created>
  <dcterms:modified xsi:type="dcterms:W3CDTF">2015-10-08T14:39:00Z</dcterms:modified>
</cp:coreProperties>
</file>