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285E5" w14:textId="042C9965" w:rsidR="0063475B" w:rsidRPr="00DD701C" w:rsidRDefault="00D91028" w:rsidP="00DD701C">
      <w:pPr>
        <w:spacing w:after="0" w:line="360" w:lineRule="auto"/>
        <w:jc w:val="both"/>
        <w:rPr>
          <w:rFonts w:ascii="Times New Roman" w:hAnsi="Times New Roman" w:cs="Times New Roman"/>
          <w:b/>
          <w:sz w:val="24"/>
          <w:szCs w:val="24"/>
        </w:rPr>
      </w:pPr>
      <w:r w:rsidRPr="00DD701C">
        <w:rPr>
          <w:rFonts w:ascii="Times New Roman" w:hAnsi="Times New Roman" w:cs="Times New Roman"/>
          <w:b/>
          <w:sz w:val="24"/>
          <w:szCs w:val="24"/>
        </w:rPr>
        <w:t xml:space="preserve">Umowny </w:t>
      </w:r>
      <w:r w:rsidR="005219F2" w:rsidRPr="00DD701C">
        <w:rPr>
          <w:rFonts w:ascii="Times New Roman" w:hAnsi="Times New Roman" w:cs="Times New Roman"/>
          <w:b/>
          <w:sz w:val="24"/>
          <w:szCs w:val="24"/>
        </w:rPr>
        <w:t xml:space="preserve">zakaz ujawnienia wynagrodzenia </w:t>
      </w:r>
      <w:r w:rsidR="008003DE" w:rsidRPr="00DD701C">
        <w:rPr>
          <w:rFonts w:ascii="Times New Roman" w:hAnsi="Times New Roman" w:cs="Times New Roman"/>
          <w:b/>
          <w:sz w:val="24"/>
          <w:szCs w:val="24"/>
        </w:rPr>
        <w:t xml:space="preserve">a swoboda wypowiedzi </w:t>
      </w:r>
      <w:r w:rsidR="0063475B" w:rsidRPr="00DD701C">
        <w:rPr>
          <w:rFonts w:ascii="Times New Roman" w:hAnsi="Times New Roman" w:cs="Times New Roman"/>
          <w:b/>
          <w:sz w:val="24"/>
          <w:szCs w:val="24"/>
        </w:rPr>
        <w:t xml:space="preserve">– glosa </w:t>
      </w:r>
      <w:r w:rsidR="00A5415C" w:rsidRPr="00DD701C">
        <w:rPr>
          <w:rFonts w:ascii="Times New Roman" w:hAnsi="Times New Roman" w:cs="Times New Roman"/>
          <w:b/>
          <w:sz w:val="24"/>
          <w:szCs w:val="24"/>
        </w:rPr>
        <w:t xml:space="preserve">częściowo </w:t>
      </w:r>
      <w:r w:rsidR="00381B9A" w:rsidRPr="00DD701C">
        <w:rPr>
          <w:rFonts w:ascii="Times New Roman" w:hAnsi="Times New Roman" w:cs="Times New Roman"/>
          <w:b/>
          <w:sz w:val="24"/>
          <w:szCs w:val="24"/>
        </w:rPr>
        <w:t xml:space="preserve">krytyczna </w:t>
      </w:r>
      <w:r w:rsidR="0063475B" w:rsidRPr="00DD701C">
        <w:rPr>
          <w:rFonts w:ascii="Times New Roman" w:hAnsi="Times New Roman" w:cs="Times New Roman"/>
          <w:b/>
          <w:sz w:val="24"/>
          <w:szCs w:val="24"/>
        </w:rPr>
        <w:t xml:space="preserve">do wyroku </w:t>
      </w:r>
      <w:r w:rsidR="005219F2" w:rsidRPr="00DD701C">
        <w:rPr>
          <w:rFonts w:ascii="Times New Roman" w:hAnsi="Times New Roman" w:cs="Times New Roman"/>
          <w:b/>
          <w:sz w:val="24"/>
          <w:szCs w:val="24"/>
        </w:rPr>
        <w:t xml:space="preserve">Europejskiego Trybunału Praw Człowieka z </w:t>
      </w:r>
      <w:r w:rsidR="008003DE" w:rsidRPr="00DD701C">
        <w:rPr>
          <w:rFonts w:ascii="Times New Roman" w:hAnsi="Times New Roman" w:cs="Times New Roman"/>
          <w:b/>
          <w:sz w:val="24"/>
          <w:szCs w:val="24"/>
        </w:rPr>
        <w:t>20.06.2024 r.</w:t>
      </w:r>
      <w:r w:rsidR="0063475B" w:rsidRPr="00DD701C">
        <w:rPr>
          <w:rFonts w:ascii="Times New Roman" w:hAnsi="Times New Roman" w:cs="Times New Roman"/>
          <w:b/>
          <w:sz w:val="24"/>
          <w:szCs w:val="24"/>
        </w:rPr>
        <w:t xml:space="preserve">, </w:t>
      </w:r>
      <w:r w:rsidR="008003DE" w:rsidRPr="00DD701C">
        <w:rPr>
          <w:rFonts w:ascii="Times New Roman" w:hAnsi="Times New Roman" w:cs="Times New Roman"/>
          <w:b/>
          <w:sz w:val="24"/>
          <w:szCs w:val="24"/>
        </w:rPr>
        <w:t xml:space="preserve">skarga 4110/20, </w:t>
      </w:r>
      <w:r w:rsidR="008003DE" w:rsidRPr="00DD701C">
        <w:rPr>
          <w:rFonts w:ascii="Times New Roman" w:hAnsi="Times New Roman" w:cs="Times New Roman"/>
          <w:b/>
          <w:bCs/>
          <w:sz w:val="24"/>
          <w:szCs w:val="24"/>
        </w:rPr>
        <w:t>Borony</w:t>
      </w:r>
      <w:r w:rsidR="00826F43" w:rsidRPr="00DD701C">
        <w:rPr>
          <w:rFonts w:ascii="Times New Roman" w:hAnsi="Times New Roman" w:cs="Times New Roman"/>
          <w:b/>
          <w:bCs/>
          <w:sz w:val="24"/>
          <w:szCs w:val="24"/>
        </w:rPr>
        <w:t>ák przeciwko Węgrom</w:t>
      </w:r>
    </w:p>
    <w:p w14:paraId="1647A7CB" w14:textId="77777777" w:rsidR="0063475B" w:rsidRPr="00DD701C" w:rsidRDefault="0063475B" w:rsidP="00DD701C">
      <w:pPr>
        <w:spacing w:after="0" w:line="360" w:lineRule="auto"/>
        <w:jc w:val="both"/>
        <w:rPr>
          <w:rFonts w:ascii="Times New Roman" w:hAnsi="Times New Roman" w:cs="Times New Roman"/>
          <w:b/>
          <w:sz w:val="24"/>
          <w:szCs w:val="24"/>
        </w:rPr>
      </w:pPr>
    </w:p>
    <w:p w14:paraId="55FCC520" w14:textId="2A6AEEF5" w:rsidR="0063475B" w:rsidRPr="00DD701C" w:rsidRDefault="0063475B" w:rsidP="00DD701C">
      <w:pPr>
        <w:spacing w:after="0" w:line="360" w:lineRule="auto"/>
        <w:jc w:val="both"/>
        <w:rPr>
          <w:rFonts w:ascii="Times New Roman" w:hAnsi="Times New Roman" w:cs="Times New Roman"/>
          <w:bCs/>
          <w:i/>
          <w:iCs/>
          <w:sz w:val="24"/>
          <w:szCs w:val="24"/>
        </w:rPr>
      </w:pPr>
      <w:r w:rsidRPr="00DD701C">
        <w:rPr>
          <w:rFonts w:ascii="Times New Roman" w:hAnsi="Times New Roman" w:cs="Times New Roman"/>
          <w:b/>
          <w:i/>
          <w:iCs/>
          <w:sz w:val="24"/>
          <w:szCs w:val="24"/>
        </w:rPr>
        <w:t>Słowa kluczowe:</w:t>
      </w:r>
      <w:r w:rsidRPr="00DD701C">
        <w:rPr>
          <w:rFonts w:ascii="Times New Roman" w:hAnsi="Times New Roman" w:cs="Times New Roman"/>
          <w:bCs/>
          <w:i/>
          <w:iCs/>
          <w:sz w:val="24"/>
          <w:szCs w:val="24"/>
        </w:rPr>
        <w:t xml:space="preserve"> </w:t>
      </w:r>
      <w:r w:rsidR="00D91028" w:rsidRPr="00DD701C">
        <w:rPr>
          <w:rFonts w:ascii="Times New Roman" w:hAnsi="Times New Roman" w:cs="Times New Roman"/>
          <w:bCs/>
          <w:i/>
          <w:iCs/>
          <w:sz w:val="24"/>
          <w:szCs w:val="24"/>
        </w:rPr>
        <w:t>zakaz ujawnienia wynagrodzenia, swoboda wypowiedzi,</w:t>
      </w:r>
      <w:r w:rsidR="00B86E2B" w:rsidRPr="00DD701C">
        <w:rPr>
          <w:rFonts w:ascii="Times New Roman" w:hAnsi="Times New Roman" w:cs="Times New Roman"/>
          <w:bCs/>
          <w:i/>
          <w:iCs/>
          <w:sz w:val="24"/>
          <w:szCs w:val="24"/>
        </w:rPr>
        <w:t xml:space="preserve"> tajemnica przedsiębiorstwa</w:t>
      </w:r>
    </w:p>
    <w:p w14:paraId="5D23472C" w14:textId="77777777" w:rsidR="0063475B" w:rsidRPr="00DD701C" w:rsidRDefault="0063475B" w:rsidP="00DD701C">
      <w:pPr>
        <w:spacing w:after="0" w:line="360" w:lineRule="auto"/>
        <w:jc w:val="both"/>
        <w:rPr>
          <w:rFonts w:ascii="Times New Roman" w:hAnsi="Times New Roman" w:cs="Times New Roman"/>
          <w:b/>
          <w:sz w:val="24"/>
          <w:szCs w:val="24"/>
        </w:rPr>
      </w:pPr>
    </w:p>
    <w:p w14:paraId="7ACF68EC" w14:textId="06A97A68" w:rsidR="0063475B" w:rsidRPr="00DD701C" w:rsidRDefault="0063475B" w:rsidP="00D022AD">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 xml:space="preserve">Glosowany wyrok </w:t>
      </w:r>
      <w:r w:rsidR="00D91028" w:rsidRPr="00DD701C">
        <w:rPr>
          <w:rFonts w:ascii="Times New Roman" w:hAnsi="Times New Roman" w:cs="Times New Roman"/>
          <w:sz w:val="24"/>
          <w:szCs w:val="24"/>
        </w:rPr>
        <w:t xml:space="preserve">Europejskiego Trybunału Praw Człowieka </w:t>
      </w:r>
      <w:r w:rsidRPr="00DD701C">
        <w:rPr>
          <w:rFonts w:ascii="Times New Roman" w:hAnsi="Times New Roman" w:cs="Times New Roman"/>
          <w:sz w:val="24"/>
          <w:szCs w:val="24"/>
        </w:rPr>
        <w:t>zasługuje na uwagę</w:t>
      </w:r>
      <w:r w:rsidR="00D91028" w:rsidRPr="00DD701C">
        <w:rPr>
          <w:rFonts w:ascii="Times New Roman" w:hAnsi="Times New Roman" w:cs="Times New Roman"/>
          <w:sz w:val="24"/>
          <w:szCs w:val="24"/>
        </w:rPr>
        <w:t xml:space="preserve"> ze względu na </w:t>
      </w:r>
      <w:r w:rsidR="004C1A92">
        <w:rPr>
          <w:rFonts w:ascii="Times New Roman" w:hAnsi="Times New Roman" w:cs="Times New Roman"/>
          <w:sz w:val="24"/>
          <w:szCs w:val="24"/>
        </w:rPr>
        <w:t xml:space="preserve">wyraźne podkreślenie, że umowne zobowiązanie się do przestrzegania tajemnicy przedsiębiorstwa w aspekcie wynagrodzenia ma prymat nad swobodą wypowiedzi a nawet nad prawem dostępu do informacji publicznej. </w:t>
      </w:r>
      <w:r w:rsidR="00D35F6D">
        <w:rPr>
          <w:rFonts w:ascii="Times New Roman" w:hAnsi="Times New Roman" w:cs="Times New Roman"/>
          <w:sz w:val="24"/>
          <w:szCs w:val="24"/>
        </w:rPr>
        <w:t xml:space="preserve">Najbardziej interesujące w wyroku jest poszukiwanie przez ETPC uzasadnienia dla dopuszczalności wyłączenia </w:t>
      </w:r>
      <w:r w:rsidR="00276BB2">
        <w:rPr>
          <w:rFonts w:ascii="Times New Roman" w:hAnsi="Times New Roman" w:cs="Times New Roman"/>
          <w:sz w:val="24"/>
          <w:szCs w:val="24"/>
        </w:rPr>
        <w:t>w umowie cywilnoprawnej wolności</w:t>
      </w:r>
      <w:r w:rsidR="00D35F6D">
        <w:rPr>
          <w:rFonts w:ascii="Times New Roman" w:hAnsi="Times New Roman" w:cs="Times New Roman"/>
          <w:sz w:val="24"/>
          <w:szCs w:val="24"/>
        </w:rPr>
        <w:t xml:space="preserve"> wypowiedzi </w:t>
      </w:r>
      <w:r w:rsidR="00276BB2">
        <w:rPr>
          <w:rFonts w:ascii="Times New Roman" w:hAnsi="Times New Roman" w:cs="Times New Roman"/>
          <w:sz w:val="24"/>
          <w:szCs w:val="24"/>
        </w:rPr>
        <w:t xml:space="preserve">odnośnie do ujawniania danych o wynagrodzeniu w analogii do obowiązków pracownika </w:t>
      </w:r>
      <w:r w:rsidR="00EC244B">
        <w:rPr>
          <w:rFonts w:ascii="Times New Roman" w:hAnsi="Times New Roman" w:cs="Times New Roman"/>
          <w:sz w:val="24"/>
          <w:szCs w:val="24"/>
        </w:rPr>
        <w:t xml:space="preserve">w </w:t>
      </w:r>
      <w:r w:rsidR="00276BB2">
        <w:rPr>
          <w:rFonts w:ascii="Times New Roman" w:hAnsi="Times New Roman" w:cs="Times New Roman"/>
          <w:sz w:val="24"/>
          <w:szCs w:val="24"/>
        </w:rPr>
        <w:t>stosunku pracy</w:t>
      </w:r>
      <w:r w:rsidR="00EC244B">
        <w:rPr>
          <w:rFonts w:ascii="Times New Roman" w:hAnsi="Times New Roman" w:cs="Times New Roman"/>
          <w:sz w:val="24"/>
          <w:szCs w:val="24"/>
        </w:rPr>
        <w:t xml:space="preserve">. </w:t>
      </w:r>
      <w:r w:rsidR="00DD49FB" w:rsidRPr="00DD701C">
        <w:rPr>
          <w:rFonts w:ascii="Times New Roman" w:hAnsi="Times New Roman" w:cs="Times New Roman"/>
          <w:sz w:val="24"/>
          <w:szCs w:val="24"/>
        </w:rPr>
        <w:t>ETPC</w:t>
      </w:r>
      <w:r w:rsidR="009575A4" w:rsidRPr="00DD701C">
        <w:rPr>
          <w:rFonts w:ascii="Times New Roman" w:hAnsi="Times New Roman" w:cs="Times New Roman"/>
          <w:sz w:val="24"/>
          <w:szCs w:val="24"/>
        </w:rPr>
        <w:t xml:space="preserve"> </w:t>
      </w:r>
      <w:r w:rsidR="00736AE5" w:rsidRPr="00DD701C">
        <w:rPr>
          <w:rFonts w:ascii="Times New Roman" w:hAnsi="Times New Roman" w:cs="Times New Roman"/>
          <w:sz w:val="24"/>
          <w:szCs w:val="24"/>
        </w:rPr>
        <w:t xml:space="preserve">nieprawidłowo uzasadnił, że dobrowolne podporządkowanie się strony umowy cywilnoprawnej, podobne jest do podporządkowania pracownika, który z założenia nie może ujawniać wysokości swojego wynagrodzenia. Choć </w:t>
      </w:r>
      <w:r w:rsidR="004331A0" w:rsidRPr="00DD701C">
        <w:rPr>
          <w:rFonts w:ascii="Times New Roman" w:hAnsi="Times New Roman" w:cs="Times New Roman"/>
          <w:sz w:val="24"/>
          <w:szCs w:val="24"/>
        </w:rPr>
        <w:t xml:space="preserve">ostateczna </w:t>
      </w:r>
      <w:r w:rsidR="00736AE5" w:rsidRPr="00DD701C">
        <w:rPr>
          <w:rFonts w:ascii="Times New Roman" w:hAnsi="Times New Roman" w:cs="Times New Roman"/>
          <w:sz w:val="24"/>
          <w:szCs w:val="24"/>
        </w:rPr>
        <w:t xml:space="preserve">konkluzja </w:t>
      </w:r>
      <w:r w:rsidR="004331A0" w:rsidRPr="00DD701C">
        <w:rPr>
          <w:rFonts w:ascii="Times New Roman" w:hAnsi="Times New Roman" w:cs="Times New Roman"/>
          <w:sz w:val="24"/>
          <w:szCs w:val="24"/>
        </w:rPr>
        <w:t xml:space="preserve">ETPC </w:t>
      </w:r>
      <w:r w:rsidR="00736AE5" w:rsidRPr="00DD701C">
        <w:rPr>
          <w:rFonts w:ascii="Times New Roman" w:hAnsi="Times New Roman" w:cs="Times New Roman"/>
          <w:sz w:val="24"/>
          <w:szCs w:val="24"/>
        </w:rPr>
        <w:t>jest prawidłowa</w:t>
      </w:r>
      <w:r w:rsidR="004331A0" w:rsidRPr="00DD701C">
        <w:rPr>
          <w:rFonts w:ascii="Times New Roman" w:hAnsi="Times New Roman" w:cs="Times New Roman"/>
          <w:sz w:val="24"/>
          <w:szCs w:val="24"/>
        </w:rPr>
        <w:t xml:space="preserve"> (zobowiązanie umowne chroniące tajemnicę handlową w odniesieniu do wysokości wynagrodzenia nie narusza art. 10 ust. 2 Konwencji)</w:t>
      </w:r>
      <w:r w:rsidR="00736AE5" w:rsidRPr="00DD701C">
        <w:rPr>
          <w:rFonts w:ascii="Times New Roman" w:hAnsi="Times New Roman" w:cs="Times New Roman"/>
          <w:sz w:val="24"/>
          <w:szCs w:val="24"/>
        </w:rPr>
        <w:t xml:space="preserve">, </w:t>
      </w:r>
      <w:r w:rsidR="00D022AD">
        <w:rPr>
          <w:rFonts w:ascii="Times New Roman" w:hAnsi="Times New Roman" w:cs="Times New Roman"/>
          <w:sz w:val="24"/>
          <w:szCs w:val="24"/>
        </w:rPr>
        <w:t xml:space="preserve">to jednak </w:t>
      </w:r>
      <w:r w:rsidR="00736AE5" w:rsidRPr="00DD701C">
        <w:rPr>
          <w:rFonts w:ascii="Times New Roman" w:hAnsi="Times New Roman" w:cs="Times New Roman"/>
          <w:sz w:val="24"/>
          <w:szCs w:val="24"/>
        </w:rPr>
        <w:t>wątpliwości budzi jej uzasadnienie</w:t>
      </w:r>
      <w:r w:rsidR="004331A0" w:rsidRPr="00DD701C">
        <w:rPr>
          <w:rFonts w:ascii="Times New Roman" w:hAnsi="Times New Roman" w:cs="Times New Roman"/>
          <w:sz w:val="24"/>
          <w:szCs w:val="24"/>
        </w:rPr>
        <w:t xml:space="preserve">. Konieczne jest bowiem </w:t>
      </w:r>
      <w:r w:rsidR="00736AE5" w:rsidRPr="00DD701C">
        <w:rPr>
          <w:rFonts w:ascii="Times New Roman" w:hAnsi="Times New Roman" w:cs="Times New Roman"/>
          <w:sz w:val="24"/>
          <w:szCs w:val="24"/>
        </w:rPr>
        <w:t>uwzględni</w:t>
      </w:r>
      <w:r w:rsidR="004331A0" w:rsidRPr="00DD701C">
        <w:rPr>
          <w:rFonts w:ascii="Times New Roman" w:hAnsi="Times New Roman" w:cs="Times New Roman"/>
          <w:sz w:val="24"/>
          <w:szCs w:val="24"/>
        </w:rPr>
        <w:t>enie</w:t>
      </w:r>
      <w:r w:rsidR="00736AE5" w:rsidRPr="00DD701C">
        <w:rPr>
          <w:rFonts w:ascii="Times New Roman" w:hAnsi="Times New Roman" w:cs="Times New Roman"/>
          <w:sz w:val="24"/>
          <w:szCs w:val="24"/>
        </w:rPr>
        <w:t xml:space="preserve"> system</w:t>
      </w:r>
      <w:r w:rsidR="004331A0" w:rsidRPr="00DD701C">
        <w:rPr>
          <w:rFonts w:ascii="Times New Roman" w:hAnsi="Times New Roman" w:cs="Times New Roman"/>
          <w:sz w:val="24"/>
          <w:szCs w:val="24"/>
        </w:rPr>
        <w:t>u</w:t>
      </w:r>
      <w:r w:rsidR="00736AE5" w:rsidRPr="00DD701C">
        <w:rPr>
          <w:rFonts w:ascii="Times New Roman" w:hAnsi="Times New Roman" w:cs="Times New Roman"/>
          <w:sz w:val="24"/>
          <w:szCs w:val="24"/>
        </w:rPr>
        <w:t xml:space="preserve"> prawn</w:t>
      </w:r>
      <w:r w:rsidR="004331A0" w:rsidRPr="00DD701C">
        <w:rPr>
          <w:rFonts w:ascii="Times New Roman" w:hAnsi="Times New Roman" w:cs="Times New Roman"/>
          <w:sz w:val="24"/>
          <w:szCs w:val="24"/>
        </w:rPr>
        <w:t>ego</w:t>
      </w:r>
      <w:r w:rsidR="00736AE5" w:rsidRPr="00DD701C">
        <w:rPr>
          <w:rFonts w:ascii="Times New Roman" w:hAnsi="Times New Roman" w:cs="Times New Roman"/>
          <w:sz w:val="24"/>
          <w:szCs w:val="24"/>
        </w:rPr>
        <w:t xml:space="preserve"> Rady Europy wskazując</w:t>
      </w:r>
      <w:r w:rsidR="004331A0" w:rsidRPr="00DD701C">
        <w:rPr>
          <w:rFonts w:ascii="Times New Roman" w:hAnsi="Times New Roman" w:cs="Times New Roman"/>
          <w:sz w:val="24"/>
          <w:szCs w:val="24"/>
        </w:rPr>
        <w:t>ego</w:t>
      </w:r>
      <w:r w:rsidR="00736AE5" w:rsidRPr="00DD701C">
        <w:rPr>
          <w:rFonts w:ascii="Times New Roman" w:hAnsi="Times New Roman" w:cs="Times New Roman"/>
          <w:sz w:val="24"/>
          <w:szCs w:val="24"/>
        </w:rPr>
        <w:t xml:space="preserve"> na możliwość ujawniania przez pracownika swojego wynagrodzenia</w:t>
      </w:r>
      <w:r w:rsidR="004331A0" w:rsidRPr="00DD701C">
        <w:rPr>
          <w:rFonts w:ascii="Times New Roman" w:hAnsi="Times New Roman" w:cs="Times New Roman"/>
          <w:sz w:val="24"/>
          <w:szCs w:val="24"/>
        </w:rPr>
        <w:t xml:space="preserve">, mimo formalnego ograniczenia jurysdykcji ETPC jedynie do Konwencji. Jawność wynagrodzeń </w:t>
      </w:r>
      <w:r w:rsidR="00736AE5" w:rsidRPr="00DD701C">
        <w:rPr>
          <w:rFonts w:ascii="Times New Roman" w:hAnsi="Times New Roman" w:cs="Times New Roman"/>
          <w:sz w:val="24"/>
          <w:szCs w:val="24"/>
        </w:rPr>
        <w:t>jest instrumentem sprzyjającym zasadzie równości wynagrodzeń</w:t>
      </w:r>
      <w:r w:rsidR="004331A0" w:rsidRPr="00DD701C">
        <w:rPr>
          <w:rFonts w:ascii="Times New Roman" w:hAnsi="Times New Roman" w:cs="Times New Roman"/>
          <w:sz w:val="24"/>
          <w:szCs w:val="24"/>
        </w:rPr>
        <w:t xml:space="preserve"> statuowanej w Europejskiej Karcie Społecznej</w:t>
      </w:r>
      <w:r w:rsidR="00736AE5" w:rsidRPr="00DD701C">
        <w:rPr>
          <w:rFonts w:ascii="Times New Roman" w:hAnsi="Times New Roman" w:cs="Times New Roman"/>
          <w:sz w:val="24"/>
          <w:szCs w:val="24"/>
        </w:rPr>
        <w:t xml:space="preserve">. </w:t>
      </w:r>
      <w:r w:rsidR="004331A0" w:rsidRPr="00DD701C">
        <w:rPr>
          <w:rFonts w:ascii="Times New Roman" w:hAnsi="Times New Roman" w:cs="Times New Roman"/>
          <w:sz w:val="24"/>
          <w:szCs w:val="24"/>
        </w:rPr>
        <w:t>T</w:t>
      </w:r>
      <w:r w:rsidR="00B34D5D" w:rsidRPr="00DD701C">
        <w:rPr>
          <w:rFonts w:ascii="Times New Roman" w:hAnsi="Times New Roman" w:cs="Times New Roman"/>
          <w:sz w:val="24"/>
          <w:szCs w:val="24"/>
        </w:rPr>
        <w:t>o</w:t>
      </w:r>
      <w:r w:rsidR="004331A0" w:rsidRPr="00DD701C">
        <w:rPr>
          <w:rFonts w:ascii="Times New Roman" w:hAnsi="Times New Roman" w:cs="Times New Roman"/>
          <w:sz w:val="24"/>
          <w:szCs w:val="24"/>
        </w:rPr>
        <w:t xml:space="preserve"> nie zatem w podobieństwie do stosunku pracy, lecz w konieczności ochrony mienia (tajemnicy handlowej) i możliwości samoograniczenia strony umowy, leży dopuszczalność umownego ograniczenia swobody wypowiedzi. Z aprobatą należy za to odnieść się do tego, że </w:t>
      </w:r>
      <w:r w:rsidR="00DD49FB" w:rsidRPr="00DD701C">
        <w:rPr>
          <w:rStyle w:val="Odwoaniedokomentarza"/>
          <w:rFonts w:ascii="Times New Roman" w:hAnsi="Times New Roman" w:cs="Times New Roman"/>
          <w:sz w:val="24"/>
          <w:szCs w:val="24"/>
        </w:rPr>
        <w:t xml:space="preserve">ETPC podkreślił </w:t>
      </w:r>
      <w:r w:rsidR="004331A0" w:rsidRPr="00DD701C">
        <w:rPr>
          <w:rStyle w:val="Odwoaniedokomentarza"/>
          <w:rFonts w:ascii="Times New Roman" w:hAnsi="Times New Roman" w:cs="Times New Roman"/>
          <w:sz w:val="24"/>
          <w:szCs w:val="24"/>
        </w:rPr>
        <w:t>brak prymatu prawa do informacji publicznej nad umownym zakazem naruszenia poufności, jeśli dostęp do informacji publicznej mogą uzyskać inne podmioty.</w:t>
      </w:r>
      <w:r w:rsidR="00104A55" w:rsidRPr="00DD701C">
        <w:rPr>
          <w:rStyle w:val="Odwoaniedokomentarza"/>
          <w:rFonts w:ascii="Times New Roman" w:hAnsi="Times New Roman" w:cs="Times New Roman"/>
          <w:sz w:val="24"/>
          <w:szCs w:val="24"/>
        </w:rPr>
        <w:t xml:space="preserve">  </w:t>
      </w:r>
    </w:p>
    <w:p w14:paraId="4D794236" w14:textId="77777777" w:rsidR="0063475B" w:rsidRPr="00DD701C" w:rsidRDefault="0063475B" w:rsidP="00DD701C">
      <w:pPr>
        <w:spacing w:after="0" w:line="360" w:lineRule="auto"/>
        <w:jc w:val="both"/>
        <w:rPr>
          <w:rFonts w:ascii="Times New Roman" w:hAnsi="Times New Roman" w:cs="Times New Roman"/>
          <w:b/>
          <w:sz w:val="24"/>
          <w:szCs w:val="24"/>
        </w:rPr>
      </w:pPr>
    </w:p>
    <w:p w14:paraId="3FEDED2F" w14:textId="5F422585" w:rsidR="0063475B" w:rsidRPr="00DD701C" w:rsidRDefault="0063475B" w:rsidP="00DD701C">
      <w:pPr>
        <w:spacing w:after="0" w:line="360" w:lineRule="auto"/>
        <w:ind w:firstLine="708"/>
        <w:jc w:val="both"/>
        <w:rPr>
          <w:rFonts w:ascii="Times New Roman" w:hAnsi="Times New Roman" w:cs="Times New Roman"/>
          <w:color w:val="000000"/>
          <w:sz w:val="24"/>
          <w:szCs w:val="24"/>
          <w:shd w:val="clear" w:color="auto" w:fill="FFFFFF"/>
        </w:rPr>
      </w:pPr>
      <w:r w:rsidRPr="00DD701C">
        <w:rPr>
          <w:rFonts w:ascii="Times New Roman" w:hAnsi="Times New Roman" w:cs="Times New Roman"/>
          <w:b/>
          <w:sz w:val="24"/>
          <w:szCs w:val="24"/>
        </w:rPr>
        <w:t xml:space="preserve">Wyrok </w:t>
      </w:r>
      <w:r w:rsidR="007C4FFB" w:rsidRPr="00DD701C">
        <w:rPr>
          <w:rFonts w:ascii="Times New Roman" w:hAnsi="Times New Roman" w:cs="Times New Roman"/>
          <w:b/>
          <w:sz w:val="24"/>
          <w:szCs w:val="24"/>
        </w:rPr>
        <w:t xml:space="preserve">Europejskiego Trybunału Praw Człowieka </w:t>
      </w:r>
      <w:r w:rsidRPr="00DD701C">
        <w:rPr>
          <w:rFonts w:ascii="Times New Roman" w:hAnsi="Times New Roman" w:cs="Times New Roman"/>
          <w:b/>
          <w:sz w:val="24"/>
          <w:szCs w:val="24"/>
        </w:rPr>
        <w:t xml:space="preserve">z </w:t>
      </w:r>
      <w:r w:rsidR="001050AB" w:rsidRPr="00DD701C">
        <w:rPr>
          <w:rFonts w:ascii="Times New Roman" w:hAnsi="Times New Roman" w:cs="Times New Roman"/>
          <w:b/>
          <w:sz w:val="24"/>
          <w:szCs w:val="24"/>
        </w:rPr>
        <w:t>20</w:t>
      </w:r>
      <w:r w:rsidRPr="00DD701C">
        <w:rPr>
          <w:rFonts w:ascii="Times New Roman" w:hAnsi="Times New Roman" w:cs="Times New Roman"/>
          <w:b/>
          <w:sz w:val="24"/>
          <w:szCs w:val="24"/>
        </w:rPr>
        <w:t>.0</w:t>
      </w:r>
      <w:r w:rsidR="001050AB" w:rsidRPr="00DD701C">
        <w:rPr>
          <w:rFonts w:ascii="Times New Roman" w:hAnsi="Times New Roman" w:cs="Times New Roman"/>
          <w:b/>
          <w:sz w:val="24"/>
          <w:szCs w:val="24"/>
        </w:rPr>
        <w:t>6</w:t>
      </w:r>
      <w:r w:rsidRPr="00DD701C">
        <w:rPr>
          <w:rFonts w:ascii="Times New Roman" w:hAnsi="Times New Roman" w:cs="Times New Roman"/>
          <w:b/>
          <w:sz w:val="24"/>
          <w:szCs w:val="24"/>
        </w:rPr>
        <w:t>.202</w:t>
      </w:r>
      <w:r w:rsidR="001050AB" w:rsidRPr="00DD701C">
        <w:rPr>
          <w:rFonts w:ascii="Times New Roman" w:hAnsi="Times New Roman" w:cs="Times New Roman"/>
          <w:b/>
          <w:sz w:val="24"/>
          <w:szCs w:val="24"/>
        </w:rPr>
        <w:t>4</w:t>
      </w:r>
      <w:r w:rsidRPr="00DD701C">
        <w:rPr>
          <w:rFonts w:ascii="Times New Roman" w:hAnsi="Times New Roman" w:cs="Times New Roman"/>
          <w:b/>
          <w:sz w:val="24"/>
          <w:szCs w:val="24"/>
        </w:rPr>
        <w:t xml:space="preserve"> r.</w:t>
      </w:r>
      <w:r w:rsidR="001050AB" w:rsidRPr="00DD701C">
        <w:rPr>
          <w:rStyle w:val="Odwoanieprzypisudolnego"/>
          <w:rFonts w:ascii="Times New Roman" w:hAnsi="Times New Roman" w:cs="Times New Roman"/>
          <w:b/>
          <w:sz w:val="24"/>
          <w:szCs w:val="24"/>
        </w:rPr>
        <w:footnoteReference w:id="1"/>
      </w:r>
    </w:p>
    <w:p w14:paraId="3C9C136C" w14:textId="77777777" w:rsidR="001050AB" w:rsidRPr="00DD701C" w:rsidRDefault="001050AB" w:rsidP="00DD701C">
      <w:pPr>
        <w:spacing w:after="0" w:line="360" w:lineRule="auto"/>
        <w:ind w:firstLine="708"/>
        <w:jc w:val="both"/>
        <w:rPr>
          <w:rFonts w:ascii="Times New Roman" w:hAnsi="Times New Roman" w:cs="Times New Roman"/>
          <w:color w:val="000000"/>
          <w:sz w:val="24"/>
          <w:szCs w:val="24"/>
          <w:shd w:val="clear" w:color="auto" w:fill="FFFFFF"/>
        </w:rPr>
      </w:pPr>
    </w:p>
    <w:p w14:paraId="4C3289D5" w14:textId="429B6E3B" w:rsidR="00756ABD" w:rsidRPr="00DD701C" w:rsidRDefault="001050AB" w:rsidP="00DD701C">
      <w:pPr>
        <w:spacing w:after="0" w:line="360" w:lineRule="auto"/>
        <w:ind w:firstLine="708"/>
        <w:jc w:val="both"/>
        <w:rPr>
          <w:rFonts w:ascii="Times New Roman" w:hAnsi="Times New Roman" w:cs="Times New Roman"/>
          <w:color w:val="000000"/>
          <w:sz w:val="24"/>
          <w:szCs w:val="24"/>
          <w:shd w:val="clear" w:color="auto" w:fill="FFFFFF"/>
        </w:rPr>
      </w:pPr>
      <w:r w:rsidRPr="00DD701C">
        <w:rPr>
          <w:rFonts w:ascii="Times New Roman" w:hAnsi="Times New Roman" w:cs="Times New Roman"/>
          <w:color w:val="000000"/>
          <w:sz w:val="24"/>
          <w:szCs w:val="24"/>
          <w:shd w:val="clear" w:color="auto" w:fill="FFFFFF"/>
        </w:rPr>
        <w:lastRenderedPageBreak/>
        <w:t>Nałożenie grzywny na aktora za ujawnienie poufnych informacji na temat warunków jego umowy, w szczególności wynagrodzenia</w:t>
      </w:r>
      <w:r w:rsidR="002B3F37" w:rsidRPr="00DD701C">
        <w:rPr>
          <w:rFonts w:ascii="Times New Roman" w:hAnsi="Times New Roman" w:cs="Times New Roman"/>
          <w:color w:val="000000"/>
          <w:sz w:val="24"/>
          <w:szCs w:val="24"/>
          <w:shd w:val="clear" w:color="auto" w:fill="FFFFFF"/>
        </w:rPr>
        <w:t xml:space="preserve"> (poufność wynikała z klauzuli umownej)</w:t>
      </w:r>
      <w:r w:rsidRPr="00DD701C">
        <w:rPr>
          <w:rFonts w:ascii="Times New Roman" w:hAnsi="Times New Roman" w:cs="Times New Roman"/>
          <w:color w:val="000000"/>
          <w:sz w:val="24"/>
          <w:szCs w:val="24"/>
          <w:shd w:val="clear" w:color="auto" w:fill="FFFFFF"/>
        </w:rPr>
        <w:t xml:space="preserve">, z prywatną firmą produkcyjną nie narusza art. 10 Konwencji o </w:t>
      </w:r>
      <w:r w:rsidR="00756ABD" w:rsidRPr="00DD701C">
        <w:rPr>
          <w:rFonts w:ascii="Times New Roman" w:hAnsi="Times New Roman" w:cs="Times New Roman"/>
          <w:color w:val="000000"/>
          <w:sz w:val="24"/>
          <w:szCs w:val="24"/>
          <w:shd w:val="clear" w:color="auto" w:fill="FFFFFF"/>
        </w:rPr>
        <w:t>o</w:t>
      </w:r>
      <w:r w:rsidRPr="00DD701C">
        <w:rPr>
          <w:rFonts w:ascii="Times New Roman" w:hAnsi="Times New Roman" w:cs="Times New Roman"/>
          <w:color w:val="000000"/>
          <w:sz w:val="24"/>
          <w:szCs w:val="24"/>
          <w:shd w:val="clear" w:color="auto" w:fill="FFFFFF"/>
        </w:rPr>
        <w:t xml:space="preserve">chronie </w:t>
      </w:r>
      <w:r w:rsidR="00756ABD" w:rsidRPr="00DD701C">
        <w:rPr>
          <w:rFonts w:ascii="Times New Roman" w:hAnsi="Times New Roman" w:cs="Times New Roman"/>
          <w:color w:val="000000"/>
          <w:sz w:val="24"/>
          <w:szCs w:val="24"/>
          <w:shd w:val="clear" w:color="auto" w:fill="FFFFFF"/>
        </w:rPr>
        <w:t>p</w:t>
      </w:r>
      <w:r w:rsidRPr="00DD701C">
        <w:rPr>
          <w:rFonts w:ascii="Times New Roman" w:hAnsi="Times New Roman" w:cs="Times New Roman"/>
          <w:color w:val="000000"/>
          <w:sz w:val="24"/>
          <w:szCs w:val="24"/>
          <w:shd w:val="clear" w:color="auto" w:fill="FFFFFF"/>
        </w:rPr>
        <w:t xml:space="preserve">raw </w:t>
      </w:r>
      <w:r w:rsidR="00756ABD" w:rsidRPr="00DD701C">
        <w:rPr>
          <w:rFonts w:ascii="Times New Roman" w:hAnsi="Times New Roman" w:cs="Times New Roman"/>
          <w:color w:val="000000"/>
          <w:sz w:val="24"/>
          <w:szCs w:val="24"/>
          <w:shd w:val="clear" w:color="auto" w:fill="FFFFFF"/>
        </w:rPr>
        <w:t>c</w:t>
      </w:r>
      <w:r w:rsidRPr="00DD701C">
        <w:rPr>
          <w:rFonts w:ascii="Times New Roman" w:hAnsi="Times New Roman" w:cs="Times New Roman"/>
          <w:color w:val="000000"/>
          <w:sz w:val="24"/>
          <w:szCs w:val="24"/>
          <w:shd w:val="clear" w:color="auto" w:fill="FFFFFF"/>
        </w:rPr>
        <w:t xml:space="preserve">złowieka i </w:t>
      </w:r>
      <w:r w:rsidR="00756ABD" w:rsidRPr="00DD701C">
        <w:rPr>
          <w:rFonts w:ascii="Times New Roman" w:hAnsi="Times New Roman" w:cs="Times New Roman"/>
          <w:color w:val="000000"/>
          <w:sz w:val="24"/>
          <w:szCs w:val="24"/>
          <w:shd w:val="clear" w:color="auto" w:fill="FFFFFF"/>
        </w:rPr>
        <w:t>p</w:t>
      </w:r>
      <w:r w:rsidRPr="00DD701C">
        <w:rPr>
          <w:rFonts w:ascii="Times New Roman" w:hAnsi="Times New Roman" w:cs="Times New Roman"/>
          <w:color w:val="000000"/>
          <w:sz w:val="24"/>
          <w:szCs w:val="24"/>
          <w:shd w:val="clear" w:color="auto" w:fill="FFFFFF"/>
        </w:rPr>
        <w:t xml:space="preserve">odstawowych </w:t>
      </w:r>
      <w:r w:rsidR="00756ABD" w:rsidRPr="00DD701C">
        <w:rPr>
          <w:rFonts w:ascii="Times New Roman" w:hAnsi="Times New Roman" w:cs="Times New Roman"/>
          <w:color w:val="000000"/>
          <w:sz w:val="24"/>
          <w:szCs w:val="24"/>
          <w:shd w:val="clear" w:color="auto" w:fill="FFFFFF"/>
        </w:rPr>
        <w:t>w</w:t>
      </w:r>
      <w:r w:rsidRPr="00DD701C">
        <w:rPr>
          <w:rFonts w:ascii="Times New Roman" w:hAnsi="Times New Roman" w:cs="Times New Roman"/>
          <w:color w:val="000000"/>
          <w:sz w:val="24"/>
          <w:szCs w:val="24"/>
          <w:shd w:val="clear" w:color="auto" w:fill="FFFFFF"/>
        </w:rPr>
        <w:t>olności</w:t>
      </w:r>
      <w:r w:rsidR="00756ABD" w:rsidRPr="00DD701C">
        <w:rPr>
          <w:rStyle w:val="Odwoanieprzypisudolnego"/>
          <w:rFonts w:ascii="Times New Roman" w:hAnsi="Times New Roman" w:cs="Times New Roman"/>
          <w:color w:val="000000"/>
          <w:sz w:val="24"/>
          <w:szCs w:val="24"/>
          <w:shd w:val="clear" w:color="auto" w:fill="FFFFFF"/>
        </w:rPr>
        <w:footnoteReference w:id="2"/>
      </w:r>
      <w:r w:rsidR="00756ABD" w:rsidRPr="00DD701C">
        <w:rPr>
          <w:rFonts w:ascii="Times New Roman" w:hAnsi="Times New Roman" w:cs="Times New Roman"/>
          <w:color w:val="000000"/>
          <w:sz w:val="24"/>
          <w:szCs w:val="24"/>
          <w:shd w:val="clear" w:color="auto" w:fill="FFFFFF"/>
        </w:rPr>
        <w:t>, nawet jeśli produkcja była finansowana z środków publicznych</w:t>
      </w:r>
      <w:r w:rsidR="002A536C" w:rsidRPr="00DD701C">
        <w:rPr>
          <w:rFonts w:ascii="Times New Roman" w:hAnsi="Times New Roman" w:cs="Times New Roman"/>
          <w:color w:val="000000"/>
          <w:sz w:val="24"/>
          <w:szCs w:val="24"/>
          <w:shd w:val="clear" w:color="auto" w:fill="FFFFFF"/>
        </w:rPr>
        <w:t xml:space="preserve"> a skarżący powoływał się na interes publiczny w ujawnieniu informacji o wydatkach z budżetu państwa.</w:t>
      </w:r>
    </w:p>
    <w:p w14:paraId="0D816DFC" w14:textId="2104B222" w:rsidR="0063475B" w:rsidRPr="00DD701C" w:rsidRDefault="001050AB" w:rsidP="00DD701C">
      <w:pPr>
        <w:spacing w:after="0" w:line="360" w:lineRule="auto"/>
        <w:ind w:firstLine="708"/>
        <w:jc w:val="both"/>
        <w:rPr>
          <w:rFonts w:ascii="Times New Roman" w:hAnsi="Times New Roman" w:cs="Times New Roman"/>
          <w:color w:val="000000"/>
          <w:sz w:val="24"/>
          <w:szCs w:val="24"/>
          <w:shd w:val="clear" w:color="auto" w:fill="FFFFFF"/>
        </w:rPr>
      </w:pPr>
      <w:r w:rsidRPr="00DD701C">
        <w:rPr>
          <w:rFonts w:ascii="Times New Roman" w:hAnsi="Times New Roman" w:cs="Times New Roman"/>
          <w:color w:val="000000"/>
          <w:sz w:val="24"/>
          <w:szCs w:val="24"/>
          <w:shd w:val="clear" w:color="auto" w:fill="FFFFFF"/>
        </w:rPr>
        <w:t xml:space="preserve"> </w:t>
      </w:r>
    </w:p>
    <w:p w14:paraId="4A4C2190" w14:textId="0CC55BCE" w:rsidR="0063475B" w:rsidRPr="00D022AD" w:rsidRDefault="0063475B" w:rsidP="00DD701C">
      <w:pPr>
        <w:pStyle w:val="Bezodstpw"/>
        <w:numPr>
          <w:ilvl w:val="0"/>
          <w:numId w:val="1"/>
        </w:numPr>
        <w:spacing w:line="360" w:lineRule="auto"/>
        <w:jc w:val="both"/>
        <w:rPr>
          <w:rFonts w:ascii="Times New Roman" w:hAnsi="Times New Roman" w:cs="Times New Roman"/>
          <w:b/>
          <w:bCs/>
          <w:sz w:val="24"/>
          <w:szCs w:val="24"/>
        </w:rPr>
      </w:pPr>
      <w:r w:rsidRPr="00D022AD">
        <w:rPr>
          <w:rFonts w:ascii="Times New Roman" w:hAnsi="Times New Roman" w:cs="Times New Roman"/>
          <w:b/>
          <w:bCs/>
          <w:sz w:val="24"/>
          <w:szCs w:val="24"/>
        </w:rPr>
        <w:t>Stan faktyczny</w:t>
      </w:r>
      <w:r w:rsidR="00B95872" w:rsidRPr="00D022AD">
        <w:rPr>
          <w:rFonts w:ascii="Times New Roman" w:hAnsi="Times New Roman" w:cs="Times New Roman"/>
          <w:b/>
          <w:bCs/>
          <w:sz w:val="24"/>
          <w:szCs w:val="24"/>
        </w:rPr>
        <w:t xml:space="preserve"> oraz stanowisko sądów krajowych</w:t>
      </w:r>
    </w:p>
    <w:p w14:paraId="2D8E3C8B" w14:textId="1AD48561" w:rsidR="002A536C" w:rsidRPr="00DD701C" w:rsidRDefault="002627A2"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W 20</w:t>
      </w:r>
      <w:r w:rsidR="000A4BC0" w:rsidRPr="00DD701C">
        <w:rPr>
          <w:rFonts w:ascii="Times New Roman" w:hAnsi="Times New Roman" w:cs="Times New Roman"/>
          <w:sz w:val="24"/>
          <w:szCs w:val="24"/>
        </w:rPr>
        <w:t>1</w:t>
      </w:r>
      <w:r w:rsidRPr="00DD701C">
        <w:rPr>
          <w:rFonts w:ascii="Times New Roman" w:hAnsi="Times New Roman" w:cs="Times New Roman"/>
          <w:sz w:val="24"/>
          <w:szCs w:val="24"/>
        </w:rPr>
        <w:t>1 r. aktor (skarżący) zawa</w:t>
      </w:r>
      <w:r w:rsidR="00777866" w:rsidRPr="00DD701C">
        <w:rPr>
          <w:rFonts w:ascii="Times New Roman" w:hAnsi="Times New Roman" w:cs="Times New Roman"/>
          <w:sz w:val="24"/>
          <w:szCs w:val="24"/>
        </w:rPr>
        <w:t>r</w:t>
      </w:r>
      <w:r w:rsidRPr="00DD701C">
        <w:rPr>
          <w:rFonts w:ascii="Times New Roman" w:hAnsi="Times New Roman" w:cs="Times New Roman"/>
          <w:sz w:val="24"/>
          <w:szCs w:val="24"/>
        </w:rPr>
        <w:t>ł umowę agencyjną na czas nieokreślon</w:t>
      </w:r>
      <w:r w:rsidR="001572CB" w:rsidRPr="00DD701C">
        <w:rPr>
          <w:rFonts w:ascii="Times New Roman" w:hAnsi="Times New Roman" w:cs="Times New Roman"/>
          <w:sz w:val="24"/>
          <w:szCs w:val="24"/>
        </w:rPr>
        <w:t>y</w:t>
      </w:r>
      <w:r w:rsidRPr="00DD701C">
        <w:rPr>
          <w:rFonts w:ascii="Times New Roman" w:hAnsi="Times New Roman" w:cs="Times New Roman"/>
          <w:sz w:val="24"/>
          <w:szCs w:val="24"/>
        </w:rPr>
        <w:t xml:space="preserve"> ze spółką produkcyjną w celu zagrania jednej z głównych ról w serialu telewizyjnym. Serial miał powstać w związku z wcześniejszą umową, na podstawie której spółka produkcyjna otrzymała zlecenie od państwowego funduszu, finansowanego ze środków publicznych, na </w:t>
      </w:r>
      <w:r w:rsidR="00B34D5D" w:rsidRPr="00DD701C">
        <w:rPr>
          <w:rFonts w:ascii="Times New Roman" w:hAnsi="Times New Roman" w:cs="Times New Roman"/>
          <w:sz w:val="24"/>
          <w:szCs w:val="24"/>
        </w:rPr>
        <w:t>koprodukcję</w:t>
      </w:r>
      <w:r w:rsidRPr="00DD701C">
        <w:rPr>
          <w:rFonts w:ascii="Times New Roman" w:hAnsi="Times New Roman" w:cs="Times New Roman"/>
          <w:sz w:val="24"/>
          <w:szCs w:val="24"/>
        </w:rPr>
        <w:t xml:space="preserve"> serialu telewizyjnego. Serial telewizyjny miał być składnikiem usług mediów publicznych. Umowa </w:t>
      </w:r>
      <w:r w:rsidR="001572CB" w:rsidRPr="00DD701C">
        <w:rPr>
          <w:rFonts w:ascii="Times New Roman" w:hAnsi="Times New Roman" w:cs="Times New Roman"/>
          <w:sz w:val="24"/>
          <w:szCs w:val="24"/>
        </w:rPr>
        <w:t>zawarta w 20</w:t>
      </w:r>
      <w:r w:rsidR="000A4BC0" w:rsidRPr="00DD701C">
        <w:rPr>
          <w:rFonts w:ascii="Times New Roman" w:hAnsi="Times New Roman" w:cs="Times New Roman"/>
          <w:sz w:val="24"/>
          <w:szCs w:val="24"/>
        </w:rPr>
        <w:t>1</w:t>
      </w:r>
      <w:r w:rsidR="001572CB" w:rsidRPr="00DD701C">
        <w:rPr>
          <w:rFonts w:ascii="Times New Roman" w:hAnsi="Times New Roman" w:cs="Times New Roman"/>
          <w:sz w:val="24"/>
          <w:szCs w:val="24"/>
        </w:rPr>
        <w:t xml:space="preserve">1 r. z aktorem przewidywała wynagrodzenie w wysokości około 400 euro za odcinek i miesięczny ryczałt w wysokości około 1500 euro. </w:t>
      </w:r>
    </w:p>
    <w:p w14:paraId="68065966" w14:textId="3183C970" w:rsidR="00C3695F" w:rsidRPr="00DD701C" w:rsidRDefault="000F3F1F"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A</w:t>
      </w:r>
      <w:r w:rsidR="001572CB" w:rsidRPr="00DD701C">
        <w:rPr>
          <w:rFonts w:ascii="Times New Roman" w:hAnsi="Times New Roman" w:cs="Times New Roman"/>
          <w:sz w:val="24"/>
          <w:szCs w:val="24"/>
        </w:rPr>
        <w:t xml:space="preserve">ktor zobowiązał się </w:t>
      </w:r>
      <w:r w:rsidRPr="00DD701C">
        <w:rPr>
          <w:rFonts w:ascii="Times New Roman" w:hAnsi="Times New Roman" w:cs="Times New Roman"/>
          <w:sz w:val="24"/>
          <w:szCs w:val="24"/>
        </w:rPr>
        <w:t xml:space="preserve">w umowie </w:t>
      </w:r>
      <w:r w:rsidR="001572CB" w:rsidRPr="00DD701C">
        <w:rPr>
          <w:rFonts w:ascii="Times New Roman" w:hAnsi="Times New Roman" w:cs="Times New Roman"/>
          <w:sz w:val="24"/>
          <w:szCs w:val="24"/>
        </w:rPr>
        <w:t xml:space="preserve">do nieujawniania </w:t>
      </w:r>
      <w:r w:rsidRPr="00DD701C">
        <w:rPr>
          <w:rFonts w:ascii="Times New Roman" w:hAnsi="Times New Roman" w:cs="Times New Roman"/>
          <w:sz w:val="24"/>
          <w:szCs w:val="24"/>
        </w:rPr>
        <w:t xml:space="preserve">bez zgody spółki </w:t>
      </w:r>
      <w:r w:rsidR="001572CB" w:rsidRPr="00DD701C">
        <w:rPr>
          <w:rFonts w:ascii="Times New Roman" w:hAnsi="Times New Roman" w:cs="Times New Roman"/>
          <w:sz w:val="24"/>
          <w:szCs w:val="24"/>
        </w:rPr>
        <w:t xml:space="preserve">żadnych poufnych informacji handlowych objętych umową, w tym </w:t>
      </w:r>
      <w:r w:rsidRPr="00DD701C">
        <w:rPr>
          <w:rFonts w:ascii="Times New Roman" w:hAnsi="Times New Roman" w:cs="Times New Roman"/>
          <w:sz w:val="24"/>
          <w:szCs w:val="24"/>
        </w:rPr>
        <w:t xml:space="preserve">informacji dotyczących zleceniodawcy produkcji i jego partnerów, powiązań biznesowych, szczegółów na temat działalności związanej z usługami medialnymi oraz wysokości ustalonego wynagrodzenia. Zgodnie z treścią umowy aktor nie mógł ujawniać wyżej wymienionych informacji również innym aktorom serialu lub innym osobom, które otrzymały wynagrodzenie za ich wkład w serial. Naruszenie umownego zobowiązania do zachowania poufności miał skutkować przyjęciem na siebie odpowiedzialności odszkodowawczej oraz dodatkowo zapłaty kary umownej w wysokości około 26000 euro. </w:t>
      </w:r>
      <w:r w:rsidR="000A4BC0" w:rsidRPr="00DD701C">
        <w:rPr>
          <w:rFonts w:ascii="Times New Roman" w:hAnsi="Times New Roman" w:cs="Times New Roman"/>
          <w:sz w:val="24"/>
          <w:szCs w:val="24"/>
        </w:rPr>
        <w:t>W 2012 r. produkcja serialu została zakończona a w dniu 1.08.</w:t>
      </w:r>
      <w:r w:rsidR="002A536C" w:rsidRPr="00DD701C">
        <w:rPr>
          <w:rFonts w:ascii="Times New Roman" w:hAnsi="Times New Roman" w:cs="Times New Roman"/>
          <w:sz w:val="24"/>
          <w:szCs w:val="24"/>
        </w:rPr>
        <w:t xml:space="preserve">2012 r. firma produkcyjna rozwiązała umowę ze skarżącym. </w:t>
      </w:r>
      <w:r w:rsidR="00C3695F" w:rsidRPr="00DD701C">
        <w:rPr>
          <w:rFonts w:ascii="Times New Roman" w:hAnsi="Times New Roman" w:cs="Times New Roman"/>
          <w:sz w:val="24"/>
          <w:szCs w:val="24"/>
        </w:rPr>
        <w:t xml:space="preserve"> </w:t>
      </w:r>
    </w:p>
    <w:p w14:paraId="469C0952" w14:textId="06549069" w:rsidR="004A3F10" w:rsidRPr="00DD701C" w:rsidRDefault="004A3F10"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Już po zawarciu umowy z aktorem, niezależny</w:t>
      </w:r>
      <w:r w:rsidR="002A536C" w:rsidRPr="00DD701C">
        <w:rPr>
          <w:rFonts w:ascii="Times New Roman" w:hAnsi="Times New Roman" w:cs="Times New Roman"/>
          <w:sz w:val="24"/>
          <w:szCs w:val="24"/>
        </w:rPr>
        <w:t xml:space="preserve"> śledczy portal internetowy wytoczył powództwo spółce producenckiej domagając się ujawnienia </w:t>
      </w:r>
      <w:r w:rsidR="00E265EB" w:rsidRPr="00DD701C">
        <w:rPr>
          <w:rFonts w:ascii="Times New Roman" w:hAnsi="Times New Roman" w:cs="Times New Roman"/>
          <w:sz w:val="24"/>
          <w:szCs w:val="24"/>
        </w:rPr>
        <w:t>informacji na temat wydatków publicznych</w:t>
      </w:r>
      <w:r w:rsidR="0097201B" w:rsidRPr="00DD701C">
        <w:rPr>
          <w:rFonts w:ascii="Times New Roman" w:hAnsi="Times New Roman" w:cs="Times New Roman"/>
          <w:sz w:val="24"/>
          <w:szCs w:val="24"/>
        </w:rPr>
        <w:t xml:space="preserve">, w oparciu o </w:t>
      </w:r>
      <w:r w:rsidR="00025E5E" w:rsidRPr="00DD701C">
        <w:rPr>
          <w:rFonts w:ascii="Times New Roman" w:hAnsi="Times New Roman" w:cs="Times New Roman"/>
          <w:sz w:val="24"/>
          <w:szCs w:val="24"/>
        </w:rPr>
        <w:t xml:space="preserve">węgierskie </w:t>
      </w:r>
      <w:r w:rsidR="0097201B" w:rsidRPr="00DD701C">
        <w:rPr>
          <w:rFonts w:ascii="Times New Roman" w:hAnsi="Times New Roman" w:cs="Times New Roman"/>
          <w:sz w:val="24"/>
          <w:szCs w:val="24"/>
        </w:rPr>
        <w:t>przepisy o dostępie do informacji publicznej.</w:t>
      </w:r>
      <w:r w:rsidR="002A536C" w:rsidRPr="00DD701C">
        <w:rPr>
          <w:rFonts w:ascii="Times New Roman" w:hAnsi="Times New Roman" w:cs="Times New Roman"/>
          <w:sz w:val="24"/>
          <w:szCs w:val="24"/>
        </w:rPr>
        <w:t xml:space="preserve"> </w:t>
      </w:r>
      <w:r w:rsidR="0097201B" w:rsidRPr="00DD701C">
        <w:rPr>
          <w:rFonts w:ascii="Times New Roman" w:hAnsi="Times New Roman" w:cs="Times New Roman"/>
          <w:sz w:val="24"/>
          <w:szCs w:val="24"/>
        </w:rPr>
        <w:t>Powództwo zostało uwzględnione w czerwcu 2013 r. a spółka producencka została zobowiązana do ujawnienia kosztów produkcji serialu.</w:t>
      </w:r>
      <w:r w:rsidR="007D0C96" w:rsidRPr="00DD701C">
        <w:rPr>
          <w:rFonts w:ascii="Times New Roman" w:hAnsi="Times New Roman" w:cs="Times New Roman"/>
          <w:sz w:val="24"/>
          <w:szCs w:val="24"/>
        </w:rPr>
        <w:t xml:space="preserve">  </w:t>
      </w:r>
      <w:r w:rsidRPr="00DD701C">
        <w:rPr>
          <w:rFonts w:ascii="Times New Roman" w:hAnsi="Times New Roman" w:cs="Times New Roman"/>
          <w:sz w:val="24"/>
          <w:szCs w:val="24"/>
        </w:rPr>
        <w:t xml:space="preserve">Już po wydaniu wyroku, 16.01.2014 r. aktor udzielił wywiadu wideo portalowi internetowemu na temat wynagrodzenia, jakie otrzymał od spółki producenckiej. Na podstawie tego wywiadu został również opublikowany artykuł. Oprócz </w:t>
      </w:r>
      <w:r w:rsidRPr="00DD701C">
        <w:rPr>
          <w:rFonts w:ascii="Times New Roman" w:hAnsi="Times New Roman" w:cs="Times New Roman"/>
          <w:sz w:val="24"/>
          <w:szCs w:val="24"/>
        </w:rPr>
        <w:lastRenderedPageBreak/>
        <w:t xml:space="preserve">informacji przekazanych mediom, aktor </w:t>
      </w:r>
      <w:r w:rsidR="00025E5E" w:rsidRPr="00DD701C">
        <w:rPr>
          <w:rFonts w:ascii="Times New Roman" w:hAnsi="Times New Roman" w:cs="Times New Roman"/>
          <w:sz w:val="24"/>
          <w:szCs w:val="24"/>
        </w:rPr>
        <w:t xml:space="preserve">w innym postępowaniu przed sądem </w:t>
      </w:r>
      <w:r w:rsidRPr="00DD701C">
        <w:rPr>
          <w:rFonts w:ascii="Times New Roman" w:hAnsi="Times New Roman" w:cs="Times New Roman"/>
          <w:sz w:val="24"/>
          <w:szCs w:val="24"/>
        </w:rPr>
        <w:t>zeznawał 18.02.2014 r. na temat wysokości otrzymanego wynagrodzenia.</w:t>
      </w:r>
    </w:p>
    <w:p w14:paraId="654A0949" w14:textId="77777777" w:rsidR="00683C64" w:rsidRPr="00DD701C" w:rsidRDefault="004A3F10"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W związku z ujawnieniem in</w:t>
      </w:r>
      <w:r w:rsidR="007D0C96" w:rsidRPr="00DD701C">
        <w:rPr>
          <w:rFonts w:ascii="Times New Roman" w:hAnsi="Times New Roman" w:cs="Times New Roman"/>
          <w:sz w:val="24"/>
          <w:szCs w:val="24"/>
        </w:rPr>
        <w:t>fo</w:t>
      </w:r>
      <w:r w:rsidRPr="00DD701C">
        <w:rPr>
          <w:rFonts w:ascii="Times New Roman" w:hAnsi="Times New Roman" w:cs="Times New Roman"/>
          <w:sz w:val="24"/>
          <w:szCs w:val="24"/>
        </w:rPr>
        <w:t>rmacji na temat zarobków spółka producencka pozwała</w:t>
      </w:r>
      <w:r w:rsidR="007D0C96" w:rsidRPr="00DD701C">
        <w:rPr>
          <w:rFonts w:ascii="Times New Roman" w:hAnsi="Times New Roman" w:cs="Times New Roman"/>
          <w:sz w:val="24"/>
          <w:szCs w:val="24"/>
        </w:rPr>
        <w:t xml:space="preserve"> aktora, żądając zapłaty kary umownej zastrzeżonej na wypadek ujawnienia zastrzeżonych informacji</w:t>
      </w:r>
      <w:r w:rsidR="00025E5E" w:rsidRPr="00DD701C">
        <w:rPr>
          <w:rFonts w:ascii="Times New Roman" w:hAnsi="Times New Roman" w:cs="Times New Roman"/>
          <w:sz w:val="24"/>
          <w:szCs w:val="24"/>
        </w:rPr>
        <w:t xml:space="preserve"> (odpowiadającej ponad 17 – to krotności miesięcznego ryczałtu dla aktora za udział w serialu</w:t>
      </w:r>
      <w:r w:rsidR="007D0C96" w:rsidRPr="00DD701C">
        <w:rPr>
          <w:rFonts w:ascii="Times New Roman" w:hAnsi="Times New Roman" w:cs="Times New Roman"/>
          <w:sz w:val="24"/>
          <w:szCs w:val="24"/>
        </w:rPr>
        <w:t xml:space="preserve">. Powództwo zostało uwzględnione a wyrok nie uległ zmianie przed sądem II instancji oraz przed Sądem Najwyższym. </w:t>
      </w:r>
      <w:r w:rsidR="00025E5E" w:rsidRPr="00DD701C">
        <w:rPr>
          <w:rFonts w:ascii="Times New Roman" w:hAnsi="Times New Roman" w:cs="Times New Roman"/>
          <w:sz w:val="24"/>
          <w:szCs w:val="24"/>
        </w:rPr>
        <w:t>W toku postępowania (co jest istotne dla ETPC</w:t>
      </w:r>
      <w:r w:rsidR="00DA4AFD" w:rsidRPr="00DD701C">
        <w:rPr>
          <w:rFonts w:ascii="Times New Roman" w:hAnsi="Times New Roman" w:cs="Times New Roman"/>
          <w:sz w:val="24"/>
          <w:szCs w:val="24"/>
        </w:rPr>
        <w:t xml:space="preserve"> – pkt 39 i 40 wyroku</w:t>
      </w:r>
      <w:r w:rsidR="00025E5E" w:rsidRPr="00DD701C">
        <w:rPr>
          <w:rFonts w:ascii="Times New Roman" w:hAnsi="Times New Roman" w:cs="Times New Roman"/>
          <w:sz w:val="24"/>
          <w:szCs w:val="24"/>
        </w:rPr>
        <w:t>) sądy poddały analizie stanowisko pozwanego również w kontekście</w:t>
      </w:r>
      <w:r w:rsidR="00B95872" w:rsidRPr="00DD701C">
        <w:rPr>
          <w:rFonts w:ascii="Times New Roman" w:hAnsi="Times New Roman" w:cs="Times New Roman"/>
          <w:sz w:val="24"/>
          <w:szCs w:val="24"/>
        </w:rPr>
        <w:t xml:space="preserve"> znaczenia klauzuli poufności dla wolności słowa i publicznego dostępu do informacji o znaczeniu publicznym. </w:t>
      </w:r>
      <w:r w:rsidR="00DA4AFD" w:rsidRPr="00DD701C">
        <w:rPr>
          <w:rFonts w:ascii="Times New Roman" w:hAnsi="Times New Roman" w:cs="Times New Roman"/>
          <w:sz w:val="24"/>
          <w:szCs w:val="24"/>
        </w:rPr>
        <w:t>Sądy krajowe uznały, że kwestia informacji publicznej nie miała wpływu na poufny charakter informacji ujawnionych przez aktora. Skarżący nie był osobą zobowiązaną ani uprawnioną do ujawnienia informacji publicznej (pkt 13 wyroku). Sądy uznały również, że biorąc pod uwagę koszty, personel oraz skutki finansowe produkcji, spółka producencka miała „żywotny interes w utrzymaniu tych informacji w tajemnicy” (pkt 14 wyroku). Sąd Najwyższy uznał również, że choć spółka producencka miała obowiązek ujawnienia określonych informacji w trybie dostępu do informacji publicznej, to podmiotem zobowiązany do tego nie był aktor</w:t>
      </w:r>
      <w:r w:rsidR="00683C64" w:rsidRPr="00DD701C">
        <w:rPr>
          <w:rFonts w:ascii="Times New Roman" w:hAnsi="Times New Roman" w:cs="Times New Roman"/>
          <w:sz w:val="24"/>
          <w:szCs w:val="24"/>
        </w:rPr>
        <w:t xml:space="preserve"> (pkt 15 wyroku).</w:t>
      </w:r>
    </w:p>
    <w:p w14:paraId="2571C2C0" w14:textId="16465073" w:rsidR="004A3F10" w:rsidRDefault="00683C64"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 xml:space="preserve">Skarżący, po negatywnym wyczerpaniu drogi przed sądami, w tym Sądem Najwyższym, wniósł skargę konstytucyjną, która została oddalona 19.06.2019 r. </w:t>
      </w:r>
      <w:r w:rsidR="00DA4AFD" w:rsidRPr="00DD701C">
        <w:rPr>
          <w:rFonts w:ascii="Times New Roman" w:hAnsi="Times New Roman" w:cs="Times New Roman"/>
          <w:sz w:val="24"/>
          <w:szCs w:val="24"/>
        </w:rPr>
        <w:t xml:space="preserve"> </w:t>
      </w:r>
      <w:r w:rsidRPr="00DD701C">
        <w:rPr>
          <w:rFonts w:ascii="Times New Roman" w:hAnsi="Times New Roman" w:cs="Times New Roman"/>
          <w:sz w:val="24"/>
          <w:szCs w:val="24"/>
        </w:rPr>
        <w:t>Węgierski Trybunał Konstytucyjny uznał, że nie narusza art. 6 ust. 3 ustawy zasadniczej, stwierdzającego, że „każdy ma prawo do (…) dostępu do danych leżących w interesie publicznym i do ich rozpowszechniania”, zawieranie umów o zachowaniu w poufności między podmiotami prywatnymi a podmiotami zobowiązanymi do ujawnienia informacji dotyczących interesu publicznego</w:t>
      </w:r>
      <w:r w:rsidR="00735988" w:rsidRPr="00DD701C">
        <w:rPr>
          <w:rFonts w:ascii="Times New Roman" w:hAnsi="Times New Roman" w:cs="Times New Roman"/>
          <w:sz w:val="24"/>
          <w:szCs w:val="24"/>
        </w:rPr>
        <w:t>.</w:t>
      </w:r>
      <w:r w:rsidRPr="00DD701C">
        <w:rPr>
          <w:rFonts w:ascii="Times New Roman" w:hAnsi="Times New Roman" w:cs="Times New Roman"/>
          <w:sz w:val="24"/>
          <w:szCs w:val="24"/>
        </w:rPr>
        <w:t xml:space="preserve"> Węgierski TK uznał, że </w:t>
      </w:r>
      <w:r w:rsidR="00735988" w:rsidRPr="00DD701C">
        <w:rPr>
          <w:rFonts w:ascii="Times New Roman" w:hAnsi="Times New Roman" w:cs="Times New Roman"/>
          <w:sz w:val="24"/>
          <w:szCs w:val="24"/>
        </w:rPr>
        <w:t xml:space="preserve">rozpowszechnianie informacji objętych zakresem interesu publicznego przez podmioty prawa prywatnego może być ograniczone obowiązkiem zachowania poufności w celu ochrony interesu gospodarczego (pkt 16 wyroku).  </w:t>
      </w:r>
    </w:p>
    <w:p w14:paraId="43ABAECC" w14:textId="77777777" w:rsidR="00D022AD" w:rsidRPr="00DD701C" w:rsidRDefault="00D022AD" w:rsidP="00DD701C">
      <w:pPr>
        <w:pStyle w:val="Bezodstpw"/>
        <w:spacing w:line="360" w:lineRule="auto"/>
        <w:ind w:firstLine="708"/>
        <w:jc w:val="both"/>
        <w:rPr>
          <w:rFonts w:ascii="Times New Roman" w:hAnsi="Times New Roman" w:cs="Times New Roman"/>
          <w:sz w:val="24"/>
          <w:szCs w:val="24"/>
        </w:rPr>
      </w:pPr>
    </w:p>
    <w:p w14:paraId="4993CE2D" w14:textId="1B258C1F" w:rsidR="001A4E76" w:rsidRPr="00D022AD" w:rsidRDefault="009E5A80" w:rsidP="00DD701C">
      <w:pPr>
        <w:pStyle w:val="Bezodstpw"/>
        <w:numPr>
          <w:ilvl w:val="0"/>
          <w:numId w:val="1"/>
        </w:numPr>
        <w:spacing w:line="360" w:lineRule="auto"/>
        <w:jc w:val="both"/>
        <w:rPr>
          <w:rFonts w:ascii="Times New Roman" w:hAnsi="Times New Roman" w:cs="Times New Roman"/>
          <w:b/>
          <w:bCs/>
          <w:sz w:val="24"/>
          <w:szCs w:val="24"/>
        </w:rPr>
      </w:pPr>
      <w:r w:rsidRPr="00D022AD">
        <w:rPr>
          <w:rFonts w:ascii="Times New Roman" w:hAnsi="Times New Roman" w:cs="Times New Roman"/>
          <w:b/>
          <w:bCs/>
          <w:sz w:val="24"/>
          <w:szCs w:val="24"/>
        </w:rPr>
        <w:t>Stanowisko ETPC</w:t>
      </w:r>
    </w:p>
    <w:p w14:paraId="684CB4B8" w14:textId="65A6D551" w:rsidR="00154CE5" w:rsidRPr="00DD701C" w:rsidRDefault="00672A2E"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Gl</w:t>
      </w:r>
      <w:r w:rsidR="00154CE5" w:rsidRPr="00DD701C">
        <w:rPr>
          <w:rFonts w:ascii="Times New Roman" w:hAnsi="Times New Roman" w:cs="Times New Roman"/>
          <w:sz w:val="24"/>
          <w:szCs w:val="24"/>
        </w:rPr>
        <w:t xml:space="preserve">osowany wyrok </w:t>
      </w:r>
      <w:r w:rsidRPr="00DD701C">
        <w:rPr>
          <w:rFonts w:ascii="Times New Roman" w:hAnsi="Times New Roman" w:cs="Times New Roman"/>
          <w:sz w:val="24"/>
          <w:szCs w:val="24"/>
        </w:rPr>
        <w:t xml:space="preserve">zawiera krótkie, syntetyczne </w:t>
      </w:r>
      <w:r w:rsidR="00154CE5" w:rsidRPr="00DD701C">
        <w:rPr>
          <w:rFonts w:ascii="Times New Roman" w:hAnsi="Times New Roman" w:cs="Times New Roman"/>
          <w:sz w:val="24"/>
          <w:szCs w:val="24"/>
        </w:rPr>
        <w:t>uzasadnienie</w:t>
      </w:r>
      <w:r w:rsidR="00D60714" w:rsidRPr="00DD701C">
        <w:rPr>
          <w:rFonts w:ascii="Times New Roman" w:hAnsi="Times New Roman" w:cs="Times New Roman"/>
          <w:sz w:val="24"/>
          <w:szCs w:val="24"/>
        </w:rPr>
        <w:t xml:space="preserve">, mimo tego, że dotyczy </w:t>
      </w:r>
      <w:r w:rsidR="004F6D80" w:rsidRPr="00DD701C">
        <w:rPr>
          <w:rFonts w:ascii="Times New Roman" w:hAnsi="Times New Roman" w:cs="Times New Roman"/>
          <w:sz w:val="24"/>
          <w:szCs w:val="24"/>
        </w:rPr>
        <w:t xml:space="preserve">skomplikowanego zagadnienia </w:t>
      </w:r>
      <w:r w:rsidR="00D60714" w:rsidRPr="00DD701C">
        <w:rPr>
          <w:rFonts w:ascii="Times New Roman" w:hAnsi="Times New Roman" w:cs="Times New Roman"/>
          <w:sz w:val="24"/>
          <w:szCs w:val="24"/>
        </w:rPr>
        <w:t>ważenia podstawowych wartości i interesów</w:t>
      </w:r>
      <w:r w:rsidR="00154CE5" w:rsidRPr="00DD701C">
        <w:rPr>
          <w:rFonts w:ascii="Times New Roman" w:hAnsi="Times New Roman" w:cs="Times New Roman"/>
          <w:sz w:val="24"/>
          <w:szCs w:val="24"/>
        </w:rPr>
        <w:t xml:space="preserve">. Skarżący wskazywał, że nałożenie tak wysokiej grzywny na niego za ujawnienie informacji publicznej było nieproporcjonalne. Wskazywał, że ujawnił informacje leżące w interesie publicznym (to było motywem jego postępowania), a spółka producencka nie wykazała żadnej szkody, którą miałaby ponieść. Z kolei rząd węgierski argumentował, że ograniczenie swobody wypowiedzi </w:t>
      </w:r>
      <w:r w:rsidR="00154CE5" w:rsidRPr="00DD701C">
        <w:rPr>
          <w:rFonts w:ascii="Times New Roman" w:hAnsi="Times New Roman" w:cs="Times New Roman"/>
          <w:sz w:val="24"/>
          <w:szCs w:val="24"/>
        </w:rPr>
        <w:lastRenderedPageBreak/>
        <w:t xml:space="preserve">skarżącego zostało przewidziane w umowie, na którą skarżący dobrowolnie wyraził zgodę i która była zgodna z regułami prawa cywilnego dotyczącymi zobowiązań umownych. </w:t>
      </w:r>
      <w:r w:rsidR="00F835E0" w:rsidRPr="00DD701C">
        <w:rPr>
          <w:rFonts w:ascii="Times New Roman" w:hAnsi="Times New Roman" w:cs="Times New Roman"/>
          <w:sz w:val="24"/>
          <w:szCs w:val="24"/>
        </w:rPr>
        <w:t xml:space="preserve">Ograniczenie </w:t>
      </w:r>
      <w:r w:rsidR="00DB0CDE" w:rsidRPr="00DD701C">
        <w:rPr>
          <w:rFonts w:ascii="Times New Roman" w:hAnsi="Times New Roman" w:cs="Times New Roman"/>
          <w:sz w:val="24"/>
          <w:szCs w:val="24"/>
        </w:rPr>
        <w:t xml:space="preserve">to było konieczne dla ochrony interesów osób trzecich i było proporcjonalne do tego celu. </w:t>
      </w:r>
    </w:p>
    <w:p w14:paraId="575C0D3A" w14:textId="58C42A2E" w:rsidR="00DB0CDE" w:rsidRPr="00DD701C" w:rsidRDefault="002F550E"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ETPC uznał na wstępie, że ochrona swobody wypowiedzi obejmuje też „miejsce pracy”</w:t>
      </w:r>
      <w:r w:rsidR="00D60714" w:rsidRPr="00DD701C">
        <w:rPr>
          <w:rFonts w:ascii="Times New Roman" w:hAnsi="Times New Roman" w:cs="Times New Roman"/>
          <w:sz w:val="24"/>
          <w:szCs w:val="24"/>
        </w:rPr>
        <w:t xml:space="preserve">. Wskazał również, że art. 10 Konwencji jest wiążący „nie tylko w stosunkach między pracodawcą a pracownikiem, gdy stosunki te są regulowane prawem publicznym, ale może również mieć zastosowanie, gdy są one uregulowane prawem prywatnym” (pkt 33 wyroku). </w:t>
      </w:r>
      <w:r w:rsidR="004F6D80" w:rsidRPr="00DD701C">
        <w:rPr>
          <w:rFonts w:ascii="Times New Roman" w:hAnsi="Times New Roman" w:cs="Times New Roman"/>
          <w:sz w:val="24"/>
          <w:szCs w:val="24"/>
        </w:rPr>
        <w:t>Skuteczne korzystanie z wolności wypowiedzi może bowiem również wymagać pozytywnych środków ochrony również w sferze stosunków między jednostkami a na państwie ciąży obowiązek ochrony prawa do wypowiedzi również przed ingerencją osób prywatnych (</w:t>
      </w:r>
      <w:r w:rsidR="00A44DB4" w:rsidRPr="00DD701C">
        <w:rPr>
          <w:rFonts w:ascii="Times New Roman" w:hAnsi="Times New Roman" w:cs="Times New Roman"/>
          <w:sz w:val="24"/>
          <w:szCs w:val="24"/>
        </w:rPr>
        <w:t>pkt</w:t>
      </w:r>
      <w:r w:rsidR="009133B3" w:rsidRPr="00DD701C">
        <w:rPr>
          <w:rFonts w:ascii="Times New Roman" w:hAnsi="Times New Roman" w:cs="Times New Roman"/>
          <w:sz w:val="24"/>
          <w:szCs w:val="24"/>
        </w:rPr>
        <w:t xml:space="preserve"> 111 wyroku ETPC z 14.02.2023 r.</w:t>
      </w:r>
      <w:r w:rsidR="004C7CF4" w:rsidRPr="00DD701C">
        <w:rPr>
          <w:rFonts w:ascii="Times New Roman" w:hAnsi="Times New Roman" w:cs="Times New Roman"/>
          <w:sz w:val="24"/>
          <w:szCs w:val="24"/>
        </w:rPr>
        <w:t xml:space="preserve"> w sprawie Halet</w:t>
      </w:r>
      <w:r w:rsidR="009133B3" w:rsidRPr="00DD701C">
        <w:rPr>
          <w:rStyle w:val="Odwoanieprzypisudolnego"/>
          <w:rFonts w:ascii="Times New Roman" w:hAnsi="Times New Roman" w:cs="Times New Roman"/>
          <w:sz w:val="24"/>
          <w:szCs w:val="24"/>
        </w:rPr>
        <w:footnoteReference w:id="3"/>
      </w:r>
      <w:r w:rsidR="009133B3" w:rsidRPr="00DD701C">
        <w:rPr>
          <w:rFonts w:ascii="Times New Roman" w:hAnsi="Times New Roman" w:cs="Times New Roman"/>
          <w:sz w:val="24"/>
          <w:szCs w:val="24"/>
        </w:rPr>
        <w:t>)</w:t>
      </w:r>
      <w:r w:rsidR="004C7CF4" w:rsidRPr="00DD701C">
        <w:rPr>
          <w:rFonts w:ascii="Times New Roman" w:hAnsi="Times New Roman" w:cs="Times New Roman"/>
          <w:sz w:val="24"/>
          <w:szCs w:val="24"/>
        </w:rPr>
        <w:t xml:space="preserve">. </w:t>
      </w:r>
    </w:p>
    <w:p w14:paraId="2ED3A05D" w14:textId="31DB9545" w:rsidR="00506278" w:rsidRPr="00DD701C" w:rsidRDefault="00C47E8E"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 xml:space="preserve">ETPC uznał też, że choć w niniejszej sprawie brak jest podporządkowania charakterystycznego dla stosunku pracy, to stosunek umowny skarżącego i producenckiej spółki nakłada na strony </w:t>
      </w:r>
      <w:r w:rsidR="00506278" w:rsidRPr="00DD701C">
        <w:rPr>
          <w:rFonts w:ascii="Times New Roman" w:hAnsi="Times New Roman" w:cs="Times New Roman"/>
          <w:sz w:val="24"/>
          <w:szCs w:val="24"/>
        </w:rPr>
        <w:t>powinność</w:t>
      </w:r>
      <w:r w:rsidRPr="00DD701C">
        <w:rPr>
          <w:rFonts w:ascii="Times New Roman" w:hAnsi="Times New Roman" w:cs="Times New Roman"/>
          <w:sz w:val="24"/>
          <w:szCs w:val="24"/>
        </w:rPr>
        <w:t xml:space="preserve"> uregulowania ich relacji w sposób podobny jak w kontekście zatrudnienia</w:t>
      </w:r>
      <w:r w:rsidR="00506278" w:rsidRPr="00DD701C">
        <w:rPr>
          <w:rFonts w:ascii="Times New Roman" w:hAnsi="Times New Roman" w:cs="Times New Roman"/>
          <w:sz w:val="24"/>
          <w:szCs w:val="24"/>
        </w:rPr>
        <w:t>. ETPC wskazał, że „uważa za konieczne uwzględnienie (…) pewnej dyskrecji należnej spółce od skarżącego” – pkt 36 wyroku)</w:t>
      </w:r>
      <w:r w:rsidRPr="00DD701C">
        <w:rPr>
          <w:rFonts w:ascii="Times New Roman" w:hAnsi="Times New Roman" w:cs="Times New Roman"/>
          <w:sz w:val="24"/>
          <w:szCs w:val="24"/>
        </w:rPr>
        <w:t>. Dlatego też</w:t>
      </w:r>
      <w:r w:rsidR="00506278" w:rsidRPr="00DD701C">
        <w:rPr>
          <w:rFonts w:ascii="Times New Roman" w:hAnsi="Times New Roman" w:cs="Times New Roman"/>
          <w:sz w:val="24"/>
          <w:szCs w:val="24"/>
        </w:rPr>
        <w:t>, skoro strony same określiły zakres swoich obowiązków w umowie agencyjnej, to skarżący dobrowolnie i świadomie zgodził się na klauzulę o zachowaniu poufności, zrzekając się prawa do ujawnienia informacji.</w:t>
      </w:r>
      <w:r w:rsidR="00F53E76" w:rsidRPr="00DD701C">
        <w:rPr>
          <w:rFonts w:ascii="Times New Roman" w:hAnsi="Times New Roman" w:cs="Times New Roman"/>
          <w:sz w:val="24"/>
          <w:szCs w:val="24"/>
        </w:rPr>
        <w:t xml:space="preserve"> </w:t>
      </w:r>
      <w:r w:rsidR="00506278" w:rsidRPr="00DD701C">
        <w:rPr>
          <w:rFonts w:ascii="Times New Roman" w:hAnsi="Times New Roman" w:cs="Times New Roman"/>
          <w:sz w:val="24"/>
          <w:szCs w:val="24"/>
        </w:rPr>
        <w:t xml:space="preserve">Zobowiązanie to pozostaje ważne, również po ustaniu stosunku umownego. </w:t>
      </w:r>
    </w:p>
    <w:p w14:paraId="0214C57C" w14:textId="76E3ECA0" w:rsidR="00506278" w:rsidRPr="00DD701C" w:rsidRDefault="00506278"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 xml:space="preserve">Zdaniem Trybunału ujawnienie informacji </w:t>
      </w:r>
      <w:r w:rsidR="00F53E76" w:rsidRPr="00DD701C">
        <w:rPr>
          <w:rFonts w:ascii="Times New Roman" w:hAnsi="Times New Roman" w:cs="Times New Roman"/>
          <w:sz w:val="24"/>
          <w:szCs w:val="24"/>
        </w:rPr>
        <w:t>„</w:t>
      </w:r>
      <w:r w:rsidRPr="00DD701C">
        <w:rPr>
          <w:rFonts w:ascii="Times New Roman" w:hAnsi="Times New Roman" w:cs="Times New Roman"/>
          <w:sz w:val="24"/>
          <w:szCs w:val="24"/>
        </w:rPr>
        <w:t xml:space="preserve">uzyskanych w </w:t>
      </w:r>
      <w:r w:rsidR="00F53E76" w:rsidRPr="00DD701C">
        <w:rPr>
          <w:rFonts w:ascii="Times New Roman" w:hAnsi="Times New Roman" w:cs="Times New Roman"/>
          <w:sz w:val="24"/>
          <w:szCs w:val="24"/>
        </w:rPr>
        <w:t xml:space="preserve">kontekście stosunku pracy” (pkt 48 wyroku) może wpływać na interesy prywatne poprzez kwestionowanie działalności spółki producenckiej i wyrządzenie jej, a niekiedy również osobom trzecim szkody majątkowej lub wizerunkowej. Wprawdzie sądy krajowe </w:t>
      </w:r>
      <w:r w:rsidR="000808A7" w:rsidRPr="00DD701C">
        <w:rPr>
          <w:rFonts w:ascii="Times New Roman" w:hAnsi="Times New Roman" w:cs="Times New Roman"/>
          <w:sz w:val="24"/>
          <w:szCs w:val="24"/>
        </w:rPr>
        <w:t>nie stwierdziły w tej sprawie wpływu ujawnienia przez skarżącego informacji o wynagrodzeniu na działalność spółki, niemniej miała ona podstawowy interes w zachowaniu poufności informacji biznesowych ze względu na dużą liczbę zaangażowanych osób, wysokie koszty oraz znaczny czas i pracę zainwestowane w produkcję serii (pkt 48 wyroku).</w:t>
      </w:r>
    </w:p>
    <w:p w14:paraId="5915BC15" w14:textId="24A4EA29" w:rsidR="000808A7" w:rsidRDefault="000808A7"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 xml:space="preserve">ETPC uznał również, że zastosowane wobec skarżącego dobrowolnie przyjęte ograniczenia, jak również wysokość kary umownej, były taką ingerencją, która mieściła się w </w:t>
      </w:r>
      <w:r w:rsidRPr="00DD701C">
        <w:rPr>
          <w:rFonts w:ascii="Times New Roman" w:hAnsi="Times New Roman" w:cs="Times New Roman"/>
          <w:sz w:val="24"/>
          <w:szCs w:val="24"/>
        </w:rPr>
        <w:lastRenderedPageBreak/>
        <w:t xml:space="preserve">zakresie art. 10 </w:t>
      </w:r>
      <w:r w:rsidR="003E746D" w:rsidRPr="00DD701C">
        <w:rPr>
          <w:rFonts w:ascii="Times New Roman" w:hAnsi="Times New Roman" w:cs="Times New Roman"/>
          <w:sz w:val="24"/>
          <w:szCs w:val="24"/>
        </w:rPr>
        <w:t>ust. 2 Konwencji. Była bowiem poparta istotnymi i wystarczającymi powodami a nadto została zachowana właściwa równowaga między interesem skarżącego w zakresie wolności słowa a interesem spółki producenckiej w zakresie ochrony tajemnicy handlowej. Oceny tej nie zmienia to, że ujawnione przez skarżącego informacje mieściły się w zakresie informacji publicznej. Trybunał uwzględnił bowiem fakt, że również inne podmioty mogły i zrealizowały dostęp do tej informacji. Zobowiązanie umowne skarżącego miało zatem większą wagę. Ujawnienie informacji objętych interesem publicznym nie może być bowiem ocenione w oderwaniu od obowiązku zachowania poufności lub tajemnicy.</w:t>
      </w:r>
    </w:p>
    <w:p w14:paraId="69AF57B6" w14:textId="77777777" w:rsidR="004C1A92" w:rsidRPr="00D022AD" w:rsidRDefault="004C1A92" w:rsidP="00DD701C">
      <w:pPr>
        <w:pStyle w:val="Bezodstpw"/>
        <w:spacing w:line="360" w:lineRule="auto"/>
        <w:ind w:firstLine="708"/>
        <w:jc w:val="both"/>
        <w:rPr>
          <w:rFonts w:ascii="Times New Roman" w:hAnsi="Times New Roman" w:cs="Times New Roman"/>
          <w:b/>
          <w:bCs/>
          <w:sz w:val="24"/>
          <w:szCs w:val="24"/>
        </w:rPr>
      </w:pPr>
    </w:p>
    <w:p w14:paraId="4A4D6CFE" w14:textId="5AF292CB" w:rsidR="00BE3171" w:rsidRPr="00D022AD" w:rsidRDefault="00BE3171" w:rsidP="00DD701C">
      <w:pPr>
        <w:pStyle w:val="Bezodstpw"/>
        <w:numPr>
          <w:ilvl w:val="0"/>
          <w:numId w:val="1"/>
        </w:numPr>
        <w:spacing w:line="360" w:lineRule="auto"/>
        <w:jc w:val="both"/>
        <w:rPr>
          <w:rFonts w:ascii="Times New Roman" w:hAnsi="Times New Roman" w:cs="Times New Roman"/>
          <w:b/>
          <w:bCs/>
          <w:sz w:val="24"/>
          <w:szCs w:val="24"/>
          <w:shd w:val="clear" w:color="auto" w:fill="FFFFFF"/>
        </w:rPr>
      </w:pPr>
      <w:r w:rsidRPr="00D022AD">
        <w:rPr>
          <w:rFonts w:ascii="Times New Roman" w:hAnsi="Times New Roman" w:cs="Times New Roman"/>
          <w:b/>
          <w:bCs/>
          <w:sz w:val="24"/>
          <w:szCs w:val="24"/>
          <w:shd w:val="clear" w:color="auto" w:fill="FFFFFF"/>
        </w:rPr>
        <w:t xml:space="preserve">Ocena </w:t>
      </w:r>
      <w:r w:rsidR="004245D0" w:rsidRPr="00D022AD">
        <w:rPr>
          <w:rFonts w:ascii="Times New Roman" w:hAnsi="Times New Roman" w:cs="Times New Roman"/>
          <w:b/>
          <w:bCs/>
          <w:sz w:val="24"/>
          <w:szCs w:val="24"/>
          <w:shd w:val="clear" w:color="auto" w:fill="FFFFFF"/>
        </w:rPr>
        <w:t>stanowiska ETPC</w:t>
      </w:r>
    </w:p>
    <w:p w14:paraId="436A6093" w14:textId="3022FE0A" w:rsidR="00F51CDE" w:rsidRPr="00DD701C" w:rsidRDefault="00375510" w:rsidP="00DD701C">
      <w:pPr>
        <w:pStyle w:val="Bezodstpw"/>
        <w:spacing w:line="360" w:lineRule="auto"/>
        <w:ind w:firstLine="709"/>
        <w:jc w:val="both"/>
        <w:rPr>
          <w:rFonts w:ascii="Times New Roman" w:hAnsi="Times New Roman" w:cs="Times New Roman"/>
          <w:sz w:val="24"/>
          <w:szCs w:val="24"/>
          <w:shd w:val="clear" w:color="auto" w:fill="FFFFFF"/>
        </w:rPr>
      </w:pPr>
      <w:r w:rsidRPr="00DD701C">
        <w:rPr>
          <w:rFonts w:ascii="Times New Roman" w:hAnsi="Times New Roman" w:cs="Times New Roman"/>
          <w:sz w:val="24"/>
          <w:szCs w:val="24"/>
          <w:shd w:val="clear" w:color="auto" w:fill="FFFFFF"/>
        </w:rPr>
        <w:t xml:space="preserve">Stanowisko ETPC </w:t>
      </w:r>
      <w:r w:rsidR="00536523" w:rsidRPr="00DD701C">
        <w:rPr>
          <w:rFonts w:ascii="Times New Roman" w:hAnsi="Times New Roman" w:cs="Times New Roman"/>
          <w:sz w:val="24"/>
          <w:szCs w:val="24"/>
          <w:shd w:val="clear" w:color="auto" w:fill="FFFFFF"/>
        </w:rPr>
        <w:t>budzi wątpliwośc</w:t>
      </w:r>
      <w:r w:rsidR="008E3F5E" w:rsidRPr="00DD701C">
        <w:rPr>
          <w:rFonts w:ascii="Times New Roman" w:hAnsi="Times New Roman" w:cs="Times New Roman"/>
          <w:sz w:val="24"/>
          <w:szCs w:val="24"/>
          <w:shd w:val="clear" w:color="auto" w:fill="FFFFFF"/>
        </w:rPr>
        <w:t>i</w:t>
      </w:r>
      <w:r w:rsidR="002B3F37" w:rsidRPr="00DD701C">
        <w:rPr>
          <w:rFonts w:ascii="Times New Roman" w:hAnsi="Times New Roman" w:cs="Times New Roman"/>
          <w:sz w:val="24"/>
          <w:szCs w:val="24"/>
          <w:shd w:val="clear" w:color="auto" w:fill="FFFFFF"/>
        </w:rPr>
        <w:t xml:space="preserve"> w zakresie części uzasadnienia odwołującej się do stosunku pracy. ETPC wydaje się bowiem przyjmowa</w:t>
      </w:r>
      <w:r w:rsidR="00F51CDE" w:rsidRPr="00DD701C">
        <w:rPr>
          <w:rFonts w:ascii="Times New Roman" w:hAnsi="Times New Roman" w:cs="Times New Roman"/>
          <w:sz w:val="24"/>
          <w:szCs w:val="24"/>
          <w:shd w:val="clear" w:color="auto" w:fill="FFFFFF"/>
        </w:rPr>
        <w:t>ć</w:t>
      </w:r>
      <w:r w:rsidR="002B3F37" w:rsidRPr="00DD701C">
        <w:rPr>
          <w:rFonts w:ascii="Times New Roman" w:hAnsi="Times New Roman" w:cs="Times New Roman"/>
          <w:sz w:val="24"/>
          <w:szCs w:val="24"/>
          <w:shd w:val="clear" w:color="auto" w:fill="FFFFFF"/>
        </w:rPr>
        <w:t xml:space="preserve"> </w:t>
      </w:r>
      <w:r w:rsidR="00F51CDE" w:rsidRPr="00DD701C">
        <w:rPr>
          <w:rFonts w:ascii="Times New Roman" w:hAnsi="Times New Roman" w:cs="Times New Roman"/>
          <w:sz w:val="24"/>
          <w:szCs w:val="24"/>
          <w:shd w:val="clear" w:color="auto" w:fill="FFFFFF"/>
        </w:rPr>
        <w:t xml:space="preserve">za </w:t>
      </w:r>
      <w:r w:rsidR="002B3F37" w:rsidRPr="00DD701C">
        <w:rPr>
          <w:rFonts w:ascii="Times New Roman" w:hAnsi="Times New Roman" w:cs="Times New Roman"/>
          <w:sz w:val="24"/>
          <w:szCs w:val="24"/>
          <w:shd w:val="clear" w:color="auto" w:fill="FFFFFF"/>
        </w:rPr>
        <w:t>oczywist</w:t>
      </w:r>
      <w:r w:rsidR="00F51CDE" w:rsidRPr="00DD701C">
        <w:rPr>
          <w:rFonts w:ascii="Times New Roman" w:hAnsi="Times New Roman" w:cs="Times New Roman"/>
          <w:sz w:val="24"/>
          <w:szCs w:val="24"/>
          <w:shd w:val="clear" w:color="auto" w:fill="FFFFFF"/>
        </w:rPr>
        <w:t>e,</w:t>
      </w:r>
      <w:r w:rsidR="002B3F37" w:rsidRPr="00DD701C">
        <w:rPr>
          <w:rFonts w:ascii="Times New Roman" w:hAnsi="Times New Roman" w:cs="Times New Roman"/>
          <w:sz w:val="24"/>
          <w:szCs w:val="24"/>
          <w:shd w:val="clear" w:color="auto" w:fill="FFFFFF"/>
        </w:rPr>
        <w:t xml:space="preserve"> że na pracowniku ciąży</w:t>
      </w:r>
      <w:r w:rsidR="00F51CDE" w:rsidRPr="00DD701C">
        <w:rPr>
          <w:rFonts w:ascii="Times New Roman" w:hAnsi="Times New Roman" w:cs="Times New Roman"/>
          <w:sz w:val="24"/>
          <w:szCs w:val="24"/>
          <w:shd w:val="clear" w:color="auto" w:fill="FFFFFF"/>
        </w:rPr>
        <w:t xml:space="preserve"> obowiązek zachowania w tajemnicy informacji o swoim wynagrodzeniu i że wynika to po prostu ze stosunku podporządkowania. Na tej podstawie ETPC wywodzi, że cho</w:t>
      </w:r>
      <w:r w:rsidR="0030196F">
        <w:rPr>
          <w:rFonts w:ascii="Times New Roman" w:hAnsi="Times New Roman" w:cs="Times New Roman"/>
          <w:sz w:val="24"/>
          <w:szCs w:val="24"/>
          <w:shd w:val="clear" w:color="auto" w:fill="FFFFFF"/>
        </w:rPr>
        <w:t>ć</w:t>
      </w:r>
      <w:r w:rsidR="00F51CDE" w:rsidRPr="00DD701C">
        <w:rPr>
          <w:rFonts w:ascii="Times New Roman" w:hAnsi="Times New Roman" w:cs="Times New Roman"/>
          <w:sz w:val="24"/>
          <w:szCs w:val="24"/>
          <w:shd w:val="clear" w:color="auto" w:fill="FFFFFF"/>
        </w:rPr>
        <w:t xml:space="preserve"> w stosunkach cywilnoprawnych brak podporządkowania, to strony umowy mogą osiągnąć ten sam efekt na bazie zobowiązania umownego</w:t>
      </w:r>
      <w:r w:rsidR="003E746D" w:rsidRPr="00DD701C">
        <w:rPr>
          <w:rFonts w:ascii="Times New Roman" w:hAnsi="Times New Roman" w:cs="Times New Roman"/>
          <w:sz w:val="24"/>
          <w:szCs w:val="24"/>
          <w:shd w:val="clear" w:color="auto" w:fill="FFFFFF"/>
        </w:rPr>
        <w:t xml:space="preserve">, zwłaszcza jeśli specyfika umowy sytuuje ją „w kontekście stosunku pracy” (pkt </w:t>
      </w:r>
      <w:r w:rsidR="00373302">
        <w:rPr>
          <w:rFonts w:ascii="Times New Roman" w:hAnsi="Times New Roman" w:cs="Times New Roman"/>
          <w:sz w:val="24"/>
          <w:szCs w:val="24"/>
          <w:shd w:val="clear" w:color="auto" w:fill="FFFFFF"/>
        </w:rPr>
        <w:t xml:space="preserve">36 w związku z pkt </w:t>
      </w:r>
      <w:r w:rsidR="003E746D" w:rsidRPr="00DD701C">
        <w:rPr>
          <w:rFonts w:ascii="Times New Roman" w:hAnsi="Times New Roman" w:cs="Times New Roman"/>
          <w:sz w:val="24"/>
          <w:szCs w:val="24"/>
          <w:shd w:val="clear" w:color="auto" w:fill="FFFFFF"/>
        </w:rPr>
        <w:t>48 wyroku)</w:t>
      </w:r>
      <w:r w:rsidR="002B3F37" w:rsidRPr="00DD701C">
        <w:rPr>
          <w:rFonts w:ascii="Times New Roman" w:hAnsi="Times New Roman" w:cs="Times New Roman"/>
          <w:sz w:val="24"/>
          <w:szCs w:val="24"/>
          <w:shd w:val="clear" w:color="auto" w:fill="FFFFFF"/>
        </w:rPr>
        <w:t>. Na aprobatę zasługuje jednak ostateczna konkluzja</w:t>
      </w:r>
      <w:r w:rsidR="00CC6ADA" w:rsidRPr="00DD701C">
        <w:rPr>
          <w:rFonts w:ascii="Times New Roman" w:hAnsi="Times New Roman" w:cs="Times New Roman"/>
          <w:sz w:val="24"/>
          <w:szCs w:val="24"/>
          <w:shd w:val="clear" w:color="auto" w:fill="FFFFFF"/>
        </w:rPr>
        <w:t xml:space="preserve"> </w:t>
      </w:r>
      <w:r w:rsidR="002B3F37" w:rsidRPr="00DD701C">
        <w:rPr>
          <w:rFonts w:ascii="Times New Roman" w:hAnsi="Times New Roman" w:cs="Times New Roman"/>
          <w:sz w:val="24"/>
          <w:szCs w:val="24"/>
          <w:shd w:val="clear" w:color="auto" w:fill="FFFFFF"/>
        </w:rPr>
        <w:t xml:space="preserve">oraz </w:t>
      </w:r>
      <w:r w:rsidR="00F51CDE" w:rsidRPr="00DD701C">
        <w:rPr>
          <w:rFonts w:ascii="Times New Roman" w:hAnsi="Times New Roman" w:cs="Times New Roman"/>
          <w:sz w:val="24"/>
          <w:szCs w:val="24"/>
          <w:shd w:val="clear" w:color="auto" w:fill="FFFFFF"/>
        </w:rPr>
        <w:t>rozumowanie, że umowne zobowiązanie do zachowania w tajemnicy informacji o wynagrodzeniu ze stosunku cywilnoprawnego jest zgodne z zasadą wolności</w:t>
      </w:r>
      <w:r w:rsidR="003E746D" w:rsidRPr="00DD701C">
        <w:rPr>
          <w:rFonts w:ascii="Times New Roman" w:hAnsi="Times New Roman" w:cs="Times New Roman"/>
          <w:sz w:val="24"/>
          <w:szCs w:val="24"/>
          <w:shd w:val="clear" w:color="auto" w:fill="FFFFFF"/>
        </w:rPr>
        <w:t xml:space="preserve"> a w pewnych wypadkach może również przeważyć nad dostępem do informacji publicznej</w:t>
      </w:r>
      <w:r w:rsidR="00547F63" w:rsidRPr="00DD701C">
        <w:rPr>
          <w:rFonts w:ascii="Times New Roman" w:hAnsi="Times New Roman" w:cs="Times New Roman"/>
          <w:sz w:val="24"/>
          <w:szCs w:val="24"/>
          <w:shd w:val="clear" w:color="auto" w:fill="FFFFFF"/>
        </w:rPr>
        <w:t xml:space="preserve"> </w:t>
      </w:r>
    </w:p>
    <w:p w14:paraId="6842D01D" w14:textId="183A8024" w:rsidR="0048517E" w:rsidRPr="00DD701C" w:rsidRDefault="001D0CBE" w:rsidP="00DD701C">
      <w:pPr>
        <w:pStyle w:val="Bezodstpw"/>
        <w:spacing w:line="360" w:lineRule="auto"/>
        <w:ind w:firstLine="709"/>
        <w:jc w:val="both"/>
        <w:rPr>
          <w:rFonts w:ascii="Times New Roman" w:hAnsi="Times New Roman" w:cs="Times New Roman"/>
          <w:sz w:val="24"/>
          <w:szCs w:val="24"/>
        </w:rPr>
      </w:pPr>
      <w:r w:rsidRPr="00DD701C">
        <w:rPr>
          <w:rFonts w:ascii="Times New Roman" w:hAnsi="Times New Roman" w:cs="Times New Roman"/>
          <w:sz w:val="24"/>
          <w:szCs w:val="24"/>
        </w:rPr>
        <w:t xml:space="preserve">W pkt 36 wyroku ETPC </w:t>
      </w:r>
      <w:r w:rsidR="00487ABD" w:rsidRPr="00DD701C">
        <w:rPr>
          <w:rFonts w:ascii="Times New Roman" w:hAnsi="Times New Roman" w:cs="Times New Roman"/>
          <w:sz w:val="24"/>
          <w:szCs w:val="24"/>
        </w:rPr>
        <w:t xml:space="preserve">podkreślił, że </w:t>
      </w:r>
      <w:r w:rsidR="00CA4B0C" w:rsidRPr="00DD701C">
        <w:rPr>
          <w:rFonts w:ascii="Times New Roman" w:hAnsi="Times New Roman" w:cs="Times New Roman"/>
          <w:sz w:val="24"/>
          <w:szCs w:val="24"/>
        </w:rPr>
        <w:t xml:space="preserve">okoliczności niniejszej sprawy nie dotyczą stosunku podporządkowania charakterystycznego dla zatrudnienia lub korzystania z prawa do wolności wypowiedzi w świetle szczególnych cech prawa pracy. Niemniej jednak stosunek umowny między skarżącą a </w:t>
      </w:r>
      <w:r w:rsidR="00C95B16" w:rsidRPr="00DD701C">
        <w:rPr>
          <w:rFonts w:ascii="Times New Roman" w:hAnsi="Times New Roman" w:cs="Times New Roman"/>
          <w:sz w:val="24"/>
          <w:szCs w:val="24"/>
        </w:rPr>
        <w:t>spółką M.</w:t>
      </w:r>
      <w:r w:rsidR="00CA4B0C" w:rsidRPr="00DD701C">
        <w:rPr>
          <w:rFonts w:ascii="Times New Roman" w:hAnsi="Times New Roman" w:cs="Times New Roman"/>
          <w:sz w:val="24"/>
          <w:szCs w:val="24"/>
        </w:rPr>
        <w:t xml:space="preserve"> charakteryzował się wzajemnym zaufaniem i dobrą wiarą oraz pociągał za sobą wzajemne prawa i obowiązki właściwe dla środowiska zawodowego, podobnie jak w kontekście zatrudnienia. </w:t>
      </w:r>
      <w:r w:rsidR="003E746D" w:rsidRPr="00DD701C">
        <w:rPr>
          <w:rFonts w:ascii="Times New Roman" w:hAnsi="Times New Roman" w:cs="Times New Roman"/>
          <w:sz w:val="24"/>
          <w:szCs w:val="24"/>
        </w:rPr>
        <w:t xml:space="preserve">W pkt 48 </w:t>
      </w:r>
      <w:r w:rsidR="00373302">
        <w:rPr>
          <w:rFonts w:ascii="Times New Roman" w:hAnsi="Times New Roman" w:cs="Times New Roman"/>
          <w:sz w:val="24"/>
          <w:szCs w:val="24"/>
        </w:rPr>
        <w:t xml:space="preserve">wyroku </w:t>
      </w:r>
      <w:r w:rsidR="003E746D" w:rsidRPr="00DD701C">
        <w:rPr>
          <w:rFonts w:ascii="Times New Roman" w:hAnsi="Times New Roman" w:cs="Times New Roman"/>
          <w:sz w:val="24"/>
          <w:szCs w:val="24"/>
        </w:rPr>
        <w:t xml:space="preserve">ETPC ponownie nawiązał do kontekstu stosunku pracy. </w:t>
      </w:r>
      <w:r w:rsidR="00CA4B0C" w:rsidRPr="00DD701C">
        <w:rPr>
          <w:rFonts w:ascii="Times New Roman" w:hAnsi="Times New Roman" w:cs="Times New Roman"/>
          <w:sz w:val="24"/>
          <w:szCs w:val="24"/>
        </w:rPr>
        <w:t xml:space="preserve">Trybunał uważa zatem za konieczne uwzględnienie specyfiki stosunku umownego, w tym z jednej strony pewnej dyskrecji należnej spółce </w:t>
      </w:r>
      <w:r w:rsidR="00373302">
        <w:rPr>
          <w:rFonts w:ascii="Times New Roman" w:hAnsi="Times New Roman" w:cs="Times New Roman"/>
          <w:sz w:val="24"/>
          <w:szCs w:val="24"/>
        </w:rPr>
        <w:t xml:space="preserve">producenckiej </w:t>
      </w:r>
      <w:r w:rsidR="00CA4B0C" w:rsidRPr="00DD701C">
        <w:rPr>
          <w:rFonts w:ascii="Times New Roman" w:hAnsi="Times New Roman" w:cs="Times New Roman"/>
          <w:sz w:val="24"/>
          <w:szCs w:val="24"/>
        </w:rPr>
        <w:t>od skarżącego, a z drugiej strony jego zależności ekonomicznej od spółki.</w:t>
      </w:r>
      <w:r w:rsidR="001372BA" w:rsidRPr="00DD701C">
        <w:rPr>
          <w:rFonts w:ascii="Times New Roman" w:hAnsi="Times New Roman" w:cs="Times New Roman"/>
          <w:sz w:val="24"/>
          <w:szCs w:val="24"/>
        </w:rPr>
        <w:t xml:space="preserve"> </w:t>
      </w:r>
      <w:r w:rsidR="00F51CDE" w:rsidRPr="00DD701C">
        <w:rPr>
          <w:rFonts w:ascii="Times New Roman" w:hAnsi="Times New Roman" w:cs="Times New Roman"/>
          <w:sz w:val="24"/>
          <w:szCs w:val="24"/>
        </w:rPr>
        <w:t>Jak się zatem wydaje ETPC widzi pewne podobieństwa między stosunkiem pracy a stosunkiem cywilnoprawnym</w:t>
      </w:r>
      <w:r w:rsidR="003E746D" w:rsidRPr="00DD701C">
        <w:rPr>
          <w:rFonts w:ascii="Times New Roman" w:hAnsi="Times New Roman" w:cs="Times New Roman"/>
          <w:sz w:val="24"/>
          <w:szCs w:val="24"/>
        </w:rPr>
        <w:t xml:space="preserve"> – w tym konkretnym przypadku</w:t>
      </w:r>
      <w:r w:rsidR="00F51CDE" w:rsidRPr="00DD701C">
        <w:rPr>
          <w:rFonts w:ascii="Times New Roman" w:hAnsi="Times New Roman" w:cs="Times New Roman"/>
          <w:sz w:val="24"/>
          <w:szCs w:val="24"/>
        </w:rPr>
        <w:t xml:space="preserve">. </w:t>
      </w:r>
      <w:r w:rsidR="003E746D" w:rsidRPr="00DD701C">
        <w:rPr>
          <w:rFonts w:ascii="Times New Roman" w:hAnsi="Times New Roman" w:cs="Times New Roman"/>
          <w:sz w:val="24"/>
          <w:szCs w:val="24"/>
        </w:rPr>
        <w:t xml:space="preserve">Stosunek cywilnoprawny powinien </w:t>
      </w:r>
      <w:r w:rsidR="00F51CDE" w:rsidRPr="00DD701C">
        <w:rPr>
          <w:rFonts w:ascii="Times New Roman" w:hAnsi="Times New Roman" w:cs="Times New Roman"/>
          <w:sz w:val="24"/>
          <w:szCs w:val="24"/>
        </w:rPr>
        <w:t xml:space="preserve">bowiem uwzględniać konieczność </w:t>
      </w:r>
      <w:r w:rsidR="003E746D" w:rsidRPr="00DD701C">
        <w:rPr>
          <w:rFonts w:ascii="Times New Roman" w:hAnsi="Times New Roman" w:cs="Times New Roman"/>
          <w:sz w:val="24"/>
          <w:szCs w:val="24"/>
        </w:rPr>
        <w:t xml:space="preserve">poszanowania </w:t>
      </w:r>
      <w:r w:rsidR="00F51CDE" w:rsidRPr="00DD701C">
        <w:rPr>
          <w:rFonts w:ascii="Times New Roman" w:hAnsi="Times New Roman" w:cs="Times New Roman"/>
          <w:sz w:val="24"/>
          <w:szCs w:val="24"/>
        </w:rPr>
        <w:t>interesu zleceniodawcy w zachowaniu taje</w:t>
      </w:r>
      <w:r w:rsidR="00C47E8E" w:rsidRPr="00DD701C">
        <w:rPr>
          <w:rFonts w:ascii="Times New Roman" w:hAnsi="Times New Roman" w:cs="Times New Roman"/>
          <w:sz w:val="24"/>
          <w:szCs w:val="24"/>
        </w:rPr>
        <w:t>mnicy.</w:t>
      </w:r>
    </w:p>
    <w:p w14:paraId="7050926B" w14:textId="501667AC" w:rsidR="00F51CDE" w:rsidRPr="00622980" w:rsidRDefault="00373E9A" w:rsidP="00373302">
      <w:pPr>
        <w:pStyle w:val="Bezodstpw"/>
        <w:spacing w:line="360" w:lineRule="auto"/>
        <w:ind w:firstLine="708"/>
        <w:jc w:val="both"/>
        <w:rPr>
          <w:rFonts w:ascii="Times New Roman" w:hAnsi="Times New Roman" w:cs="Times New Roman"/>
          <w:sz w:val="24"/>
          <w:szCs w:val="24"/>
          <w:shd w:val="clear" w:color="auto" w:fill="FFFFFF"/>
        </w:rPr>
      </w:pPr>
      <w:r w:rsidRPr="00DD701C">
        <w:rPr>
          <w:rFonts w:ascii="Times New Roman" w:hAnsi="Times New Roman" w:cs="Times New Roman"/>
          <w:sz w:val="24"/>
          <w:szCs w:val="24"/>
        </w:rPr>
        <w:t xml:space="preserve">ETPC </w:t>
      </w:r>
      <w:r w:rsidR="005D6F29" w:rsidRPr="00DD701C">
        <w:rPr>
          <w:rFonts w:ascii="Times New Roman" w:hAnsi="Times New Roman" w:cs="Times New Roman"/>
          <w:sz w:val="24"/>
          <w:szCs w:val="24"/>
        </w:rPr>
        <w:t>w</w:t>
      </w:r>
      <w:r w:rsidR="00451C1F" w:rsidRPr="00DD701C">
        <w:rPr>
          <w:rFonts w:ascii="Times New Roman" w:hAnsi="Times New Roman" w:cs="Times New Roman"/>
          <w:sz w:val="24"/>
          <w:szCs w:val="24"/>
        </w:rPr>
        <w:t xml:space="preserve"> przytoczonym</w:t>
      </w:r>
      <w:r w:rsidR="00A12602" w:rsidRPr="00DD701C">
        <w:rPr>
          <w:rFonts w:ascii="Times New Roman" w:hAnsi="Times New Roman" w:cs="Times New Roman"/>
          <w:sz w:val="24"/>
          <w:szCs w:val="24"/>
        </w:rPr>
        <w:t xml:space="preserve"> wyżej</w:t>
      </w:r>
      <w:r w:rsidR="00451C1F" w:rsidRPr="00DD701C">
        <w:rPr>
          <w:rFonts w:ascii="Times New Roman" w:hAnsi="Times New Roman" w:cs="Times New Roman"/>
          <w:sz w:val="24"/>
          <w:szCs w:val="24"/>
        </w:rPr>
        <w:t xml:space="preserve"> </w:t>
      </w:r>
      <w:r w:rsidR="003E746D" w:rsidRPr="00DD701C">
        <w:rPr>
          <w:rFonts w:ascii="Times New Roman" w:hAnsi="Times New Roman" w:cs="Times New Roman"/>
          <w:sz w:val="24"/>
          <w:szCs w:val="24"/>
        </w:rPr>
        <w:t xml:space="preserve">36 </w:t>
      </w:r>
      <w:r w:rsidR="00451C1F" w:rsidRPr="00DD701C">
        <w:rPr>
          <w:rFonts w:ascii="Times New Roman" w:hAnsi="Times New Roman" w:cs="Times New Roman"/>
          <w:sz w:val="24"/>
          <w:szCs w:val="24"/>
        </w:rPr>
        <w:t>punkcie nawiązuje do swojego wcześniejszego orzecznictwa wydanego na tle st</w:t>
      </w:r>
      <w:r w:rsidR="00556392" w:rsidRPr="00DD701C">
        <w:rPr>
          <w:rFonts w:ascii="Times New Roman" w:hAnsi="Times New Roman" w:cs="Times New Roman"/>
          <w:sz w:val="24"/>
          <w:szCs w:val="24"/>
        </w:rPr>
        <w:t>osunku pracy</w:t>
      </w:r>
      <w:r w:rsidR="00EF14BA" w:rsidRPr="00DD701C">
        <w:rPr>
          <w:rFonts w:ascii="Times New Roman" w:hAnsi="Times New Roman" w:cs="Times New Roman"/>
          <w:sz w:val="24"/>
          <w:szCs w:val="24"/>
        </w:rPr>
        <w:t xml:space="preserve">, </w:t>
      </w:r>
      <w:r w:rsidR="00402EE8">
        <w:rPr>
          <w:rFonts w:ascii="Times New Roman" w:hAnsi="Times New Roman" w:cs="Times New Roman"/>
          <w:sz w:val="24"/>
          <w:szCs w:val="24"/>
        </w:rPr>
        <w:t xml:space="preserve">w którym przyjął, że z podporządkowania </w:t>
      </w:r>
      <w:r w:rsidR="00402EE8">
        <w:rPr>
          <w:rFonts w:ascii="Times New Roman" w:hAnsi="Times New Roman" w:cs="Times New Roman"/>
          <w:sz w:val="24"/>
          <w:szCs w:val="24"/>
        </w:rPr>
        <w:lastRenderedPageBreak/>
        <w:t xml:space="preserve">będącego nieodzownym elementem tego stosunku, </w:t>
      </w:r>
      <w:r w:rsidR="00FA7B00" w:rsidRPr="00DD701C">
        <w:rPr>
          <w:rFonts w:ascii="Times New Roman" w:hAnsi="Times New Roman" w:cs="Times New Roman"/>
          <w:sz w:val="24"/>
          <w:szCs w:val="24"/>
        </w:rPr>
        <w:t xml:space="preserve">wynika obowiązek zachowania w poufności informacji dotyczących </w:t>
      </w:r>
      <w:r w:rsidR="00DD2342" w:rsidRPr="00DD701C">
        <w:rPr>
          <w:rFonts w:ascii="Times New Roman" w:hAnsi="Times New Roman" w:cs="Times New Roman"/>
          <w:sz w:val="24"/>
          <w:szCs w:val="24"/>
        </w:rPr>
        <w:t>pracy.</w:t>
      </w:r>
      <w:r w:rsidR="00070940" w:rsidRPr="00DD701C">
        <w:rPr>
          <w:rFonts w:ascii="Times New Roman" w:hAnsi="Times New Roman" w:cs="Times New Roman"/>
          <w:sz w:val="24"/>
          <w:szCs w:val="24"/>
        </w:rPr>
        <w:t xml:space="preserve"> </w:t>
      </w:r>
      <w:r w:rsidR="0030196F">
        <w:rPr>
          <w:rFonts w:ascii="Times New Roman" w:hAnsi="Times New Roman" w:cs="Times New Roman"/>
          <w:sz w:val="24"/>
          <w:szCs w:val="24"/>
        </w:rPr>
        <w:t>S</w:t>
      </w:r>
      <w:r w:rsidR="00F51CDE" w:rsidRPr="00DD701C">
        <w:rPr>
          <w:rFonts w:ascii="Times New Roman" w:hAnsi="Times New Roman" w:cs="Times New Roman"/>
          <w:sz w:val="24"/>
          <w:szCs w:val="24"/>
        </w:rPr>
        <w:t>tanowisko dotyczące stosunku pracy, zaprezentowane w g</w:t>
      </w:r>
      <w:r w:rsidR="00A171B1">
        <w:rPr>
          <w:rFonts w:ascii="Times New Roman" w:hAnsi="Times New Roman" w:cs="Times New Roman"/>
          <w:sz w:val="24"/>
          <w:szCs w:val="24"/>
        </w:rPr>
        <w:t>l</w:t>
      </w:r>
      <w:r w:rsidR="00F51CDE" w:rsidRPr="00DD701C">
        <w:rPr>
          <w:rFonts w:ascii="Times New Roman" w:hAnsi="Times New Roman" w:cs="Times New Roman"/>
          <w:sz w:val="24"/>
          <w:szCs w:val="24"/>
        </w:rPr>
        <w:t xml:space="preserve">osowanym wyroku, jest spójne z dotychczasowym dorobkiem </w:t>
      </w:r>
      <w:r w:rsidR="00A171B1">
        <w:rPr>
          <w:rFonts w:ascii="Times New Roman" w:hAnsi="Times New Roman" w:cs="Times New Roman"/>
          <w:sz w:val="24"/>
          <w:szCs w:val="24"/>
        </w:rPr>
        <w:t xml:space="preserve">ETPC </w:t>
      </w:r>
      <w:r w:rsidR="00F51CDE" w:rsidRPr="00DD701C">
        <w:rPr>
          <w:rFonts w:ascii="Times New Roman" w:hAnsi="Times New Roman" w:cs="Times New Roman"/>
          <w:sz w:val="24"/>
          <w:szCs w:val="24"/>
        </w:rPr>
        <w:t xml:space="preserve">na temat </w:t>
      </w:r>
      <w:r w:rsidR="00C908D7">
        <w:rPr>
          <w:rFonts w:ascii="Times New Roman" w:hAnsi="Times New Roman" w:cs="Times New Roman"/>
          <w:sz w:val="24"/>
          <w:szCs w:val="24"/>
        </w:rPr>
        <w:t xml:space="preserve">granic ochrony sygnalistów w miejscu pracy w oparciu o art. 10 Konwencji. </w:t>
      </w:r>
      <w:r w:rsidR="00F51CDE" w:rsidRPr="00DD701C">
        <w:rPr>
          <w:rFonts w:ascii="Times New Roman" w:hAnsi="Times New Roman" w:cs="Times New Roman"/>
          <w:sz w:val="24"/>
          <w:szCs w:val="24"/>
        </w:rPr>
        <w:t xml:space="preserve">ETPC konsekwentnie uznaje, że na pracowniku spoczywa obowiązek powściągliwości, dyskrecji i lojalności, przy czym nie ma on charakteru bezwzględnego (pkt 116 i 117 wyroku ETPC z 14.02.2023 r. w sprawie Halet). Obowiązki te wpisane są w stosunek pracy i wynikają z jego istoty jaką jest świadczenie pracy w interesie pracodawcy i w sytuacji podporządkowania. Obowiązek </w:t>
      </w:r>
      <w:r w:rsidR="00C908D7" w:rsidRPr="00C908D7">
        <w:rPr>
          <w:rFonts w:ascii="Times New Roman" w:hAnsi="Times New Roman" w:cs="Times New Roman"/>
          <w:sz w:val="24"/>
          <w:szCs w:val="24"/>
        </w:rPr>
        <w:t>zachowania w tajemnicy informacji</w:t>
      </w:r>
      <w:r w:rsidR="00C908D7">
        <w:rPr>
          <w:rFonts w:ascii="Times New Roman" w:hAnsi="Times New Roman" w:cs="Times New Roman"/>
          <w:sz w:val="24"/>
          <w:szCs w:val="24"/>
        </w:rPr>
        <w:t xml:space="preserve"> dotyczących</w:t>
      </w:r>
      <w:r w:rsidR="00C908D7" w:rsidRPr="00C908D7">
        <w:rPr>
          <w:rFonts w:ascii="Times New Roman" w:hAnsi="Times New Roman" w:cs="Times New Roman"/>
          <w:sz w:val="24"/>
          <w:szCs w:val="24"/>
        </w:rPr>
        <w:t xml:space="preserve"> stosunku pracy</w:t>
      </w:r>
      <w:r w:rsidR="00F51CDE" w:rsidRPr="00DD701C">
        <w:rPr>
          <w:rFonts w:ascii="Times New Roman" w:hAnsi="Times New Roman" w:cs="Times New Roman"/>
          <w:sz w:val="24"/>
          <w:szCs w:val="24"/>
        </w:rPr>
        <w:t xml:space="preserve"> spoczywa na każdym pracowniku.  </w:t>
      </w:r>
      <w:r w:rsidR="00BC3198" w:rsidRPr="00BC3198">
        <w:rPr>
          <w:rFonts w:ascii="Times New Roman" w:hAnsi="Times New Roman" w:cs="Times New Roman"/>
          <w:sz w:val="24"/>
          <w:szCs w:val="24"/>
        </w:rPr>
        <w:t xml:space="preserve">Niemniej jednak w pewnych sytuacjach pracownik działający w dobrej wierze, ujawniający informacje może pozostawać pod ochroną art. 10 Konwencji. Dzieje się tak, gdy jest jedyną osobą lub należy do wąskiej kategorii osób, która wie, co dzieje się w pracy, i w związku z tym jest w najlepszej sytuacji, aby działać w interesie publicznym, powiadamiając pracodawcę lub ogół społeczeństwa o faktach objętych tajemnicą (pkt 116 wyroku ETPC z 14.02.2023 r. w sprawie Halet). </w:t>
      </w:r>
      <w:r w:rsidR="00F51CDE" w:rsidRPr="00DD701C">
        <w:rPr>
          <w:rFonts w:ascii="Times New Roman" w:hAnsi="Times New Roman" w:cs="Times New Roman"/>
          <w:sz w:val="24"/>
          <w:szCs w:val="24"/>
        </w:rPr>
        <w:t>ETPC nakazuje w każdym wypadku poszukiwać właściwego punktu sprawiedliwej równowagi między ogólnym obowiązkiem dyskrecji pracownika a potrzebą ujawnienia pewnych informacji. W wyroku ETPC z 12.09.2011 r. w sprawie Palomo i inni</w:t>
      </w:r>
      <w:r w:rsidR="00F51CDE" w:rsidRPr="00DD701C">
        <w:rPr>
          <w:rStyle w:val="Odwoanieprzypisudolnego"/>
          <w:rFonts w:ascii="Times New Roman" w:hAnsi="Times New Roman" w:cs="Times New Roman"/>
          <w:sz w:val="24"/>
          <w:szCs w:val="24"/>
        </w:rPr>
        <w:footnoteReference w:id="4"/>
      </w:r>
      <w:r w:rsidR="00F51CDE" w:rsidRPr="00DD701C">
        <w:rPr>
          <w:rFonts w:ascii="Times New Roman" w:hAnsi="Times New Roman" w:cs="Times New Roman"/>
          <w:sz w:val="24"/>
          <w:szCs w:val="24"/>
        </w:rPr>
        <w:t xml:space="preserve"> wskazano, że ustalenie równowagi wymaga uwzględnienia proporcjonalności interesów i sankcji, w tym interesów osób trzecich, jeśli ich dobra osobiste mogłyby być naruszone wypowiedzią pracownika. Konieczne jest również uwzględnienie kontekstu i środowiska zawodowego (pkt 78 wyroku ETPC z 13.01.2015 r. w sprawie Rubins</w:t>
      </w:r>
      <w:r w:rsidR="00F51CDE" w:rsidRPr="00DD701C">
        <w:rPr>
          <w:rStyle w:val="Odwoanieprzypisudolnego"/>
          <w:rFonts w:ascii="Times New Roman" w:hAnsi="Times New Roman" w:cs="Times New Roman"/>
          <w:sz w:val="24"/>
          <w:szCs w:val="24"/>
        </w:rPr>
        <w:footnoteReference w:id="5"/>
      </w:r>
      <w:r w:rsidR="00F51CDE" w:rsidRPr="00DD701C">
        <w:rPr>
          <w:rFonts w:ascii="Times New Roman" w:hAnsi="Times New Roman" w:cs="Times New Roman"/>
          <w:sz w:val="24"/>
          <w:szCs w:val="24"/>
        </w:rPr>
        <w:t>).</w:t>
      </w:r>
    </w:p>
    <w:p w14:paraId="5E0DF626" w14:textId="55C08F2A" w:rsidR="00F51CDE" w:rsidRPr="00DD701C" w:rsidRDefault="00E23DA4" w:rsidP="00DD701C">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F51CDE" w:rsidRPr="00DD701C">
        <w:rPr>
          <w:rFonts w:ascii="Times New Roman" w:hAnsi="Times New Roman" w:cs="Times New Roman"/>
          <w:sz w:val="24"/>
          <w:szCs w:val="24"/>
        </w:rPr>
        <w:t>rzecznictw</w:t>
      </w:r>
      <w:r w:rsidR="00BC3198">
        <w:rPr>
          <w:rFonts w:ascii="Times New Roman" w:hAnsi="Times New Roman" w:cs="Times New Roman"/>
          <w:sz w:val="24"/>
          <w:szCs w:val="24"/>
        </w:rPr>
        <w:t>o</w:t>
      </w:r>
      <w:r w:rsidR="00F51CDE" w:rsidRPr="00DD701C">
        <w:rPr>
          <w:rFonts w:ascii="Times New Roman" w:hAnsi="Times New Roman" w:cs="Times New Roman"/>
          <w:sz w:val="24"/>
          <w:szCs w:val="24"/>
        </w:rPr>
        <w:t xml:space="preserve"> ETPC na temat obowiązku lojalności i dyskrecji pracownika, wynikających z jego podporządkowania, wyjaśni</w:t>
      </w:r>
      <w:r w:rsidR="00BC3198">
        <w:rPr>
          <w:rFonts w:ascii="Times New Roman" w:hAnsi="Times New Roman" w:cs="Times New Roman"/>
          <w:sz w:val="24"/>
          <w:szCs w:val="24"/>
        </w:rPr>
        <w:t>a</w:t>
      </w:r>
      <w:r w:rsidR="00F51CDE" w:rsidRPr="00DD701C">
        <w:rPr>
          <w:rFonts w:ascii="Times New Roman" w:hAnsi="Times New Roman" w:cs="Times New Roman"/>
          <w:sz w:val="24"/>
          <w:szCs w:val="24"/>
        </w:rPr>
        <w:t xml:space="preserve"> enigmatyczny fragment głosowanego wyroku, który w naszej ocenie jest istotny. </w:t>
      </w:r>
      <w:r w:rsidR="00022926">
        <w:rPr>
          <w:rFonts w:ascii="Times New Roman" w:hAnsi="Times New Roman" w:cs="Times New Roman"/>
          <w:sz w:val="24"/>
          <w:szCs w:val="24"/>
        </w:rPr>
        <w:t>W</w:t>
      </w:r>
      <w:r w:rsidR="00F51CDE" w:rsidRPr="00DD701C">
        <w:rPr>
          <w:rFonts w:ascii="Times New Roman" w:hAnsi="Times New Roman" w:cs="Times New Roman"/>
          <w:sz w:val="24"/>
          <w:szCs w:val="24"/>
        </w:rPr>
        <w:t xml:space="preserve"> pkt 36 wyroku ETPC wskazał, że </w:t>
      </w:r>
      <w:r w:rsidR="003E746D" w:rsidRPr="00DD701C">
        <w:rPr>
          <w:rFonts w:ascii="Times New Roman" w:hAnsi="Times New Roman" w:cs="Times New Roman"/>
          <w:sz w:val="24"/>
          <w:szCs w:val="24"/>
        </w:rPr>
        <w:t xml:space="preserve">wprawdzie </w:t>
      </w:r>
      <w:r w:rsidR="00F51CDE" w:rsidRPr="00DD701C">
        <w:rPr>
          <w:rFonts w:ascii="Times New Roman" w:hAnsi="Times New Roman" w:cs="Times New Roman"/>
          <w:sz w:val="24"/>
          <w:szCs w:val="24"/>
        </w:rPr>
        <w:t xml:space="preserve">„okoliczności niniejszej sprawy nie dotyczą stosunku podporządkowania charakterystycznego dla zatrudnienia lub korzystania z prawa do wolności wypowiedzi w świetle szczególnych cech prawa pracy. Niemniej jednak stosunek umowny między </w:t>
      </w:r>
      <w:r w:rsidR="005176C8" w:rsidRPr="00DD701C">
        <w:rPr>
          <w:rFonts w:ascii="Times New Roman" w:hAnsi="Times New Roman" w:cs="Times New Roman"/>
          <w:sz w:val="24"/>
          <w:szCs w:val="24"/>
        </w:rPr>
        <w:t>skarżącym a</w:t>
      </w:r>
      <w:r w:rsidR="00F51CDE" w:rsidRPr="00DD701C">
        <w:rPr>
          <w:rFonts w:ascii="Times New Roman" w:hAnsi="Times New Roman" w:cs="Times New Roman"/>
          <w:sz w:val="24"/>
          <w:szCs w:val="24"/>
        </w:rPr>
        <w:t xml:space="preserve"> spółką producencką charakteryzował się wzajemnym zaufaniem i dobrą wiarą oraz pociągał za sobą wzajemne prawa i obowiązki właściwe dla środowiska zawodowego, podobnie jak w kontekście zatrudnienia”. Z przytoczonej wypowiedzi nie wynika, że dla stosunku pracy charakterystyczny </w:t>
      </w:r>
      <w:r w:rsidR="00F51CDE" w:rsidRPr="00DD701C">
        <w:rPr>
          <w:rFonts w:ascii="Times New Roman" w:hAnsi="Times New Roman" w:cs="Times New Roman"/>
          <w:sz w:val="24"/>
          <w:szCs w:val="24"/>
        </w:rPr>
        <w:lastRenderedPageBreak/>
        <w:t>jest prymat swobody wypowiedzi pracownika. Wręcz przeciwnie. ETPC chciał podkreślić, że choć w stosunkach cywilnoprawnych brak charakterystycznego dla stosunku pracy podporządkowania pracownika i obowiązku lojalności wobec pracodawcy (przyczyny uzasadniającej obowiązek dyskrecji i nieujawniania określonych informacji), to jednak wzajemne zaufanie i dobra wiara mogą uzasadniać w pewnych sytuacjach (uwzględniających również określony kontekst zawodowy) dobrowolne związanie się obowiązkiem poufności.</w:t>
      </w:r>
    </w:p>
    <w:p w14:paraId="58A90391" w14:textId="77777777" w:rsidR="00F51CDE" w:rsidRPr="00DD701C" w:rsidRDefault="00F51CDE"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W tym wypadku obowiązek ten dotyczył kwestii wynagrodzenia.</w:t>
      </w:r>
    </w:p>
    <w:p w14:paraId="66FAC3DD" w14:textId="77777777" w:rsidR="00F51CDE" w:rsidRPr="00DD701C" w:rsidRDefault="00F51CDE" w:rsidP="00DD701C">
      <w:pPr>
        <w:pStyle w:val="Bezodstpw"/>
        <w:spacing w:line="360" w:lineRule="auto"/>
        <w:ind w:firstLine="708"/>
        <w:jc w:val="both"/>
        <w:rPr>
          <w:rFonts w:ascii="Times New Roman" w:hAnsi="Times New Roman" w:cs="Times New Roman"/>
          <w:sz w:val="24"/>
          <w:szCs w:val="24"/>
        </w:rPr>
      </w:pPr>
      <w:r w:rsidRPr="00DD701C">
        <w:rPr>
          <w:rFonts w:ascii="Times New Roman" w:hAnsi="Times New Roman" w:cs="Times New Roman"/>
          <w:sz w:val="24"/>
          <w:szCs w:val="24"/>
        </w:rPr>
        <w:t>I właśnie w tym aspekcie wyrok ten należy uznać za kontrowersyjny. Bo choć nadal zachowuje aktualność linia orzecznicza ETPC dotycząca ogólnego zakazu nieujawniania przez pracownika publicznie informacji związanych ze stosunkiem pracy i miejscem pracy (z wyjątkiem kwestii sygnalistów), to należy ją zrewidować w kontekście wynagrodzenia.</w:t>
      </w:r>
    </w:p>
    <w:p w14:paraId="37850DFE" w14:textId="280844C5" w:rsidR="00C47E8E" w:rsidRPr="00DD701C" w:rsidRDefault="00C47E8E" w:rsidP="00DD701C">
      <w:pPr>
        <w:pStyle w:val="Bezodstpw"/>
        <w:spacing w:line="360" w:lineRule="auto"/>
        <w:ind w:firstLine="709"/>
        <w:jc w:val="both"/>
        <w:rPr>
          <w:rFonts w:ascii="Times New Roman" w:hAnsi="Times New Roman" w:cs="Times New Roman"/>
          <w:sz w:val="24"/>
          <w:szCs w:val="24"/>
          <w:shd w:val="clear" w:color="auto" w:fill="FFFFFF"/>
        </w:rPr>
      </w:pPr>
      <w:r w:rsidRPr="00DD701C">
        <w:rPr>
          <w:rFonts w:ascii="Times New Roman" w:hAnsi="Times New Roman" w:cs="Times New Roman"/>
          <w:sz w:val="24"/>
          <w:szCs w:val="24"/>
        </w:rPr>
        <w:t xml:space="preserve">Zgeneralizowany pogląd ETPC na temat obowiązku pracownika zachowania w tajemnicy informacji o wynagrodzeniu </w:t>
      </w:r>
      <w:r w:rsidR="00674174" w:rsidRPr="00DD701C">
        <w:rPr>
          <w:rFonts w:ascii="Times New Roman" w:hAnsi="Times New Roman" w:cs="Times New Roman"/>
          <w:sz w:val="24"/>
          <w:szCs w:val="24"/>
        </w:rPr>
        <w:t xml:space="preserve">budzi </w:t>
      </w:r>
      <w:r w:rsidRPr="00DD701C">
        <w:rPr>
          <w:rFonts w:ascii="Times New Roman" w:hAnsi="Times New Roman" w:cs="Times New Roman"/>
          <w:sz w:val="24"/>
          <w:szCs w:val="24"/>
        </w:rPr>
        <w:t xml:space="preserve">poważne wątpliwości. Po pierwsze, został przedstawiony w oderwaniu od ram krajowych, które podlegają ocenie w ramach konkretnej sprawy i bez nawiązania do jakiegokolwiek podłoża prawnomiędzynarodowego, tak jakby ETPC nadawał temu obowiązkowi prawnonaturalny charakter. Po drugie pogląd ten wydaje się sprzeczny ze stanowiskiem Komitetu Praw Społecznych Rady Europy – organu uprawnionego do </w:t>
      </w:r>
      <w:r w:rsidR="005176C8" w:rsidRPr="00DD701C">
        <w:rPr>
          <w:rFonts w:ascii="Times New Roman" w:hAnsi="Times New Roman" w:cs="Times New Roman"/>
          <w:sz w:val="24"/>
          <w:szCs w:val="24"/>
        </w:rPr>
        <w:t>sprawdzania</w:t>
      </w:r>
      <w:r w:rsidRPr="00DD701C">
        <w:rPr>
          <w:rFonts w:ascii="Times New Roman" w:hAnsi="Times New Roman" w:cs="Times New Roman"/>
          <w:sz w:val="24"/>
          <w:szCs w:val="24"/>
        </w:rPr>
        <w:t xml:space="preserve"> </w:t>
      </w:r>
      <w:r w:rsidRPr="00DD701C">
        <w:rPr>
          <w:rFonts w:ascii="Times New Roman" w:hAnsi="Times New Roman" w:cs="Times New Roman"/>
          <w:sz w:val="24"/>
          <w:szCs w:val="24"/>
          <w:shd w:val="clear" w:color="auto" w:fill="FFFFFF"/>
        </w:rPr>
        <w:t>czy Państwa Strony przestrzegają swoich zobowiązań wynikających z Europejskiej Karty Społecznej</w:t>
      </w:r>
      <w:r w:rsidR="008B6313" w:rsidRPr="00DD701C">
        <w:rPr>
          <w:rStyle w:val="Odwoanieprzypisudolnego"/>
          <w:rFonts w:ascii="Times New Roman" w:hAnsi="Times New Roman" w:cs="Times New Roman"/>
          <w:sz w:val="24"/>
          <w:szCs w:val="24"/>
          <w:shd w:val="clear" w:color="auto" w:fill="FFFFFF"/>
        </w:rPr>
        <w:footnoteReference w:id="6"/>
      </w:r>
      <w:r w:rsidRPr="00DD701C">
        <w:rPr>
          <w:rFonts w:ascii="Times New Roman" w:hAnsi="Times New Roman" w:cs="Times New Roman"/>
          <w:sz w:val="24"/>
          <w:szCs w:val="24"/>
          <w:shd w:val="clear" w:color="auto" w:fill="FFFFFF"/>
        </w:rPr>
        <w:t xml:space="preserve"> </w:t>
      </w:r>
      <w:r w:rsidR="008B6313" w:rsidRPr="00DD701C">
        <w:rPr>
          <w:rFonts w:ascii="Times New Roman" w:hAnsi="Times New Roman" w:cs="Times New Roman"/>
          <w:sz w:val="24"/>
          <w:szCs w:val="24"/>
          <w:shd w:val="clear" w:color="auto" w:fill="FFFFFF"/>
        </w:rPr>
        <w:t>.</w:t>
      </w:r>
      <w:r w:rsidRPr="00DD701C">
        <w:rPr>
          <w:rFonts w:ascii="Times New Roman" w:hAnsi="Times New Roman" w:cs="Times New Roman"/>
          <w:sz w:val="24"/>
          <w:szCs w:val="24"/>
          <w:shd w:val="clear" w:color="auto" w:fill="FFFFFF"/>
        </w:rPr>
        <w:t xml:space="preserve"> </w:t>
      </w:r>
    </w:p>
    <w:p w14:paraId="3A5D370B" w14:textId="479564E6" w:rsidR="00F21AEB" w:rsidRPr="00DD701C" w:rsidRDefault="00F21AEB" w:rsidP="00E61B19">
      <w:pPr>
        <w:pStyle w:val="Bezodstpw"/>
        <w:spacing w:line="360" w:lineRule="auto"/>
        <w:ind w:firstLine="709"/>
        <w:jc w:val="both"/>
        <w:rPr>
          <w:rFonts w:ascii="Times New Roman" w:hAnsi="Times New Roman" w:cs="Times New Roman"/>
          <w:sz w:val="24"/>
          <w:szCs w:val="24"/>
        </w:rPr>
      </w:pPr>
      <w:r w:rsidRPr="00DD701C">
        <w:rPr>
          <w:rFonts w:ascii="Times New Roman" w:hAnsi="Times New Roman" w:cs="Times New Roman"/>
          <w:sz w:val="24"/>
          <w:szCs w:val="24"/>
        </w:rPr>
        <w:t xml:space="preserve">Wprawdzie Europejski Trybunał Praw Człowieka nie jest </w:t>
      </w:r>
      <w:r w:rsidR="00117B2A" w:rsidRPr="00DD701C">
        <w:rPr>
          <w:rFonts w:ascii="Times New Roman" w:hAnsi="Times New Roman" w:cs="Times New Roman"/>
          <w:sz w:val="24"/>
          <w:szCs w:val="24"/>
        </w:rPr>
        <w:t xml:space="preserve">związany </w:t>
      </w:r>
      <w:r w:rsidR="005176C8" w:rsidRPr="00DD701C">
        <w:rPr>
          <w:rFonts w:ascii="Times New Roman" w:hAnsi="Times New Roman" w:cs="Times New Roman"/>
          <w:sz w:val="24"/>
          <w:szCs w:val="24"/>
        </w:rPr>
        <w:t>postanowieniami Europejskiej</w:t>
      </w:r>
      <w:r w:rsidRPr="00DD701C">
        <w:rPr>
          <w:rFonts w:ascii="Times New Roman" w:hAnsi="Times New Roman" w:cs="Times New Roman"/>
          <w:sz w:val="24"/>
          <w:szCs w:val="24"/>
        </w:rPr>
        <w:t xml:space="preserve"> Kart</w:t>
      </w:r>
      <w:r w:rsidR="00963330" w:rsidRPr="00DD701C">
        <w:rPr>
          <w:rFonts w:ascii="Times New Roman" w:hAnsi="Times New Roman" w:cs="Times New Roman"/>
          <w:sz w:val="24"/>
          <w:szCs w:val="24"/>
        </w:rPr>
        <w:t>y</w:t>
      </w:r>
      <w:r w:rsidRPr="00DD701C">
        <w:rPr>
          <w:rFonts w:ascii="Times New Roman" w:hAnsi="Times New Roman" w:cs="Times New Roman"/>
          <w:sz w:val="24"/>
          <w:szCs w:val="24"/>
        </w:rPr>
        <w:t xml:space="preserve"> </w:t>
      </w:r>
      <w:r w:rsidR="008857CC" w:rsidRPr="00DD701C">
        <w:rPr>
          <w:rFonts w:ascii="Times New Roman" w:hAnsi="Times New Roman" w:cs="Times New Roman"/>
          <w:sz w:val="24"/>
          <w:szCs w:val="24"/>
        </w:rPr>
        <w:t>Społecznej,</w:t>
      </w:r>
      <w:r w:rsidRPr="00DD701C">
        <w:rPr>
          <w:rFonts w:ascii="Times New Roman" w:hAnsi="Times New Roman" w:cs="Times New Roman"/>
          <w:sz w:val="24"/>
          <w:szCs w:val="24"/>
        </w:rPr>
        <w:t xml:space="preserve"> jednakże w swoim orzecznictwie </w:t>
      </w:r>
      <w:r w:rsidR="000A38E0" w:rsidRPr="00DD701C">
        <w:rPr>
          <w:rFonts w:ascii="Times New Roman" w:hAnsi="Times New Roman" w:cs="Times New Roman"/>
          <w:sz w:val="24"/>
          <w:szCs w:val="24"/>
        </w:rPr>
        <w:t xml:space="preserve">(innym niż głosowany wyrok) </w:t>
      </w:r>
      <w:r w:rsidRPr="00DD701C">
        <w:rPr>
          <w:rFonts w:ascii="Times New Roman" w:hAnsi="Times New Roman" w:cs="Times New Roman"/>
          <w:sz w:val="24"/>
          <w:szCs w:val="24"/>
        </w:rPr>
        <w:t>odwołuje się do Karty</w:t>
      </w:r>
      <w:r w:rsidR="00C271C4" w:rsidRPr="00DD701C">
        <w:rPr>
          <w:rFonts w:ascii="Times New Roman" w:hAnsi="Times New Roman" w:cs="Times New Roman"/>
          <w:sz w:val="24"/>
          <w:szCs w:val="24"/>
        </w:rPr>
        <w:t xml:space="preserve"> wtedy, gdy jest to niezbędne</w:t>
      </w:r>
      <w:r w:rsidRPr="00DD701C">
        <w:rPr>
          <w:rFonts w:ascii="Times New Roman" w:hAnsi="Times New Roman" w:cs="Times New Roman"/>
          <w:sz w:val="24"/>
          <w:szCs w:val="24"/>
        </w:rPr>
        <w:t>.</w:t>
      </w:r>
      <w:r w:rsidR="000A38E0" w:rsidRPr="00DD701C">
        <w:rPr>
          <w:rFonts w:ascii="Times New Roman" w:hAnsi="Times New Roman" w:cs="Times New Roman"/>
          <w:sz w:val="24"/>
          <w:szCs w:val="24"/>
        </w:rPr>
        <w:t xml:space="preserve"> Europejska Karta Społeczna jest odpowiednikiem Konwencji o ochronie praw człowieka i podstawowych wolności w dziedzinie praw gospodarczych i społecznych. Gwarantuje ona szeroki zakres praw człowieka związanych m.in. z zatrudnieniem. Jest konwencją pochodzącą z tego samego systemu prawnego – Konwencji Rady Europy.</w:t>
      </w:r>
      <w:r w:rsidR="003C0C9A" w:rsidRPr="00DD701C">
        <w:rPr>
          <w:rFonts w:ascii="Times New Roman" w:hAnsi="Times New Roman" w:cs="Times New Roman"/>
          <w:sz w:val="24"/>
          <w:szCs w:val="24"/>
        </w:rPr>
        <w:t xml:space="preserve"> </w:t>
      </w:r>
      <w:r w:rsidR="0008442C" w:rsidRPr="00DD701C">
        <w:rPr>
          <w:rFonts w:ascii="Times New Roman" w:hAnsi="Times New Roman" w:cs="Times New Roman"/>
          <w:sz w:val="24"/>
          <w:szCs w:val="24"/>
        </w:rPr>
        <w:t xml:space="preserve"> </w:t>
      </w:r>
      <w:r w:rsidR="005176C8" w:rsidRPr="00DD701C">
        <w:rPr>
          <w:rFonts w:ascii="Times New Roman" w:hAnsi="Times New Roman" w:cs="Times New Roman"/>
          <w:sz w:val="24"/>
          <w:szCs w:val="24"/>
        </w:rPr>
        <w:t>Dlatego,</w:t>
      </w:r>
      <w:r w:rsidR="0008442C" w:rsidRPr="00DD701C">
        <w:rPr>
          <w:rFonts w:ascii="Times New Roman" w:hAnsi="Times New Roman" w:cs="Times New Roman"/>
          <w:sz w:val="24"/>
          <w:szCs w:val="24"/>
        </w:rPr>
        <w:t xml:space="preserve"> pomimo ż</w:t>
      </w:r>
      <w:r w:rsidR="00B11C98" w:rsidRPr="00DD701C">
        <w:rPr>
          <w:rFonts w:ascii="Times New Roman" w:hAnsi="Times New Roman" w:cs="Times New Roman"/>
          <w:sz w:val="24"/>
          <w:szCs w:val="24"/>
        </w:rPr>
        <w:t>e s</w:t>
      </w:r>
      <w:r w:rsidR="0008442C" w:rsidRPr="00DD701C">
        <w:rPr>
          <w:rFonts w:ascii="Times New Roman" w:hAnsi="Times New Roman" w:cs="Times New Roman"/>
          <w:sz w:val="24"/>
          <w:szCs w:val="24"/>
        </w:rPr>
        <w:t>ystem ochrony wynikający z Europejskiej Konwencji o Ochronie Praw Człowieka i system ochrony, którego podstawą jest Europejska Karty Społeczne są systemami odrębnymi</w:t>
      </w:r>
      <w:r w:rsidR="00EB7F27" w:rsidRPr="00DD701C">
        <w:rPr>
          <w:rFonts w:ascii="Times New Roman" w:hAnsi="Times New Roman" w:cs="Times New Roman"/>
          <w:sz w:val="24"/>
          <w:szCs w:val="24"/>
        </w:rPr>
        <w:t xml:space="preserve"> to jednak u</w:t>
      </w:r>
      <w:r w:rsidR="0008442C" w:rsidRPr="00DD701C">
        <w:rPr>
          <w:rFonts w:ascii="Times New Roman" w:hAnsi="Times New Roman" w:cs="Times New Roman"/>
          <w:sz w:val="24"/>
          <w:szCs w:val="24"/>
        </w:rPr>
        <w:t xml:space="preserve">zupełaniającymi się. </w:t>
      </w:r>
      <w:r w:rsidR="000A38E0" w:rsidRPr="00DD701C">
        <w:rPr>
          <w:rFonts w:ascii="Times New Roman" w:hAnsi="Times New Roman" w:cs="Times New Roman"/>
          <w:sz w:val="24"/>
          <w:szCs w:val="24"/>
        </w:rPr>
        <w:t>I choć co oczywiste ETPC nie ma w zakresie swojej kognicji rozpoznawania skarg na naruszenie EKS</w:t>
      </w:r>
      <w:r w:rsidR="00057EC8" w:rsidRPr="00DD701C">
        <w:rPr>
          <w:rFonts w:ascii="Times New Roman" w:hAnsi="Times New Roman" w:cs="Times New Roman"/>
          <w:sz w:val="24"/>
          <w:szCs w:val="24"/>
        </w:rPr>
        <w:t>, to nie może abstrahować od odblaskowego oddziaływania EKS na wykładnię poszczególnych postanowień Konwencji.</w:t>
      </w:r>
      <w:r w:rsidR="003C0C9A" w:rsidRPr="00DD701C">
        <w:rPr>
          <w:rFonts w:ascii="Times New Roman" w:hAnsi="Times New Roman" w:cs="Times New Roman"/>
          <w:sz w:val="24"/>
          <w:szCs w:val="24"/>
        </w:rPr>
        <w:t xml:space="preserve"> </w:t>
      </w:r>
      <w:r w:rsidRPr="00DD701C">
        <w:rPr>
          <w:rFonts w:ascii="Times New Roman" w:hAnsi="Times New Roman" w:cs="Times New Roman"/>
          <w:sz w:val="24"/>
          <w:szCs w:val="24"/>
        </w:rPr>
        <w:t xml:space="preserve">Europejski Trybunał Praw Człowieka traktuje Europejską Kartę Społeczną jako akt międzynarodowy potwierdzający wnioski wyprowadzone przez niego w oparciu o treść </w:t>
      </w:r>
      <w:r w:rsidRPr="00DD701C">
        <w:rPr>
          <w:rFonts w:ascii="Times New Roman" w:hAnsi="Times New Roman" w:cs="Times New Roman"/>
          <w:sz w:val="24"/>
          <w:szCs w:val="24"/>
        </w:rPr>
        <w:lastRenderedPageBreak/>
        <w:t>Konwencji. Na przykład w</w:t>
      </w:r>
      <w:r w:rsidR="00C271C4" w:rsidRPr="00DD701C">
        <w:rPr>
          <w:rFonts w:ascii="Times New Roman" w:hAnsi="Times New Roman" w:cs="Times New Roman"/>
          <w:sz w:val="24"/>
          <w:szCs w:val="24"/>
        </w:rPr>
        <w:t xml:space="preserve"> wyroku z 8.09.2015 r. w</w:t>
      </w:r>
      <w:r w:rsidRPr="00DD701C">
        <w:rPr>
          <w:rFonts w:ascii="Times New Roman" w:hAnsi="Times New Roman" w:cs="Times New Roman"/>
          <w:sz w:val="24"/>
          <w:szCs w:val="24"/>
        </w:rPr>
        <w:t xml:space="preserve"> sprawie Trade Union in the Factory ‘4th November</w:t>
      </w:r>
      <w:r w:rsidRPr="00DD701C">
        <w:rPr>
          <w:rFonts w:ascii="Times New Roman" w:hAnsi="Times New Roman" w:cs="Times New Roman"/>
          <w:i/>
          <w:iCs/>
          <w:sz w:val="24"/>
          <w:szCs w:val="24"/>
        </w:rPr>
        <w:t>’</w:t>
      </w:r>
      <w:r w:rsidRPr="00DD701C">
        <w:rPr>
          <w:rStyle w:val="Odwoanieprzypisudolnego"/>
          <w:rFonts w:ascii="Times New Roman" w:hAnsi="Times New Roman" w:cs="Times New Roman"/>
          <w:sz w:val="24"/>
          <w:szCs w:val="24"/>
        </w:rPr>
        <w:footnoteReference w:id="7"/>
      </w:r>
      <w:r w:rsidRPr="00DD701C">
        <w:rPr>
          <w:rFonts w:ascii="Times New Roman" w:hAnsi="Times New Roman" w:cs="Times New Roman"/>
          <w:sz w:val="24"/>
          <w:szCs w:val="24"/>
        </w:rPr>
        <w:t xml:space="preserve">. Trybunał uznając zarzut niezgodności przepisów krajowych z </w:t>
      </w:r>
      <w:r w:rsidR="00101922" w:rsidRPr="00DD701C">
        <w:rPr>
          <w:rFonts w:ascii="Times New Roman" w:hAnsi="Times New Roman" w:cs="Times New Roman"/>
          <w:sz w:val="24"/>
          <w:szCs w:val="24"/>
        </w:rPr>
        <w:t>a</w:t>
      </w:r>
      <w:r w:rsidRPr="00DD701C">
        <w:rPr>
          <w:rFonts w:ascii="Times New Roman" w:hAnsi="Times New Roman" w:cs="Times New Roman"/>
          <w:sz w:val="24"/>
          <w:szCs w:val="24"/>
        </w:rPr>
        <w:t>rt. 11 Konwencji za niezasadny</w:t>
      </w:r>
      <w:r w:rsidR="00C271C4" w:rsidRPr="00DD701C">
        <w:rPr>
          <w:rFonts w:ascii="Times New Roman" w:hAnsi="Times New Roman" w:cs="Times New Roman"/>
          <w:sz w:val="24"/>
          <w:szCs w:val="24"/>
        </w:rPr>
        <w:t>,</w:t>
      </w:r>
      <w:r w:rsidRPr="00DD701C">
        <w:rPr>
          <w:rFonts w:ascii="Times New Roman" w:hAnsi="Times New Roman" w:cs="Times New Roman"/>
          <w:sz w:val="24"/>
          <w:szCs w:val="24"/>
        </w:rPr>
        <w:t xml:space="preserve"> wprost odwołał się do oceny dokonanej przez Europejski Komitet Praw Społecznych na gruncie </w:t>
      </w:r>
      <w:r w:rsidR="00393F2A" w:rsidRPr="00DD701C">
        <w:rPr>
          <w:rFonts w:ascii="Times New Roman" w:hAnsi="Times New Roman" w:cs="Times New Roman"/>
          <w:sz w:val="24"/>
          <w:szCs w:val="24"/>
        </w:rPr>
        <w:t>a</w:t>
      </w:r>
      <w:r w:rsidRPr="00DD701C">
        <w:rPr>
          <w:rFonts w:ascii="Times New Roman" w:hAnsi="Times New Roman" w:cs="Times New Roman"/>
          <w:sz w:val="24"/>
          <w:szCs w:val="24"/>
        </w:rPr>
        <w:t xml:space="preserve">rt. 6 ust. 4. Jako argument </w:t>
      </w:r>
      <w:r w:rsidR="00647A5A" w:rsidRPr="00DD701C">
        <w:rPr>
          <w:rFonts w:ascii="Times New Roman" w:hAnsi="Times New Roman" w:cs="Times New Roman"/>
          <w:sz w:val="24"/>
          <w:szCs w:val="24"/>
        </w:rPr>
        <w:t xml:space="preserve">na rzecz potwierdzenia </w:t>
      </w:r>
      <w:r w:rsidR="00536EC6" w:rsidRPr="00DD701C">
        <w:rPr>
          <w:rFonts w:ascii="Times New Roman" w:hAnsi="Times New Roman" w:cs="Times New Roman"/>
          <w:sz w:val="24"/>
          <w:szCs w:val="24"/>
        </w:rPr>
        <w:t>za</w:t>
      </w:r>
      <w:r w:rsidR="00E306EB" w:rsidRPr="00DD701C">
        <w:rPr>
          <w:rFonts w:ascii="Times New Roman" w:hAnsi="Times New Roman" w:cs="Times New Roman"/>
          <w:sz w:val="24"/>
          <w:szCs w:val="24"/>
        </w:rPr>
        <w:t xml:space="preserve">jętego stanowiska </w:t>
      </w:r>
      <w:r w:rsidRPr="00DD701C">
        <w:rPr>
          <w:rFonts w:ascii="Times New Roman" w:hAnsi="Times New Roman" w:cs="Times New Roman"/>
          <w:sz w:val="24"/>
          <w:szCs w:val="24"/>
        </w:rPr>
        <w:t xml:space="preserve">Trybunał przywołał </w:t>
      </w:r>
      <w:r w:rsidR="004D1529" w:rsidRPr="00DD701C">
        <w:rPr>
          <w:rFonts w:ascii="Times New Roman" w:hAnsi="Times New Roman" w:cs="Times New Roman"/>
          <w:sz w:val="24"/>
          <w:szCs w:val="24"/>
        </w:rPr>
        <w:t>wykładnię</w:t>
      </w:r>
      <w:r w:rsidRPr="00DD701C">
        <w:rPr>
          <w:rFonts w:ascii="Times New Roman" w:hAnsi="Times New Roman" w:cs="Times New Roman"/>
          <w:sz w:val="24"/>
          <w:szCs w:val="24"/>
        </w:rPr>
        <w:t xml:space="preserve"> Komitet</w:t>
      </w:r>
      <w:r w:rsidR="004D1529" w:rsidRPr="00DD701C">
        <w:rPr>
          <w:rFonts w:ascii="Times New Roman" w:hAnsi="Times New Roman" w:cs="Times New Roman"/>
          <w:sz w:val="24"/>
          <w:szCs w:val="24"/>
        </w:rPr>
        <w:t>u</w:t>
      </w:r>
      <w:r w:rsidRPr="00DD701C">
        <w:rPr>
          <w:rFonts w:ascii="Times New Roman" w:hAnsi="Times New Roman" w:cs="Times New Roman"/>
          <w:sz w:val="24"/>
          <w:szCs w:val="24"/>
        </w:rPr>
        <w:t>, że sytuacja w Macedonii odnośnie prawa do strajku nie pozostaje sprzeczności z postanowieniami Karty</w:t>
      </w:r>
      <w:r w:rsidRPr="00DD701C">
        <w:rPr>
          <w:rStyle w:val="Odwoanieprzypisudolnego"/>
          <w:rFonts w:ascii="Times New Roman" w:hAnsi="Times New Roman" w:cs="Times New Roman"/>
          <w:sz w:val="24"/>
          <w:szCs w:val="24"/>
        </w:rPr>
        <w:footnoteReference w:id="8"/>
      </w:r>
      <w:r w:rsidRPr="00DD701C">
        <w:rPr>
          <w:rFonts w:ascii="Times New Roman" w:hAnsi="Times New Roman" w:cs="Times New Roman"/>
          <w:sz w:val="24"/>
          <w:szCs w:val="24"/>
        </w:rPr>
        <w:t>.</w:t>
      </w:r>
      <w:r w:rsidR="00E306EB" w:rsidRPr="00DD701C">
        <w:rPr>
          <w:rFonts w:ascii="Times New Roman" w:hAnsi="Times New Roman" w:cs="Times New Roman"/>
          <w:sz w:val="24"/>
          <w:szCs w:val="24"/>
        </w:rPr>
        <w:t xml:space="preserve"> </w:t>
      </w:r>
      <w:r w:rsidR="008D4633" w:rsidRPr="00DD701C">
        <w:rPr>
          <w:rFonts w:ascii="Times New Roman" w:hAnsi="Times New Roman" w:cs="Times New Roman"/>
          <w:sz w:val="24"/>
          <w:szCs w:val="24"/>
        </w:rPr>
        <w:t xml:space="preserve">Niekiedy Karta </w:t>
      </w:r>
      <w:r w:rsidR="00A32405" w:rsidRPr="00DD701C">
        <w:rPr>
          <w:rFonts w:ascii="Times New Roman" w:hAnsi="Times New Roman" w:cs="Times New Roman"/>
          <w:sz w:val="24"/>
          <w:szCs w:val="24"/>
        </w:rPr>
        <w:t xml:space="preserve">stanowi nie tylko potwierdzenie interpretacji </w:t>
      </w:r>
      <w:r w:rsidR="008E1635" w:rsidRPr="00DD701C">
        <w:rPr>
          <w:rFonts w:ascii="Times New Roman" w:hAnsi="Times New Roman" w:cs="Times New Roman"/>
          <w:sz w:val="24"/>
          <w:szCs w:val="24"/>
        </w:rPr>
        <w:t>dokonanej przez Trybunał</w:t>
      </w:r>
      <w:r w:rsidR="0054583E" w:rsidRPr="00DD701C">
        <w:rPr>
          <w:rFonts w:ascii="Times New Roman" w:hAnsi="Times New Roman" w:cs="Times New Roman"/>
          <w:sz w:val="24"/>
          <w:szCs w:val="24"/>
        </w:rPr>
        <w:t xml:space="preserve">, ale </w:t>
      </w:r>
      <w:r w:rsidR="008E1635" w:rsidRPr="00DD701C">
        <w:rPr>
          <w:rFonts w:ascii="Times New Roman" w:hAnsi="Times New Roman" w:cs="Times New Roman"/>
          <w:sz w:val="24"/>
          <w:szCs w:val="24"/>
        </w:rPr>
        <w:t xml:space="preserve">podstawę prawną zajętego stanowiska. Tak </w:t>
      </w:r>
      <w:r w:rsidR="00DC3132" w:rsidRPr="00DD701C">
        <w:rPr>
          <w:rFonts w:ascii="Times New Roman" w:hAnsi="Times New Roman" w:cs="Times New Roman"/>
          <w:sz w:val="24"/>
          <w:szCs w:val="24"/>
        </w:rPr>
        <w:t xml:space="preserve">wynika z </w:t>
      </w:r>
      <w:r w:rsidR="008E1635" w:rsidRPr="00DD701C">
        <w:rPr>
          <w:rFonts w:ascii="Times New Roman" w:hAnsi="Times New Roman" w:cs="Times New Roman"/>
          <w:sz w:val="24"/>
          <w:szCs w:val="24"/>
        </w:rPr>
        <w:t xml:space="preserve">uzasadnieniu wyroku </w:t>
      </w:r>
      <w:r w:rsidR="008B6313" w:rsidRPr="00DD701C">
        <w:rPr>
          <w:rFonts w:ascii="Times New Roman" w:hAnsi="Times New Roman" w:cs="Times New Roman"/>
          <w:sz w:val="24"/>
          <w:szCs w:val="24"/>
        </w:rPr>
        <w:t>ETPC z 21</w:t>
      </w:r>
      <w:r w:rsidR="00674174" w:rsidRPr="00DD701C">
        <w:rPr>
          <w:rFonts w:ascii="Times New Roman" w:hAnsi="Times New Roman" w:cs="Times New Roman"/>
          <w:sz w:val="24"/>
          <w:szCs w:val="24"/>
        </w:rPr>
        <w:t>.04.</w:t>
      </w:r>
      <w:r w:rsidR="008B6313" w:rsidRPr="00DD701C">
        <w:rPr>
          <w:rFonts w:ascii="Times New Roman" w:hAnsi="Times New Roman" w:cs="Times New Roman"/>
          <w:sz w:val="24"/>
          <w:szCs w:val="24"/>
        </w:rPr>
        <w:t xml:space="preserve">2015 r. </w:t>
      </w:r>
      <w:r w:rsidR="008E1635" w:rsidRPr="00DD701C">
        <w:rPr>
          <w:rFonts w:ascii="Times New Roman" w:hAnsi="Times New Roman" w:cs="Times New Roman"/>
          <w:sz w:val="24"/>
          <w:szCs w:val="24"/>
        </w:rPr>
        <w:t>w sprawie Junta Rectora del Ertzainen Nazional Elkartasuna (Er.N.E.)</w:t>
      </w:r>
      <w:r w:rsidR="00DC3132" w:rsidRPr="00DD701C">
        <w:rPr>
          <w:rStyle w:val="Odwoanieprzypisudolnego"/>
          <w:rFonts w:ascii="Times New Roman" w:hAnsi="Times New Roman" w:cs="Times New Roman"/>
          <w:sz w:val="24"/>
          <w:szCs w:val="24"/>
        </w:rPr>
        <w:footnoteReference w:id="9"/>
      </w:r>
      <w:r w:rsidR="008E1635" w:rsidRPr="00DD701C">
        <w:rPr>
          <w:rFonts w:ascii="Times New Roman" w:hAnsi="Times New Roman" w:cs="Times New Roman"/>
          <w:sz w:val="24"/>
          <w:szCs w:val="24"/>
        </w:rPr>
        <w:t xml:space="preserve">. Skarżącym był związek policjantów baskijskich Junta Rectora del Ertzainen National Solidarity, który zarzucił rządowi hiszpańskiemu naruszenie </w:t>
      </w:r>
      <w:r w:rsidR="00317D40" w:rsidRPr="00DD701C">
        <w:rPr>
          <w:rFonts w:ascii="Times New Roman" w:hAnsi="Times New Roman" w:cs="Times New Roman"/>
          <w:sz w:val="24"/>
          <w:szCs w:val="24"/>
        </w:rPr>
        <w:t>a</w:t>
      </w:r>
      <w:r w:rsidR="008E1635" w:rsidRPr="00DD701C">
        <w:rPr>
          <w:rFonts w:ascii="Times New Roman" w:hAnsi="Times New Roman" w:cs="Times New Roman"/>
          <w:sz w:val="24"/>
          <w:szCs w:val="24"/>
        </w:rPr>
        <w:t xml:space="preserve">rt. 11 Konwencji poprzez zakazanie im możliwości strajkowania. Trybunał </w:t>
      </w:r>
      <w:r w:rsidR="00902C8D" w:rsidRPr="00DD701C">
        <w:rPr>
          <w:rFonts w:ascii="Times New Roman" w:hAnsi="Times New Roman" w:cs="Times New Roman"/>
          <w:sz w:val="24"/>
          <w:szCs w:val="24"/>
        </w:rPr>
        <w:t>zacytował</w:t>
      </w:r>
      <w:r w:rsidR="008E1635" w:rsidRPr="00DD701C">
        <w:rPr>
          <w:rFonts w:ascii="Times New Roman" w:hAnsi="Times New Roman" w:cs="Times New Roman"/>
          <w:sz w:val="24"/>
          <w:szCs w:val="24"/>
        </w:rPr>
        <w:t xml:space="preserve"> stanowisk</w:t>
      </w:r>
      <w:r w:rsidR="00AA1CFE" w:rsidRPr="00DD701C">
        <w:rPr>
          <w:rFonts w:ascii="Times New Roman" w:hAnsi="Times New Roman" w:cs="Times New Roman"/>
          <w:sz w:val="24"/>
          <w:szCs w:val="24"/>
        </w:rPr>
        <w:t>o</w:t>
      </w:r>
      <w:r w:rsidR="008E1635" w:rsidRPr="00DD701C">
        <w:rPr>
          <w:rFonts w:ascii="Times New Roman" w:hAnsi="Times New Roman" w:cs="Times New Roman"/>
          <w:sz w:val="24"/>
          <w:szCs w:val="24"/>
        </w:rPr>
        <w:t xml:space="preserve"> Komitetu Ministrów</w:t>
      </w:r>
      <w:r w:rsidR="00AA1CFE" w:rsidRPr="00DD701C">
        <w:rPr>
          <w:rFonts w:ascii="Times New Roman" w:hAnsi="Times New Roman" w:cs="Times New Roman"/>
          <w:sz w:val="24"/>
          <w:szCs w:val="24"/>
        </w:rPr>
        <w:t xml:space="preserve"> Rady Europy</w:t>
      </w:r>
      <w:r w:rsidR="008E1635" w:rsidRPr="00DD701C">
        <w:rPr>
          <w:rFonts w:ascii="Times New Roman" w:hAnsi="Times New Roman" w:cs="Times New Roman"/>
          <w:sz w:val="24"/>
          <w:szCs w:val="24"/>
        </w:rPr>
        <w:t xml:space="preserve"> wyrażony</w:t>
      </w:r>
      <w:r w:rsidR="00AA1CFE" w:rsidRPr="00DD701C">
        <w:rPr>
          <w:rFonts w:ascii="Times New Roman" w:hAnsi="Times New Roman" w:cs="Times New Roman"/>
          <w:sz w:val="24"/>
          <w:szCs w:val="24"/>
        </w:rPr>
        <w:t>m</w:t>
      </w:r>
      <w:r w:rsidR="008E1635" w:rsidRPr="00DD701C">
        <w:rPr>
          <w:rFonts w:ascii="Times New Roman" w:hAnsi="Times New Roman" w:cs="Times New Roman"/>
          <w:sz w:val="24"/>
          <w:szCs w:val="24"/>
        </w:rPr>
        <w:t xml:space="preserve"> </w:t>
      </w:r>
      <w:r w:rsidR="00700A04" w:rsidRPr="00DD701C">
        <w:rPr>
          <w:rFonts w:ascii="Times New Roman" w:hAnsi="Times New Roman" w:cs="Times New Roman"/>
          <w:sz w:val="24"/>
          <w:szCs w:val="24"/>
        </w:rPr>
        <w:t>w oparciu o</w:t>
      </w:r>
      <w:r w:rsidR="008E1635" w:rsidRPr="00DD701C">
        <w:rPr>
          <w:rFonts w:ascii="Times New Roman" w:hAnsi="Times New Roman" w:cs="Times New Roman"/>
          <w:sz w:val="24"/>
          <w:szCs w:val="24"/>
        </w:rPr>
        <w:t xml:space="preserve"> </w:t>
      </w:r>
      <w:r w:rsidR="00AA1CFE" w:rsidRPr="00DD701C">
        <w:rPr>
          <w:rFonts w:ascii="Times New Roman" w:hAnsi="Times New Roman" w:cs="Times New Roman"/>
          <w:sz w:val="24"/>
          <w:szCs w:val="24"/>
        </w:rPr>
        <w:t>a</w:t>
      </w:r>
      <w:r w:rsidR="008E1635" w:rsidRPr="00DD701C">
        <w:rPr>
          <w:rFonts w:ascii="Times New Roman" w:hAnsi="Times New Roman" w:cs="Times New Roman"/>
          <w:sz w:val="24"/>
          <w:szCs w:val="24"/>
        </w:rPr>
        <w:t>rt. 5 Karty</w:t>
      </w:r>
      <w:r w:rsidR="00EF11C5" w:rsidRPr="00DD701C">
        <w:rPr>
          <w:rFonts w:ascii="Times New Roman" w:hAnsi="Times New Roman" w:cs="Times New Roman"/>
          <w:sz w:val="24"/>
          <w:szCs w:val="24"/>
        </w:rPr>
        <w:t>,</w:t>
      </w:r>
      <w:r w:rsidR="008E1635" w:rsidRPr="00DD701C">
        <w:rPr>
          <w:rFonts w:ascii="Times New Roman" w:hAnsi="Times New Roman" w:cs="Times New Roman"/>
          <w:sz w:val="24"/>
          <w:szCs w:val="24"/>
        </w:rPr>
        <w:t xml:space="preserve"> </w:t>
      </w:r>
      <w:r w:rsidR="0042442B" w:rsidRPr="00DD701C">
        <w:rPr>
          <w:rFonts w:ascii="Times New Roman" w:hAnsi="Times New Roman" w:cs="Times New Roman"/>
          <w:sz w:val="24"/>
          <w:szCs w:val="24"/>
        </w:rPr>
        <w:t xml:space="preserve">zgodnie z </w:t>
      </w:r>
      <w:r w:rsidR="00534092" w:rsidRPr="00DD701C">
        <w:rPr>
          <w:rFonts w:ascii="Times New Roman" w:hAnsi="Times New Roman" w:cs="Times New Roman"/>
          <w:sz w:val="24"/>
          <w:szCs w:val="24"/>
        </w:rPr>
        <w:t>którym</w:t>
      </w:r>
      <w:r w:rsidR="008E1635" w:rsidRPr="00DD701C">
        <w:rPr>
          <w:rFonts w:ascii="Times New Roman" w:hAnsi="Times New Roman" w:cs="Times New Roman"/>
          <w:sz w:val="24"/>
          <w:szCs w:val="24"/>
        </w:rPr>
        <w:t xml:space="preserve"> całkowity zakaz prawa do strajku dla policji nie jest sprzeczny z Kartą i</w:t>
      </w:r>
      <w:r w:rsidR="00534092" w:rsidRPr="00DD701C">
        <w:rPr>
          <w:rFonts w:ascii="Times New Roman" w:hAnsi="Times New Roman" w:cs="Times New Roman"/>
          <w:sz w:val="24"/>
          <w:szCs w:val="24"/>
        </w:rPr>
        <w:t xml:space="preserve"> stosowanym</w:t>
      </w:r>
      <w:r w:rsidR="00F842DB" w:rsidRPr="00DD701C">
        <w:rPr>
          <w:rFonts w:ascii="Times New Roman" w:hAnsi="Times New Roman" w:cs="Times New Roman"/>
          <w:sz w:val="24"/>
          <w:szCs w:val="24"/>
        </w:rPr>
        <w:t xml:space="preserve"> </w:t>
      </w:r>
      <w:r w:rsidR="008E1635" w:rsidRPr="00DD701C">
        <w:rPr>
          <w:rFonts w:ascii="Times New Roman" w:hAnsi="Times New Roman" w:cs="Times New Roman"/>
          <w:sz w:val="24"/>
          <w:szCs w:val="24"/>
        </w:rPr>
        <w:t>orzecznictwem</w:t>
      </w:r>
      <w:r w:rsidR="005E6B9A" w:rsidRPr="00DD701C">
        <w:rPr>
          <w:rFonts w:ascii="Times New Roman" w:hAnsi="Times New Roman" w:cs="Times New Roman"/>
          <w:sz w:val="24"/>
          <w:szCs w:val="24"/>
        </w:rPr>
        <w:t xml:space="preserve"> (pkt 16 wyroku)</w:t>
      </w:r>
      <w:r w:rsidR="008E1635" w:rsidRPr="00DD701C">
        <w:rPr>
          <w:rFonts w:ascii="Times New Roman" w:hAnsi="Times New Roman" w:cs="Times New Roman"/>
          <w:sz w:val="24"/>
          <w:szCs w:val="24"/>
        </w:rPr>
        <w:t xml:space="preserve">. Trybunał </w:t>
      </w:r>
      <w:r w:rsidR="002C6FE1" w:rsidRPr="00DD701C">
        <w:rPr>
          <w:rFonts w:ascii="Times New Roman" w:hAnsi="Times New Roman" w:cs="Times New Roman"/>
          <w:sz w:val="24"/>
          <w:szCs w:val="24"/>
        </w:rPr>
        <w:t>stwierdził,</w:t>
      </w:r>
      <w:r w:rsidR="008E1635" w:rsidRPr="00DD701C">
        <w:rPr>
          <w:rFonts w:ascii="Times New Roman" w:hAnsi="Times New Roman" w:cs="Times New Roman"/>
          <w:sz w:val="24"/>
          <w:szCs w:val="24"/>
        </w:rPr>
        <w:t xml:space="preserve"> że nie widzi podstaw by odstępować od takiego wniosku</w:t>
      </w:r>
      <w:r w:rsidR="005E6B9A" w:rsidRPr="00DD701C">
        <w:rPr>
          <w:rFonts w:ascii="Times New Roman" w:hAnsi="Times New Roman" w:cs="Times New Roman"/>
          <w:sz w:val="24"/>
          <w:szCs w:val="24"/>
        </w:rPr>
        <w:t xml:space="preserve"> (pkt 40 wyroku)</w:t>
      </w:r>
      <w:r w:rsidR="008E1635" w:rsidRPr="00DD701C">
        <w:rPr>
          <w:rFonts w:ascii="Times New Roman" w:hAnsi="Times New Roman" w:cs="Times New Roman"/>
          <w:sz w:val="24"/>
          <w:szCs w:val="24"/>
        </w:rPr>
        <w:t>.</w:t>
      </w:r>
      <w:r w:rsidR="0045086D" w:rsidRPr="00DD701C">
        <w:rPr>
          <w:rFonts w:ascii="Times New Roman" w:hAnsi="Times New Roman" w:cs="Times New Roman"/>
          <w:sz w:val="24"/>
          <w:szCs w:val="24"/>
        </w:rPr>
        <w:t xml:space="preserve"> </w:t>
      </w:r>
      <w:r w:rsidR="002C50F2" w:rsidRPr="00DD701C">
        <w:rPr>
          <w:rFonts w:ascii="Times New Roman" w:hAnsi="Times New Roman" w:cs="Times New Roman"/>
          <w:sz w:val="24"/>
          <w:szCs w:val="24"/>
        </w:rPr>
        <w:t xml:space="preserve">Zdarza się też, że </w:t>
      </w:r>
      <w:r w:rsidR="000B5530" w:rsidRPr="00DD701C">
        <w:rPr>
          <w:rFonts w:ascii="Times New Roman" w:hAnsi="Times New Roman" w:cs="Times New Roman"/>
          <w:sz w:val="24"/>
          <w:szCs w:val="24"/>
        </w:rPr>
        <w:t xml:space="preserve">Europejski Trybunał Praw Człowieka </w:t>
      </w:r>
      <w:r w:rsidR="008F449F" w:rsidRPr="00DD701C">
        <w:rPr>
          <w:rFonts w:ascii="Times New Roman" w:hAnsi="Times New Roman" w:cs="Times New Roman"/>
          <w:sz w:val="24"/>
          <w:szCs w:val="24"/>
        </w:rPr>
        <w:t>odwołuje się do</w:t>
      </w:r>
      <w:r w:rsidR="000B5530" w:rsidRPr="00DD701C">
        <w:rPr>
          <w:rFonts w:ascii="Times New Roman" w:hAnsi="Times New Roman" w:cs="Times New Roman"/>
          <w:sz w:val="24"/>
          <w:szCs w:val="24"/>
        </w:rPr>
        <w:t xml:space="preserve"> Europejskiej Karty Społecznej dla sprecyzowania sposobu wykładni postanowień Konwencji</w:t>
      </w:r>
      <w:r w:rsidR="002C50F2" w:rsidRPr="00DD701C">
        <w:rPr>
          <w:rFonts w:ascii="Times New Roman" w:hAnsi="Times New Roman" w:cs="Times New Roman"/>
          <w:sz w:val="24"/>
          <w:szCs w:val="24"/>
        </w:rPr>
        <w:t xml:space="preserve"> jak np. w </w:t>
      </w:r>
      <w:r w:rsidR="005E6B9A" w:rsidRPr="00DD701C">
        <w:rPr>
          <w:rFonts w:ascii="Times New Roman" w:hAnsi="Times New Roman" w:cs="Times New Roman"/>
          <w:sz w:val="24"/>
          <w:szCs w:val="24"/>
        </w:rPr>
        <w:t>wyroku z 4</w:t>
      </w:r>
      <w:r w:rsidR="00674174" w:rsidRPr="00DD701C">
        <w:rPr>
          <w:rFonts w:ascii="Times New Roman" w:hAnsi="Times New Roman" w:cs="Times New Roman"/>
          <w:sz w:val="24"/>
          <w:szCs w:val="24"/>
        </w:rPr>
        <w:t>.06.</w:t>
      </w:r>
      <w:r w:rsidR="005E6B9A" w:rsidRPr="00DD701C">
        <w:rPr>
          <w:rFonts w:ascii="Times New Roman" w:hAnsi="Times New Roman" w:cs="Times New Roman"/>
          <w:sz w:val="24"/>
          <w:szCs w:val="24"/>
        </w:rPr>
        <w:t xml:space="preserve">2015 r. w </w:t>
      </w:r>
      <w:r w:rsidR="000B5530" w:rsidRPr="00DD701C">
        <w:rPr>
          <w:rFonts w:ascii="Times New Roman" w:hAnsi="Times New Roman" w:cs="Times New Roman"/>
          <w:sz w:val="24"/>
          <w:szCs w:val="24"/>
        </w:rPr>
        <w:t xml:space="preserve">sprawie Chitos </w:t>
      </w:r>
      <w:r w:rsidR="0000745E" w:rsidRPr="00DD701C">
        <w:rPr>
          <w:rStyle w:val="Odwoanieprzypisudolnego"/>
          <w:rFonts w:ascii="Times New Roman" w:hAnsi="Times New Roman" w:cs="Times New Roman"/>
          <w:sz w:val="24"/>
          <w:szCs w:val="24"/>
        </w:rPr>
        <w:footnoteReference w:id="10"/>
      </w:r>
      <w:r w:rsidR="000B5530" w:rsidRPr="00DD701C">
        <w:rPr>
          <w:rFonts w:ascii="Times New Roman" w:hAnsi="Times New Roman" w:cs="Times New Roman"/>
          <w:sz w:val="24"/>
          <w:szCs w:val="24"/>
        </w:rPr>
        <w:t>.</w:t>
      </w:r>
      <w:r w:rsidR="004C01E6" w:rsidRPr="00DD701C">
        <w:rPr>
          <w:rFonts w:ascii="Times New Roman" w:hAnsi="Times New Roman" w:cs="Times New Roman"/>
          <w:sz w:val="24"/>
          <w:szCs w:val="24"/>
        </w:rPr>
        <w:t xml:space="preserve"> </w:t>
      </w:r>
      <w:r w:rsidR="005E6B9A" w:rsidRPr="00DD701C">
        <w:rPr>
          <w:rFonts w:ascii="Times New Roman" w:hAnsi="Times New Roman" w:cs="Times New Roman"/>
          <w:sz w:val="24"/>
          <w:szCs w:val="24"/>
        </w:rPr>
        <w:t>S</w:t>
      </w:r>
      <w:r w:rsidR="000B5530" w:rsidRPr="00DD701C">
        <w:rPr>
          <w:rFonts w:ascii="Times New Roman" w:hAnsi="Times New Roman" w:cs="Times New Roman"/>
          <w:sz w:val="24"/>
          <w:szCs w:val="24"/>
        </w:rPr>
        <w:t>karżący</w:t>
      </w:r>
      <w:r w:rsidR="00013045" w:rsidRPr="00DD701C">
        <w:rPr>
          <w:rFonts w:ascii="Times New Roman" w:hAnsi="Times New Roman" w:cs="Times New Roman"/>
          <w:sz w:val="24"/>
          <w:szCs w:val="24"/>
        </w:rPr>
        <w:t xml:space="preserve"> </w:t>
      </w:r>
      <w:r w:rsidR="0002763D" w:rsidRPr="00DD701C">
        <w:rPr>
          <w:rFonts w:ascii="Times New Roman" w:hAnsi="Times New Roman" w:cs="Times New Roman"/>
          <w:sz w:val="24"/>
          <w:szCs w:val="24"/>
        </w:rPr>
        <w:t>zarzucił</w:t>
      </w:r>
      <w:r w:rsidR="005E6B9A" w:rsidRPr="00DD701C">
        <w:rPr>
          <w:rFonts w:ascii="Times New Roman" w:hAnsi="Times New Roman" w:cs="Times New Roman"/>
          <w:sz w:val="24"/>
          <w:szCs w:val="24"/>
        </w:rPr>
        <w:t xml:space="preserve"> w niej</w:t>
      </w:r>
      <w:r w:rsidR="000B5530" w:rsidRPr="00DD701C">
        <w:rPr>
          <w:rFonts w:ascii="Times New Roman" w:hAnsi="Times New Roman" w:cs="Times New Roman"/>
          <w:sz w:val="24"/>
          <w:szCs w:val="24"/>
        </w:rPr>
        <w:t xml:space="preserve"> </w:t>
      </w:r>
      <w:r w:rsidR="00013045" w:rsidRPr="00DD701C">
        <w:rPr>
          <w:rFonts w:ascii="Times New Roman" w:hAnsi="Times New Roman" w:cs="Times New Roman"/>
          <w:sz w:val="24"/>
          <w:szCs w:val="24"/>
        </w:rPr>
        <w:t>naruszenie przez</w:t>
      </w:r>
      <w:r w:rsidR="000B5530" w:rsidRPr="00DD701C">
        <w:rPr>
          <w:rFonts w:ascii="Times New Roman" w:hAnsi="Times New Roman" w:cs="Times New Roman"/>
          <w:sz w:val="24"/>
          <w:szCs w:val="24"/>
        </w:rPr>
        <w:t xml:space="preserve"> Grecj</w:t>
      </w:r>
      <w:r w:rsidR="00013045" w:rsidRPr="00DD701C">
        <w:rPr>
          <w:rFonts w:ascii="Times New Roman" w:hAnsi="Times New Roman" w:cs="Times New Roman"/>
          <w:sz w:val="24"/>
          <w:szCs w:val="24"/>
        </w:rPr>
        <w:t>ę</w:t>
      </w:r>
      <w:r w:rsidR="000B5530" w:rsidRPr="00DD701C">
        <w:rPr>
          <w:rFonts w:ascii="Times New Roman" w:hAnsi="Times New Roman" w:cs="Times New Roman"/>
          <w:sz w:val="24"/>
          <w:szCs w:val="24"/>
        </w:rPr>
        <w:t xml:space="preserve"> </w:t>
      </w:r>
      <w:r w:rsidR="00AA5D4C" w:rsidRPr="00DD701C">
        <w:rPr>
          <w:rFonts w:ascii="Times New Roman" w:hAnsi="Times New Roman" w:cs="Times New Roman"/>
          <w:sz w:val="24"/>
          <w:szCs w:val="24"/>
        </w:rPr>
        <w:t>a</w:t>
      </w:r>
      <w:r w:rsidR="000B5530" w:rsidRPr="00DD701C">
        <w:rPr>
          <w:rFonts w:ascii="Times New Roman" w:hAnsi="Times New Roman" w:cs="Times New Roman"/>
          <w:sz w:val="24"/>
          <w:szCs w:val="24"/>
        </w:rPr>
        <w:t xml:space="preserve">rt. 4 </w:t>
      </w:r>
      <w:r w:rsidR="00D833E7" w:rsidRPr="00DD701C">
        <w:rPr>
          <w:rFonts w:ascii="Times New Roman" w:hAnsi="Times New Roman" w:cs="Times New Roman"/>
          <w:sz w:val="24"/>
          <w:szCs w:val="24"/>
        </w:rPr>
        <w:t xml:space="preserve">ust. </w:t>
      </w:r>
      <w:r w:rsidR="000B5530" w:rsidRPr="00DD701C">
        <w:rPr>
          <w:rFonts w:ascii="Times New Roman" w:hAnsi="Times New Roman" w:cs="Times New Roman"/>
          <w:sz w:val="24"/>
          <w:szCs w:val="24"/>
        </w:rPr>
        <w:t xml:space="preserve">2 Konwencji o </w:t>
      </w:r>
      <w:r w:rsidR="00674174" w:rsidRPr="00DD701C">
        <w:rPr>
          <w:rFonts w:ascii="Times New Roman" w:hAnsi="Times New Roman" w:cs="Times New Roman"/>
          <w:sz w:val="24"/>
          <w:szCs w:val="24"/>
        </w:rPr>
        <w:t xml:space="preserve">ochronie praw człowieka i podstawowych </w:t>
      </w:r>
      <w:r w:rsidR="008857CC" w:rsidRPr="00DD701C">
        <w:rPr>
          <w:rFonts w:ascii="Times New Roman" w:hAnsi="Times New Roman" w:cs="Times New Roman"/>
          <w:sz w:val="24"/>
          <w:szCs w:val="24"/>
        </w:rPr>
        <w:t>wolności,</w:t>
      </w:r>
      <w:r w:rsidR="000B5530" w:rsidRPr="00DD701C">
        <w:rPr>
          <w:rFonts w:ascii="Times New Roman" w:hAnsi="Times New Roman" w:cs="Times New Roman"/>
          <w:sz w:val="24"/>
          <w:szCs w:val="24"/>
        </w:rPr>
        <w:t xml:space="preserve"> zgodnie z którym </w:t>
      </w:r>
      <w:r w:rsidR="005E6B9A" w:rsidRPr="00DD701C">
        <w:rPr>
          <w:rFonts w:ascii="Times New Roman" w:hAnsi="Times New Roman" w:cs="Times New Roman"/>
          <w:sz w:val="24"/>
          <w:szCs w:val="24"/>
        </w:rPr>
        <w:t>„</w:t>
      </w:r>
      <w:r w:rsidR="000B5530" w:rsidRPr="00DD701C">
        <w:rPr>
          <w:rFonts w:ascii="Times New Roman" w:hAnsi="Times New Roman" w:cs="Times New Roman"/>
          <w:sz w:val="24"/>
          <w:szCs w:val="24"/>
        </w:rPr>
        <w:t>Nikt nie może być zmuszony do świadczenia pracy przymusowej lub obowiązkowej</w:t>
      </w:r>
      <w:r w:rsidR="005E6B9A" w:rsidRPr="00DD701C">
        <w:rPr>
          <w:rFonts w:ascii="Times New Roman" w:hAnsi="Times New Roman" w:cs="Times New Roman"/>
          <w:sz w:val="24"/>
          <w:szCs w:val="24"/>
        </w:rPr>
        <w:t>”.</w:t>
      </w:r>
      <w:r w:rsidR="000B5530" w:rsidRPr="00DD701C">
        <w:rPr>
          <w:rFonts w:ascii="Times New Roman" w:hAnsi="Times New Roman" w:cs="Times New Roman"/>
          <w:sz w:val="24"/>
          <w:szCs w:val="24"/>
        </w:rPr>
        <w:t xml:space="preserve"> ETPC </w:t>
      </w:r>
      <w:r w:rsidR="00EC0E4E" w:rsidRPr="00DD701C">
        <w:rPr>
          <w:rFonts w:ascii="Times New Roman" w:hAnsi="Times New Roman" w:cs="Times New Roman"/>
          <w:sz w:val="24"/>
          <w:szCs w:val="24"/>
        </w:rPr>
        <w:t>posłużył się</w:t>
      </w:r>
      <w:r w:rsidR="00CC585E" w:rsidRPr="00DD701C">
        <w:rPr>
          <w:rFonts w:ascii="Times New Roman" w:hAnsi="Times New Roman" w:cs="Times New Roman"/>
          <w:sz w:val="24"/>
          <w:szCs w:val="24"/>
        </w:rPr>
        <w:t xml:space="preserve"> </w:t>
      </w:r>
      <w:r w:rsidR="000B5530" w:rsidRPr="00DD701C">
        <w:rPr>
          <w:rFonts w:ascii="Times New Roman" w:hAnsi="Times New Roman" w:cs="Times New Roman"/>
          <w:sz w:val="24"/>
          <w:szCs w:val="24"/>
        </w:rPr>
        <w:t>stanowisk</w:t>
      </w:r>
      <w:r w:rsidR="00EC0E4E" w:rsidRPr="00DD701C">
        <w:rPr>
          <w:rFonts w:ascii="Times New Roman" w:hAnsi="Times New Roman" w:cs="Times New Roman"/>
          <w:sz w:val="24"/>
          <w:szCs w:val="24"/>
        </w:rPr>
        <w:t>iem</w:t>
      </w:r>
      <w:r w:rsidR="000B5530" w:rsidRPr="00DD701C">
        <w:rPr>
          <w:rFonts w:ascii="Times New Roman" w:hAnsi="Times New Roman" w:cs="Times New Roman"/>
          <w:sz w:val="24"/>
          <w:szCs w:val="24"/>
        </w:rPr>
        <w:t xml:space="preserve"> Komitetu</w:t>
      </w:r>
      <w:r w:rsidR="00AF24DB" w:rsidRPr="00DD701C">
        <w:rPr>
          <w:rFonts w:ascii="Times New Roman" w:hAnsi="Times New Roman" w:cs="Times New Roman"/>
          <w:sz w:val="24"/>
          <w:szCs w:val="24"/>
        </w:rPr>
        <w:t xml:space="preserve"> Praw Społecznych</w:t>
      </w:r>
      <w:r w:rsidR="00AE5D24" w:rsidRPr="00DD701C">
        <w:rPr>
          <w:rFonts w:ascii="Times New Roman" w:hAnsi="Times New Roman" w:cs="Times New Roman"/>
          <w:sz w:val="24"/>
          <w:szCs w:val="24"/>
        </w:rPr>
        <w:t xml:space="preserve"> </w:t>
      </w:r>
      <w:r w:rsidR="00AA5D4C" w:rsidRPr="00DD701C">
        <w:rPr>
          <w:rFonts w:ascii="Times New Roman" w:hAnsi="Times New Roman" w:cs="Times New Roman"/>
          <w:sz w:val="24"/>
          <w:szCs w:val="24"/>
        </w:rPr>
        <w:t>zajęt</w:t>
      </w:r>
      <w:r w:rsidR="008765DF" w:rsidRPr="00DD701C">
        <w:rPr>
          <w:rFonts w:ascii="Times New Roman" w:hAnsi="Times New Roman" w:cs="Times New Roman"/>
          <w:sz w:val="24"/>
          <w:szCs w:val="24"/>
        </w:rPr>
        <w:t>ym</w:t>
      </w:r>
      <w:r w:rsidR="00AA5D4C" w:rsidRPr="00DD701C">
        <w:rPr>
          <w:rFonts w:ascii="Times New Roman" w:hAnsi="Times New Roman" w:cs="Times New Roman"/>
          <w:sz w:val="24"/>
          <w:szCs w:val="24"/>
        </w:rPr>
        <w:t xml:space="preserve"> na tle</w:t>
      </w:r>
      <w:r w:rsidR="000B5530" w:rsidRPr="00DD701C">
        <w:rPr>
          <w:rFonts w:ascii="Times New Roman" w:hAnsi="Times New Roman" w:cs="Times New Roman"/>
          <w:sz w:val="24"/>
          <w:szCs w:val="24"/>
        </w:rPr>
        <w:t xml:space="preserve"> </w:t>
      </w:r>
      <w:r w:rsidR="00AA5D4C" w:rsidRPr="00DD701C">
        <w:rPr>
          <w:rFonts w:ascii="Times New Roman" w:hAnsi="Times New Roman" w:cs="Times New Roman"/>
          <w:sz w:val="24"/>
          <w:szCs w:val="24"/>
        </w:rPr>
        <w:t>a</w:t>
      </w:r>
      <w:r w:rsidR="000B5530" w:rsidRPr="00DD701C">
        <w:rPr>
          <w:rFonts w:ascii="Times New Roman" w:hAnsi="Times New Roman" w:cs="Times New Roman"/>
          <w:sz w:val="24"/>
          <w:szCs w:val="24"/>
        </w:rPr>
        <w:t>rt. 1</w:t>
      </w:r>
      <w:r w:rsidR="007A0427" w:rsidRPr="00DD701C">
        <w:rPr>
          <w:rFonts w:ascii="Times New Roman" w:hAnsi="Times New Roman" w:cs="Times New Roman"/>
          <w:sz w:val="24"/>
          <w:szCs w:val="24"/>
        </w:rPr>
        <w:t xml:space="preserve"> </w:t>
      </w:r>
      <w:r w:rsidR="00D833E7" w:rsidRPr="00DD701C">
        <w:rPr>
          <w:rFonts w:ascii="Times New Roman" w:hAnsi="Times New Roman" w:cs="Times New Roman"/>
          <w:sz w:val="24"/>
          <w:szCs w:val="24"/>
        </w:rPr>
        <w:t>ust.</w:t>
      </w:r>
      <w:r w:rsidR="007A0427" w:rsidRPr="00DD701C">
        <w:rPr>
          <w:rFonts w:ascii="Times New Roman" w:hAnsi="Times New Roman" w:cs="Times New Roman"/>
          <w:sz w:val="24"/>
          <w:szCs w:val="24"/>
        </w:rPr>
        <w:t xml:space="preserve"> </w:t>
      </w:r>
      <w:r w:rsidR="000B5530" w:rsidRPr="00DD701C">
        <w:rPr>
          <w:rFonts w:ascii="Times New Roman" w:hAnsi="Times New Roman" w:cs="Times New Roman"/>
          <w:sz w:val="24"/>
          <w:szCs w:val="24"/>
        </w:rPr>
        <w:t>2 Europejskiej Karty Społecznej</w:t>
      </w:r>
      <w:r w:rsidR="00EC0E4E" w:rsidRPr="00DD701C">
        <w:rPr>
          <w:rFonts w:ascii="Times New Roman" w:hAnsi="Times New Roman" w:cs="Times New Roman"/>
          <w:sz w:val="24"/>
          <w:szCs w:val="24"/>
        </w:rPr>
        <w:t>. Trybunał</w:t>
      </w:r>
      <w:r w:rsidR="00D83F6F" w:rsidRPr="00DD701C">
        <w:rPr>
          <w:rFonts w:ascii="Times New Roman" w:hAnsi="Times New Roman" w:cs="Times New Roman"/>
          <w:sz w:val="24"/>
          <w:szCs w:val="24"/>
        </w:rPr>
        <w:t xml:space="preserve"> wskazał, że </w:t>
      </w:r>
      <w:r w:rsidR="000B5530" w:rsidRPr="00DD701C">
        <w:rPr>
          <w:rFonts w:ascii="Times New Roman" w:hAnsi="Times New Roman" w:cs="Times New Roman"/>
          <w:sz w:val="24"/>
          <w:szCs w:val="24"/>
        </w:rPr>
        <w:t>Komitet badając kwestię pracy przymusowej, dokonał rozróżnienia pomiędzy sytuacją zwykłych członków sił zbrojnych a sytuacją poborowych</w:t>
      </w:r>
      <w:r w:rsidR="00D833E7" w:rsidRPr="00DD701C">
        <w:rPr>
          <w:rFonts w:ascii="Times New Roman" w:hAnsi="Times New Roman" w:cs="Times New Roman"/>
          <w:sz w:val="24"/>
          <w:szCs w:val="24"/>
        </w:rPr>
        <w:t xml:space="preserve"> (pkt 85 wyroku)</w:t>
      </w:r>
      <w:r w:rsidR="000B5530" w:rsidRPr="00DD701C">
        <w:rPr>
          <w:rFonts w:ascii="Times New Roman" w:hAnsi="Times New Roman" w:cs="Times New Roman"/>
          <w:sz w:val="24"/>
          <w:szCs w:val="24"/>
        </w:rPr>
        <w:t>.</w:t>
      </w:r>
      <w:r w:rsidR="00246245" w:rsidRPr="00DD701C">
        <w:rPr>
          <w:rFonts w:ascii="Times New Roman" w:hAnsi="Times New Roman" w:cs="Times New Roman"/>
          <w:sz w:val="24"/>
          <w:szCs w:val="24"/>
        </w:rPr>
        <w:t xml:space="preserve"> </w:t>
      </w:r>
      <w:r w:rsidR="00F541E1" w:rsidRPr="00DD701C">
        <w:rPr>
          <w:rFonts w:ascii="Times New Roman" w:hAnsi="Times New Roman" w:cs="Times New Roman"/>
          <w:sz w:val="24"/>
          <w:szCs w:val="24"/>
        </w:rPr>
        <w:t>Z o</w:t>
      </w:r>
      <w:r w:rsidR="00D05B7D" w:rsidRPr="00DD701C">
        <w:rPr>
          <w:rFonts w:ascii="Times New Roman" w:hAnsi="Times New Roman" w:cs="Times New Roman"/>
          <w:sz w:val="24"/>
          <w:szCs w:val="24"/>
        </w:rPr>
        <w:t xml:space="preserve">rzecznictwo </w:t>
      </w:r>
      <w:r w:rsidR="00BA4FBA" w:rsidRPr="00DD701C">
        <w:rPr>
          <w:rFonts w:ascii="Times New Roman" w:hAnsi="Times New Roman" w:cs="Times New Roman"/>
          <w:sz w:val="24"/>
          <w:szCs w:val="24"/>
        </w:rPr>
        <w:t xml:space="preserve">ETPC </w:t>
      </w:r>
      <w:r w:rsidR="00F541E1" w:rsidRPr="00DD701C">
        <w:rPr>
          <w:rFonts w:ascii="Times New Roman" w:hAnsi="Times New Roman" w:cs="Times New Roman"/>
          <w:sz w:val="24"/>
          <w:szCs w:val="24"/>
        </w:rPr>
        <w:t>wynika także</w:t>
      </w:r>
      <w:r w:rsidR="00BC5191" w:rsidRPr="00DD701C">
        <w:rPr>
          <w:rFonts w:ascii="Times New Roman" w:hAnsi="Times New Roman" w:cs="Times New Roman"/>
          <w:sz w:val="24"/>
          <w:szCs w:val="24"/>
        </w:rPr>
        <w:t xml:space="preserve">, że Trybunał </w:t>
      </w:r>
      <w:r w:rsidR="004258E5" w:rsidRPr="00DD701C">
        <w:rPr>
          <w:rFonts w:ascii="Times New Roman" w:hAnsi="Times New Roman" w:cs="Times New Roman"/>
          <w:sz w:val="24"/>
          <w:szCs w:val="24"/>
        </w:rPr>
        <w:t xml:space="preserve">rozwija </w:t>
      </w:r>
      <w:r w:rsidR="000B5530" w:rsidRPr="00DD701C">
        <w:rPr>
          <w:rFonts w:ascii="Times New Roman" w:hAnsi="Times New Roman" w:cs="Times New Roman"/>
          <w:sz w:val="24"/>
          <w:szCs w:val="24"/>
        </w:rPr>
        <w:t>praw</w:t>
      </w:r>
      <w:r w:rsidR="004258E5" w:rsidRPr="00DD701C">
        <w:rPr>
          <w:rFonts w:ascii="Times New Roman" w:hAnsi="Times New Roman" w:cs="Times New Roman"/>
          <w:sz w:val="24"/>
          <w:szCs w:val="24"/>
        </w:rPr>
        <w:t>a</w:t>
      </w:r>
      <w:r w:rsidR="000B5530" w:rsidRPr="00DD701C">
        <w:rPr>
          <w:rFonts w:ascii="Times New Roman" w:hAnsi="Times New Roman" w:cs="Times New Roman"/>
          <w:sz w:val="24"/>
          <w:szCs w:val="24"/>
        </w:rPr>
        <w:t xml:space="preserve"> wywodzo</w:t>
      </w:r>
      <w:r w:rsidR="004258E5" w:rsidRPr="00DD701C">
        <w:rPr>
          <w:rFonts w:ascii="Times New Roman" w:hAnsi="Times New Roman" w:cs="Times New Roman"/>
          <w:sz w:val="24"/>
          <w:szCs w:val="24"/>
        </w:rPr>
        <w:t>ne</w:t>
      </w:r>
      <w:r w:rsidR="000B5530" w:rsidRPr="00DD701C">
        <w:rPr>
          <w:rFonts w:ascii="Times New Roman" w:hAnsi="Times New Roman" w:cs="Times New Roman"/>
          <w:sz w:val="24"/>
          <w:szCs w:val="24"/>
        </w:rPr>
        <w:t xml:space="preserve"> z Konwencji w oparciu o treść postanowień Europejskiej Karty Społecznej. </w:t>
      </w:r>
      <w:r w:rsidR="00702493" w:rsidRPr="00DD701C">
        <w:rPr>
          <w:rFonts w:ascii="Times New Roman" w:hAnsi="Times New Roman" w:cs="Times New Roman"/>
          <w:sz w:val="24"/>
          <w:szCs w:val="24"/>
        </w:rPr>
        <w:t>Przykładem jest</w:t>
      </w:r>
      <w:r w:rsidR="00D833E7" w:rsidRPr="00DD701C">
        <w:rPr>
          <w:rFonts w:ascii="Times New Roman" w:hAnsi="Times New Roman" w:cs="Times New Roman"/>
          <w:sz w:val="24"/>
          <w:szCs w:val="24"/>
        </w:rPr>
        <w:t xml:space="preserve"> wyrok z 11.2008 r. w sprawie </w:t>
      </w:r>
      <w:r w:rsidR="000B5530" w:rsidRPr="00DD701C">
        <w:rPr>
          <w:rFonts w:ascii="Times New Roman" w:hAnsi="Times New Roman" w:cs="Times New Roman"/>
          <w:sz w:val="24"/>
          <w:szCs w:val="24"/>
        </w:rPr>
        <w:t>Demir i Baykara</w:t>
      </w:r>
      <w:r w:rsidR="00702493" w:rsidRPr="00DD701C">
        <w:rPr>
          <w:rStyle w:val="Odwoanieprzypisudolnego"/>
          <w:rFonts w:ascii="Times New Roman" w:hAnsi="Times New Roman" w:cs="Times New Roman"/>
          <w:sz w:val="24"/>
          <w:szCs w:val="24"/>
        </w:rPr>
        <w:footnoteReference w:id="11"/>
      </w:r>
      <w:r w:rsidR="000B5530" w:rsidRPr="00DD701C">
        <w:rPr>
          <w:rFonts w:ascii="Times New Roman" w:hAnsi="Times New Roman" w:cs="Times New Roman"/>
          <w:sz w:val="24"/>
          <w:szCs w:val="24"/>
        </w:rPr>
        <w:t>.</w:t>
      </w:r>
    </w:p>
    <w:p w14:paraId="2218BB52" w14:textId="77369FC7" w:rsidR="00F21AEB" w:rsidRPr="00DD701C" w:rsidRDefault="009D0A96" w:rsidP="00DD701C">
      <w:pPr>
        <w:pStyle w:val="Bezodstpw"/>
        <w:spacing w:line="360" w:lineRule="auto"/>
        <w:ind w:firstLine="709"/>
        <w:jc w:val="both"/>
        <w:rPr>
          <w:rFonts w:ascii="Times New Roman" w:hAnsi="Times New Roman" w:cs="Times New Roman"/>
          <w:sz w:val="24"/>
          <w:szCs w:val="24"/>
          <w:shd w:val="clear" w:color="auto" w:fill="FFFFFF"/>
        </w:rPr>
      </w:pPr>
      <w:r w:rsidRPr="00DD701C">
        <w:rPr>
          <w:rFonts w:ascii="Times New Roman" w:hAnsi="Times New Roman" w:cs="Times New Roman"/>
          <w:sz w:val="24"/>
          <w:szCs w:val="24"/>
          <w:shd w:val="clear" w:color="auto" w:fill="FFFFFF"/>
        </w:rPr>
        <w:t>W świetle powyższego</w:t>
      </w:r>
      <w:r w:rsidR="00C271C4" w:rsidRPr="00DD701C">
        <w:rPr>
          <w:rFonts w:ascii="Times New Roman" w:hAnsi="Times New Roman" w:cs="Times New Roman"/>
          <w:sz w:val="24"/>
          <w:szCs w:val="24"/>
          <w:shd w:val="clear" w:color="auto" w:fill="FFFFFF"/>
        </w:rPr>
        <w:t xml:space="preserve"> poważne wątpliwości</w:t>
      </w:r>
      <w:r w:rsidRPr="00DD701C">
        <w:rPr>
          <w:rFonts w:ascii="Times New Roman" w:hAnsi="Times New Roman" w:cs="Times New Roman"/>
          <w:sz w:val="24"/>
          <w:szCs w:val="24"/>
          <w:shd w:val="clear" w:color="auto" w:fill="FFFFFF"/>
        </w:rPr>
        <w:t xml:space="preserve"> budzi</w:t>
      </w:r>
      <w:r w:rsidR="00C271C4" w:rsidRPr="00DD701C">
        <w:rPr>
          <w:rFonts w:ascii="Times New Roman" w:hAnsi="Times New Roman" w:cs="Times New Roman"/>
          <w:sz w:val="24"/>
          <w:szCs w:val="24"/>
          <w:shd w:val="clear" w:color="auto" w:fill="FFFFFF"/>
        </w:rPr>
        <w:t>, że głosowany wyrok opiera się na rozumowaniu sprzecznym z Europejską Kartą Społeczną</w:t>
      </w:r>
      <w:r w:rsidR="009C74A9" w:rsidRPr="00DD701C">
        <w:rPr>
          <w:rFonts w:ascii="Times New Roman" w:hAnsi="Times New Roman" w:cs="Times New Roman"/>
          <w:sz w:val="24"/>
          <w:szCs w:val="24"/>
          <w:shd w:val="clear" w:color="auto" w:fill="FFFFFF"/>
        </w:rPr>
        <w:t xml:space="preserve">. ETPC poszukuje w nim uzasadnienia </w:t>
      </w:r>
      <w:r w:rsidR="009C74A9" w:rsidRPr="00DD701C">
        <w:rPr>
          <w:rFonts w:ascii="Times New Roman" w:hAnsi="Times New Roman" w:cs="Times New Roman"/>
          <w:sz w:val="24"/>
          <w:szCs w:val="24"/>
          <w:shd w:val="clear" w:color="auto" w:fill="FFFFFF"/>
        </w:rPr>
        <w:lastRenderedPageBreak/>
        <w:t>dla dopuszczalności umownego wyłączenia swobody wypowiedzi odnośnie do ujawniania danych o wynagrodzeniu w analogii do naturalnego dla stosunku pracy obowiązku dyskrecji pracownika. Rzecz jednak w tym, że w przypadku pracowników</w:t>
      </w:r>
      <w:r w:rsidR="000F60B4" w:rsidRPr="00DD701C">
        <w:rPr>
          <w:rFonts w:ascii="Times New Roman" w:hAnsi="Times New Roman" w:cs="Times New Roman"/>
          <w:sz w:val="24"/>
          <w:szCs w:val="24"/>
          <w:shd w:val="clear" w:color="auto" w:fill="FFFFFF"/>
        </w:rPr>
        <w:t xml:space="preserve"> Europejska</w:t>
      </w:r>
      <w:r w:rsidR="009C74A9" w:rsidRPr="00DD701C">
        <w:rPr>
          <w:rFonts w:ascii="Times New Roman" w:hAnsi="Times New Roman" w:cs="Times New Roman"/>
          <w:sz w:val="24"/>
          <w:szCs w:val="24"/>
          <w:shd w:val="clear" w:color="auto" w:fill="FFFFFF"/>
        </w:rPr>
        <w:t xml:space="preserve"> Karta Społeczn</w:t>
      </w:r>
      <w:r w:rsidR="000F60B4" w:rsidRPr="00DD701C">
        <w:rPr>
          <w:rFonts w:ascii="Times New Roman" w:hAnsi="Times New Roman" w:cs="Times New Roman"/>
          <w:sz w:val="24"/>
          <w:szCs w:val="24"/>
          <w:shd w:val="clear" w:color="auto" w:fill="FFFFFF"/>
        </w:rPr>
        <w:t>a</w:t>
      </w:r>
      <w:r w:rsidR="009C74A9" w:rsidRPr="00DD701C">
        <w:rPr>
          <w:rFonts w:ascii="Times New Roman" w:hAnsi="Times New Roman" w:cs="Times New Roman"/>
          <w:sz w:val="24"/>
          <w:szCs w:val="24"/>
          <w:shd w:val="clear" w:color="auto" w:fill="FFFFFF"/>
        </w:rPr>
        <w:t xml:space="preserve"> daje podstawy do odmiennego rozumowania</w:t>
      </w:r>
      <w:r w:rsidR="00FA4432" w:rsidRPr="00DD701C">
        <w:rPr>
          <w:rFonts w:ascii="Times New Roman" w:hAnsi="Times New Roman" w:cs="Times New Roman"/>
          <w:sz w:val="24"/>
          <w:szCs w:val="24"/>
          <w:shd w:val="clear" w:color="auto" w:fill="FFFFFF"/>
        </w:rPr>
        <w:t xml:space="preserve">. </w:t>
      </w:r>
      <w:r w:rsidR="009C74A9" w:rsidRPr="00DD701C">
        <w:rPr>
          <w:rFonts w:ascii="Times New Roman" w:hAnsi="Times New Roman" w:cs="Times New Roman"/>
          <w:sz w:val="24"/>
          <w:szCs w:val="24"/>
          <w:shd w:val="clear" w:color="auto" w:fill="FFFFFF"/>
        </w:rPr>
        <w:t>Stawia ona na pierwszym miejscu zasadę równości wynagrodzeń za pracę tego samego rodzaju (odblask zasady równości wobec prawa)</w:t>
      </w:r>
      <w:r w:rsidR="00FA4432" w:rsidRPr="00DD701C">
        <w:rPr>
          <w:rFonts w:ascii="Times New Roman" w:hAnsi="Times New Roman" w:cs="Times New Roman"/>
          <w:sz w:val="24"/>
          <w:szCs w:val="24"/>
          <w:shd w:val="clear" w:color="auto" w:fill="FFFFFF"/>
        </w:rPr>
        <w:t>. Zdaniem zaś Komitetu Ekspertów może ona być ona skutecznie realizowana jedynie wówczas, gdy zostaną wdrożone rozwiązania oparte na jawności informacji o wynagrodzeniach.</w:t>
      </w:r>
    </w:p>
    <w:p w14:paraId="3AF408A9" w14:textId="383F375E" w:rsidR="006275C2" w:rsidRPr="00DD701C" w:rsidRDefault="00344D5F" w:rsidP="00622980">
      <w:pPr>
        <w:pStyle w:val="Bezodstpw"/>
        <w:spacing w:line="360" w:lineRule="auto"/>
        <w:ind w:firstLine="709"/>
        <w:jc w:val="both"/>
        <w:rPr>
          <w:rFonts w:ascii="Times New Roman" w:hAnsi="Times New Roman" w:cs="Times New Roman"/>
          <w:kern w:val="2"/>
          <w:sz w:val="24"/>
          <w:szCs w:val="24"/>
        </w:rPr>
      </w:pPr>
      <w:r w:rsidRPr="00DD701C">
        <w:rPr>
          <w:rFonts w:ascii="Times New Roman" w:hAnsi="Times New Roman" w:cs="Times New Roman"/>
          <w:sz w:val="24"/>
          <w:szCs w:val="24"/>
          <w:shd w:val="clear" w:color="auto" w:fill="FFFFFF"/>
        </w:rPr>
        <w:t xml:space="preserve">Zgodnie z art. </w:t>
      </w:r>
      <w:r w:rsidR="001B2848" w:rsidRPr="00DD701C">
        <w:rPr>
          <w:rFonts w:ascii="Times New Roman" w:hAnsi="Times New Roman" w:cs="Times New Roman"/>
          <w:sz w:val="24"/>
          <w:szCs w:val="24"/>
          <w:shd w:val="clear" w:color="auto" w:fill="FFFFFF"/>
        </w:rPr>
        <w:t>4 ust. 3 Karty</w:t>
      </w:r>
      <w:r w:rsidR="00A75930" w:rsidRPr="00DD701C">
        <w:rPr>
          <w:rFonts w:ascii="Times New Roman" w:hAnsi="Times New Roman" w:cs="Times New Roman"/>
          <w:sz w:val="24"/>
          <w:szCs w:val="24"/>
          <w:shd w:val="clear" w:color="auto" w:fill="FFFFFF"/>
        </w:rPr>
        <w:t xml:space="preserve"> „W</w:t>
      </w:r>
      <w:r w:rsidR="001F6CA9" w:rsidRPr="00DD701C">
        <w:rPr>
          <w:rFonts w:ascii="Times New Roman" w:hAnsi="Times New Roman" w:cs="Times New Roman"/>
          <w:sz w:val="24"/>
          <w:szCs w:val="24"/>
          <w:shd w:val="clear" w:color="auto" w:fill="FFFFFF"/>
        </w:rPr>
        <w:t xml:space="preserve"> celu zapewnienia skutecznego wykonywania prawa do sprawiedliwego wynagrodzenia, Strony zobowiązują się</w:t>
      </w:r>
      <w:r w:rsidR="00A75930" w:rsidRPr="00DD701C">
        <w:rPr>
          <w:rFonts w:ascii="Times New Roman" w:hAnsi="Times New Roman" w:cs="Times New Roman"/>
          <w:sz w:val="24"/>
          <w:szCs w:val="24"/>
          <w:shd w:val="clear" w:color="auto" w:fill="FFFFFF"/>
        </w:rPr>
        <w:t xml:space="preserve"> </w:t>
      </w:r>
      <w:r w:rsidR="00873631" w:rsidRPr="00DD701C">
        <w:rPr>
          <w:rFonts w:ascii="Times New Roman" w:hAnsi="Times New Roman" w:cs="Times New Roman"/>
          <w:sz w:val="24"/>
          <w:szCs w:val="24"/>
          <w:shd w:val="clear" w:color="auto" w:fill="FFFFFF"/>
        </w:rPr>
        <w:t>uznać prawo pracowników, zarówno mężczyzn, jak i kobiet, do równego wynagrodzenia za pracę jednakowej wartości</w:t>
      </w:r>
      <w:r w:rsidR="00A75930" w:rsidRPr="00DD701C">
        <w:rPr>
          <w:rFonts w:ascii="Times New Roman" w:hAnsi="Times New Roman" w:cs="Times New Roman"/>
          <w:sz w:val="24"/>
          <w:szCs w:val="24"/>
          <w:shd w:val="clear" w:color="auto" w:fill="FFFFFF"/>
        </w:rPr>
        <w:t xml:space="preserve">”. </w:t>
      </w:r>
      <w:r w:rsidR="008E71E3" w:rsidRPr="00DD701C">
        <w:rPr>
          <w:rFonts w:ascii="Times New Roman" w:hAnsi="Times New Roman" w:cs="Times New Roman"/>
          <w:sz w:val="24"/>
          <w:szCs w:val="24"/>
          <w:shd w:val="clear" w:color="auto" w:fill="FFFFFF"/>
        </w:rPr>
        <w:t xml:space="preserve"> </w:t>
      </w:r>
      <w:r w:rsidR="009F06A7" w:rsidRPr="00DD701C">
        <w:rPr>
          <w:rFonts w:ascii="Times New Roman" w:hAnsi="Times New Roman" w:cs="Times New Roman"/>
          <w:sz w:val="24"/>
          <w:szCs w:val="24"/>
          <w:shd w:val="clear" w:color="auto" w:fill="FFFFFF"/>
        </w:rPr>
        <w:t xml:space="preserve">Na tle tego przepisu </w:t>
      </w:r>
      <w:r w:rsidR="004655E1" w:rsidRPr="00DD701C">
        <w:rPr>
          <w:rFonts w:ascii="Times New Roman" w:hAnsi="Times New Roman" w:cs="Times New Roman"/>
          <w:sz w:val="24"/>
          <w:szCs w:val="24"/>
          <w:shd w:val="clear" w:color="auto" w:fill="FFFFFF"/>
        </w:rPr>
        <w:t>Europejski</w:t>
      </w:r>
      <w:r w:rsidR="00695654" w:rsidRPr="00DD701C">
        <w:rPr>
          <w:rFonts w:ascii="Times New Roman" w:hAnsi="Times New Roman" w:cs="Times New Roman"/>
          <w:sz w:val="24"/>
          <w:szCs w:val="24"/>
          <w:shd w:val="clear" w:color="auto" w:fill="FFFFFF"/>
        </w:rPr>
        <w:t xml:space="preserve"> </w:t>
      </w:r>
      <w:r w:rsidR="004655E1" w:rsidRPr="00DD701C">
        <w:rPr>
          <w:rFonts w:ascii="Times New Roman" w:hAnsi="Times New Roman" w:cs="Times New Roman"/>
          <w:sz w:val="24"/>
          <w:szCs w:val="24"/>
          <w:shd w:val="clear" w:color="auto" w:fill="FFFFFF"/>
        </w:rPr>
        <w:t xml:space="preserve">Komitet Praw </w:t>
      </w:r>
      <w:r w:rsidR="005176C8" w:rsidRPr="00DD701C">
        <w:rPr>
          <w:rFonts w:ascii="Times New Roman" w:hAnsi="Times New Roman" w:cs="Times New Roman"/>
          <w:sz w:val="24"/>
          <w:szCs w:val="24"/>
          <w:shd w:val="clear" w:color="auto" w:fill="FFFFFF"/>
        </w:rPr>
        <w:t>Społecznych wypracował</w:t>
      </w:r>
      <w:r w:rsidR="004655E1" w:rsidRPr="00DD701C">
        <w:rPr>
          <w:rFonts w:ascii="Times New Roman" w:hAnsi="Times New Roman" w:cs="Times New Roman"/>
          <w:sz w:val="24"/>
          <w:szCs w:val="24"/>
          <w:shd w:val="clear" w:color="auto" w:fill="FFFFFF"/>
        </w:rPr>
        <w:t xml:space="preserve"> wymogi jakie </w:t>
      </w:r>
      <w:r w:rsidR="00D021E4" w:rsidRPr="00DD701C">
        <w:rPr>
          <w:rFonts w:ascii="Times New Roman" w:hAnsi="Times New Roman" w:cs="Times New Roman"/>
          <w:sz w:val="24"/>
          <w:szCs w:val="24"/>
          <w:shd w:val="clear" w:color="auto" w:fill="FFFFFF"/>
        </w:rPr>
        <w:t>powinien</w:t>
      </w:r>
      <w:r w:rsidR="004655E1" w:rsidRPr="00DD701C">
        <w:rPr>
          <w:rFonts w:ascii="Times New Roman" w:hAnsi="Times New Roman" w:cs="Times New Roman"/>
          <w:sz w:val="24"/>
          <w:szCs w:val="24"/>
          <w:shd w:val="clear" w:color="auto" w:fill="FFFFFF"/>
        </w:rPr>
        <w:t xml:space="preserve"> spełniać krajowy system </w:t>
      </w:r>
      <w:r w:rsidR="00AA0AFC" w:rsidRPr="00DD701C">
        <w:rPr>
          <w:rFonts w:ascii="Times New Roman" w:hAnsi="Times New Roman" w:cs="Times New Roman"/>
          <w:sz w:val="24"/>
          <w:szCs w:val="24"/>
          <w:shd w:val="clear" w:color="auto" w:fill="FFFFFF"/>
        </w:rPr>
        <w:t xml:space="preserve">zapewniający </w:t>
      </w:r>
      <w:r w:rsidR="00702678" w:rsidRPr="00DD701C">
        <w:rPr>
          <w:rFonts w:ascii="Times New Roman" w:hAnsi="Times New Roman" w:cs="Times New Roman"/>
          <w:sz w:val="24"/>
          <w:szCs w:val="24"/>
          <w:shd w:val="clear" w:color="auto" w:fill="FFFFFF"/>
        </w:rPr>
        <w:t xml:space="preserve">brak </w:t>
      </w:r>
      <w:r w:rsidR="002E2ED5" w:rsidRPr="00DD701C">
        <w:rPr>
          <w:rFonts w:ascii="Times New Roman" w:hAnsi="Times New Roman" w:cs="Times New Roman"/>
          <w:sz w:val="24"/>
          <w:szCs w:val="24"/>
        </w:rPr>
        <w:t>bezpośredniej lub pośredniej dyskryminacji między mężczyznami i kobietami w odniesieniu do wynagrodzenia</w:t>
      </w:r>
      <w:r w:rsidR="002E2ED5" w:rsidRPr="00DD701C">
        <w:rPr>
          <w:rFonts w:ascii="Times New Roman" w:hAnsi="Times New Roman" w:cs="Times New Roman"/>
          <w:sz w:val="24"/>
          <w:szCs w:val="24"/>
          <w:shd w:val="clear" w:color="auto" w:fill="FFFFFF"/>
        </w:rPr>
        <w:t xml:space="preserve">. </w:t>
      </w:r>
      <w:r w:rsidR="003C6070" w:rsidRPr="00DD701C">
        <w:rPr>
          <w:rFonts w:ascii="Times New Roman" w:hAnsi="Times New Roman" w:cs="Times New Roman"/>
          <w:sz w:val="24"/>
          <w:szCs w:val="24"/>
        </w:rPr>
        <w:t xml:space="preserve">Zgodnie z opracowanymi przez Komitet Praw Społecznych </w:t>
      </w:r>
      <w:r w:rsidR="00DB5501" w:rsidRPr="00DD701C">
        <w:rPr>
          <w:rFonts w:ascii="Times New Roman" w:hAnsi="Times New Roman" w:cs="Times New Roman"/>
          <w:sz w:val="24"/>
          <w:szCs w:val="24"/>
        </w:rPr>
        <w:t xml:space="preserve">kryteriami realizacji </w:t>
      </w:r>
      <w:r w:rsidR="00FC085E" w:rsidRPr="00DD701C">
        <w:rPr>
          <w:rFonts w:ascii="Times New Roman" w:hAnsi="Times New Roman" w:cs="Times New Roman"/>
          <w:sz w:val="24"/>
          <w:szCs w:val="24"/>
        </w:rPr>
        <w:t xml:space="preserve">równości </w:t>
      </w:r>
      <w:r w:rsidR="001C09C3" w:rsidRPr="00DD701C">
        <w:rPr>
          <w:rFonts w:ascii="Times New Roman" w:hAnsi="Times New Roman" w:cs="Times New Roman"/>
          <w:sz w:val="24"/>
          <w:szCs w:val="24"/>
        </w:rPr>
        <w:t>wynagrodzeń</w:t>
      </w:r>
      <w:r w:rsidR="00FC085E" w:rsidRPr="00DD701C">
        <w:rPr>
          <w:rFonts w:ascii="Times New Roman" w:hAnsi="Times New Roman" w:cs="Times New Roman"/>
          <w:sz w:val="24"/>
          <w:szCs w:val="24"/>
        </w:rPr>
        <w:t xml:space="preserve"> i</w:t>
      </w:r>
      <w:r w:rsidR="00F50E6F" w:rsidRPr="00DD701C">
        <w:rPr>
          <w:rFonts w:ascii="Times New Roman" w:hAnsi="Times New Roman" w:cs="Times New Roman"/>
          <w:sz w:val="24"/>
          <w:szCs w:val="24"/>
        </w:rPr>
        <w:t xml:space="preserve"> równości szans kobiet w zatrudnieniu</w:t>
      </w:r>
      <w:r w:rsidR="00FC085E" w:rsidRPr="00DD701C">
        <w:rPr>
          <w:rFonts w:ascii="Times New Roman" w:hAnsi="Times New Roman" w:cs="Times New Roman"/>
          <w:sz w:val="24"/>
          <w:szCs w:val="24"/>
        </w:rPr>
        <w:t xml:space="preserve"> </w:t>
      </w:r>
      <w:r w:rsidR="00CC6488" w:rsidRPr="00DD701C">
        <w:rPr>
          <w:rFonts w:ascii="Times New Roman" w:hAnsi="Times New Roman" w:cs="Times New Roman"/>
          <w:sz w:val="24"/>
          <w:szCs w:val="24"/>
        </w:rPr>
        <w:t>Państwa-Strony są zobowiązane do uchwalenia przepisów wyraźnie wprowadzających zasadę równości</w:t>
      </w:r>
      <w:r w:rsidR="005C2416" w:rsidRPr="00DD701C">
        <w:rPr>
          <w:rFonts w:ascii="Times New Roman" w:hAnsi="Times New Roman" w:cs="Times New Roman"/>
          <w:sz w:val="24"/>
          <w:szCs w:val="24"/>
        </w:rPr>
        <w:t xml:space="preserve"> </w:t>
      </w:r>
      <w:r w:rsidR="00CC6488" w:rsidRPr="00DD701C">
        <w:rPr>
          <w:rFonts w:ascii="Times New Roman" w:hAnsi="Times New Roman" w:cs="Times New Roman"/>
          <w:sz w:val="24"/>
          <w:szCs w:val="24"/>
        </w:rPr>
        <w:t xml:space="preserve">wynagrodzeń. Nie wystarczy jedynie zapisanie tej zasady w </w:t>
      </w:r>
      <w:r w:rsidR="00FA4432" w:rsidRPr="00DD701C">
        <w:rPr>
          <w:rFonts w:ascii="Times New Roman" w:hAnsi="Times New Roman" w:cs="Times New Roman"/>
          <w:sz w:val="24"/>
          <w:szCs w:val="24"/>
        </w:rPr>
        <w:t>podstawowych aktach organicznych</w:t>
      </w:r>
      <w:r w:rsidR="00CC6488" w:rsidRPr="00DD701C">
        <w:rPr>
          <w:rFonts w:ascii="Times New Roman" w:hAnsi="Times New Roman" w:cs="Times New Roman"/>
          <w:sz w:val="24"/>
          <w:szCs w:val="24"/>
        </w:rPr>
        <w:t xml:space="preserve">. </w:t>
      </w:r>
      <w:r w:rsidR="00D021E4" w:rsidRPr="00DD701C">
        <w:rPr>
          <w:rFonts w:ascii="Times New Roman" w:hAnsi="Times New Roman" w:cs="Times New Roman"/>
          <w:sz w:val="24"/>
          <w:szCs w:val="24"/>
          <w:shd w:val="clear" w:color="auto" w:fill="FFFFFF"/>
        </w:rPr>
        <w:t>Z</w:t>
      </w:r>
      <w:r w:rsidR="00D021E4" w:rsidRPr="00DD701C">
        <w:rPr>
          <w:rFonts w:ascii="Times New Roman" w:hAnsi="Times New Roman" w:cs="Times New Roman"/>
          <w:sz w:val="24"/>
          <w:szCs w:val="24"/>
        </w:rPr>
        <w:t>asadnicze znaczenie dla skutecznego stosowania zasady równości wynagrodzeń ma przejrzystość wynagrodzeń.</w:t>
      </w:r>
      <w:r w:rsidR="001225A0" w:rsidRPr="00DD701C">
        <w:rPr>
          <w:rFonts w:ascii="Times New Roman" w:hAnsi="Times New Roman" w:cs="Times New Roman"/>
          <w:sz w:val="24"/>
          <w:szCs w:val="24"/>
          <w:shd w:val="clear" w:color="auto" w:fill="FFFFFF"/>
        </w:rPr>
        <w:t xml:space="preserve"> </w:t>
      </w:r>
      <w:r w:rsidR="00981537" w:rsidRPr="00DD701C">
        <w:rPr>
          <w:rFonts w:ascii="Times New Roman" w:hAnsi="Times New Roman" w:cs="Times New Roman"/>
          <w:sz w:val="24"/>
          <w:szCs w:val="24"/>
        </w:rPr>
        <w:t xml:space="preserve">Jak wskazuje Komitet Praw Społecznych </w:t>
      </w:r>
      <w:r w:rsidR="00554470" w:rsidRPr="00DD701C">
        <w:rPr>
          <w:rFonts w:ascii="Times New Roman" w:hAnsi="Times New Roman" w:cs="Times New Roman"/>
          <w:sz w:val="24"/>
          <w:szCs w:val="24"/>
        </w:rPr>
        <w:t>p</w:t>
      </w:r>
      <w:r w:rsidR="002325DC" w:rsidRPr="00DD701C">
        <w:rPr>
          <w:rFonts w:ascii="Times New Roman" w:hAnsi="Times New Roman" w:cs="Times New Roman"/>
          <w:sz w:val="24"/>
          <w:szCs w:val="24"/>
        </w:rPr>
        <w:t>rzejrzystość przyczynia się do identyfikacji uprzedzeń i</w:t>
      </w:r>
      <w:r w:rsidR="007E2369" w:rsidRPr="00DD701C">
        <w:rPr>
          <w:rFonts w:ascii="Times New Roman" w:hAnsi="Times New Roman" w:cs="Times New Roman"/>
          <w:sz w:val="24"/>
          <w:szCs w:val="24"/>
        </w:rPr>
        <w:t xml:space="preserve"> </w:t>
      </w:r>
      <w:r w:rsidR="002325DC" w:rsidRPr="00DD701C">
        <w:rPr>
          <w:rFonts w:ascii="Times New Roman" w:hAnsi="Times New Roman" w:cs="Times New Roman"/>
          <w:sz w:val="24"/>
          <w:szCs w:val="24"/>
        </w:rPr>
        <w:t>dyskryminacji ze względu na płeć oraz ułatwia podejmowanie działań naprawczych przez pracowników i</w:t>
      </w:r>
      <w:r w:rsidR="007E2369" w:rsidRPr="00DD701C">
        <w:rPr>
          <w:rFonts w:ascii="Times New Roman" w:hAnsi="Times New Roman" w:cs="Times New Roman"/>
          <w:sz w:val="24"/>
          <w:szCs w:val="24"/>
        </w:rPr>
        <w:t xml:space="preserve"> </w:t>
      </w:r>
      <w:r w:rsidR="002325DC" w:rsidRPr="00DD701C">
        <w:rPr>
          <w:rFonts w:ascii="Times New Roman" w:hAnsi="Times New Roman" w:cs="Times New Roman"/>
          <w:sz w:val="24"/>
          <w:szCs w:val="24"/>
        </w:rPr>
        <w:t>pracodawców oraz ich organizacje, a także przez odpowiednie organy</w:t>
      </w:r>
      <w:r w:rsidR="0006760B" w:rsidRPr="00DD701C">
        <w:rPr>
          <w:rStyle w:val="Odwoanieprzypisudolnego"/>
          <w:rFonts w:ascii="Times New Roman" w:hAnsi="Times New Roman" w:cs="Times New Roman"/>
          <w:sz w:val="24"/>
          <w:szCs w:val="24"/>
        </w:rPr>
        <w:footnoteReference w:id="12"/>
      </w:r>
      <w:r w:rsidR="002325DC" w:rsidRPr="00DD701C">
        <w:rPr>
          <w:rFonts w:ascii="Times New Roman" w:hAnsi="Times New Roman" w:cs="Times New Roman"/>
          <w:sz w:val="24"/>
          <w:szCs w:val="24"/>
        </w:rPr>
        <w:t>.</w:t>
      </w:r>
      <w:r w:rsidR="00E712E3" w:rsidRPr="00DD701C">
        <w:rPr>
          <w:rFonts w:ascii="Times New Roman" w:hAnsi="Times New Roman" w:cs="Times New Roman"/>
          <w:sz w:val="24"/>
          <w:szCs w:val="24"/>
        </w:rPr>
        <w:t xml:space="preserve"> </w:t>
      </w:r>
      <w:r w:rsidR="0006760B" w:rsidRPr="00DD701C">
        <w:rPr>
          <w:rFonts w:ascii="Times New Roman" w:hAnsi="Times New Roman" w:cs="Times New Roman"/>
          <w:sz w:val="24"/>
          <w:szCs w:val="24"/>
        </w:rPr>
        <w:t>Środki mające na celu zwiększenie przejrzystości wynagrodzeń mają na celu wyrównanie dostępu do informacji między pracodawcą a pracownikiem, tak aby ten ostatni mógł rozpoznać i zwalczać dyskryminację płacową, która w przeciwnym razie pozostałaby niezauważona lub niekwestionowana</w:t>
      </w:r>
      <w:r w:rsidR="0006760B" w:rsidRPr="00DD701C">
        <w:rPr>
          <w:rFonts w:ascii="Times New Roman" w:hAnsi="Times New Roman" w:cs="Times New Roman"/>
          <w:sz w:val="24"/>
          <w:szCs w:val="24"/>
          <w:vertAlign w:val="superscript"/>
        </w:rPr>
        <w:footnoteReference w:id="13"/>
      </w:r>
      <w:r w:rsidR="0006760B" w:rsidRPr="00DD701C">
        <w:rPr>
          <w:rFonts w:ascii="Times New Roman" w:hAnsi="Times New Roman" w:cs="Times New Roman"/>
          <w:sz w:val="24"/>
          <w:szCs w:val="24"/>
        </w:rPr>
        <w:t xml:space="preserve">. </w:t>
      </w:r>
      <w:r w:rsidR="00622980">
        <w:rPr>
          <w:rFonts w:ascii="Times New Roman" w:hAnsi="Times New Roman" w:cs="Times New Roman"/>
          <w:sz w:val="24"/>
          <w:szCs w:val="24"/>
        </w:rPr>
        <w:t xml:space="preserve">Dlatego też zdaniem </w:t>
      </w:r>
      <w:r w:rsidR="00AE4F83" w:rsidRPr="00DD701C">
        <w:rPr>
          <w:rFonts w:ascii="Times New Roman" w:hAnsi="Times New Roman" w:cs="Times New Roman"/>
          <w:sz w:val="24"/>
          <w:szCs w:val="24"/>
        </w:rPr>
        <w:t>Komitet</w:t>
      </w:r>
      <w:r w:rsidR="00622980">
        <w:rPr>
          <w:rFonts w:ascii="Times New Roman" w:hAnsi="Times New Roman" w:cs="Times New Roman"/>
          <w:sz w:val="24"/>
          <w:szCs w:val="24"/>
        </w:rPr>
        <w:t>u</w:t>
      </w:r>
      <w:r w:rsidR="00AE4F83" w:rsidRPr="00DD701C">
        <w:rPr>
          <w:rFonts w:ascii="Times New Roman" w:hAnsi="Times New Roman" w:cs="Times New Roman"/>
          <w:sz w:val="24"/>
          <w:szCs w:val="24"/>
        </w:rPr>
        <w:t xml:space="preserve"> Praw Społecznych</w:t>
      </w:r>
      <w:r w:rsidR="00545C61" w:rsidRPr="00DD701C">
        <w:rPr>
          <w:rFonts w:ascii="Times New Roman" w:hAnsi="Times New Roman" w:cs="Times New Roman"/>
          <w:sz w:val="24"/>
          <w:szCs w:val="24"/>
        </w:rPr>
        <w:t xml:space="preserve"> </w:t>
      </w:r>
      <w:r w:rsidR="00E712E3" w:rsidRPr="00DD701C">
        <w:rPr>
          <w:rFonts w:ascii="Times New Roman" w:hAnsi="Times New Roman" w:cs="Times New Roman"/>
          <w:sz w:val="24"/>
          <w:szCs w:val="24"/>
        </w:rPr>
        <w:t>p</w:t>
      </w:r>
      <w:r w:rsidR="002325DC" w:rsidRPr="00DD701C">
        <w:rPr>
          <w:rFonts w:ascii="Times New Roman" w:hAnsi="Times New Roman" w:cs="Times New Roman"/>
          <w:sz w:val="24"/>
          <w:szCs w:val="24"/>
        </w:rPr>
        <w:t xml:space="preserve">aństwa powinny </w:t>
      </w:r>
      <w:r w:rsidR="002325DC" w:rsidRPr="00DD701C">
        <w:rPr>
          <w:rFonts w:ascii="Times New Roman" w:hAnsi="Times New Roman" w:cs="Times New Roman"/>
          <w:sz w:val="24"/>
          <w:szCs w:val="24"/>
        </w:rPr>
        <w:lastRenderedPageBreak/>
        <w:t>podjąć środki w celu zapewnienia</w:t>
      </w:r>
      <w:r w:rsidR="005C4693" w:rsidRPr="00DD701C">
        <w:rPr>
          <w:rFonts w:ascii="Times New Roman" w:hAnsi="Times New Roman" w:cs="Times New Roman"/>
          <w:sz w:val="24"/>
          <w:szCs w:val="24"/>
        </w:rPr>
        <w:t xml:space="preserve"> </w:t>
      </w:r>
      <w:r w:rsidR="002325DC" w:rsidRPr="00DD701C">
        <w:rPr>
          <w:rFonts w:ascii="Times New Roman" w:hAnsi="Times New Roman" w:cs="Times New Roman"/>
          <w:sz w:val="24"/>
          <w:szCs w:val="24"/>
        </w:rPr>
        <w:t>odpowiedniej przejrzystości wynagrodzeń w praktyce, w tym środki takie jak te podkreślone w zaleceniu</w:t>
      </w:r>
      <w:r w:rsidR="003E52E1" w:rsidRPr="00DD701C">
        <w:rPr>
          <w:rFonts w:ascii="Times New Roman" w:hAnsi="Times New Roman" w:cs="Times New Roman"/>
          <w:sz w:val="24"/>
          <w:szCs w:val="24"/>
        </w:rPr>
        <w:t xml:space="preserve"> </w:t>
      </w:r>
      <w:r w:rsidR="002325DC" w:rsidRPr="00DD701C">
        <w:rPr>
          <w:rFonts w:ascii="Times New Roman" w:hAnsi="Times New Roman" w:cs="Times New Roman"/>
          <w:sz w:val="24"/>
          <w:szCs w:val="24"/>
        </w:rPr>
        <w:t>Komisji Europejskiej z 7</w:t>
      </w:r>
      <w:r w:rsidR="000F60B4" w:rsidRPr="00DD701C">
        <w:rPr>
          <w:rFonts w:ascii="Times New Roman" w:hAnsi="Times New Roman" w:cs="Times New Roman"/>
          <w:sz w:val="24"/>
          <w:szCs w:val="24"/>
        </w:rPr>
        <w:t>.03.</w:t>
      </w:r>
      <w:r w:rsidR="002325DC" w:rsidRPr="00DD701C">
        <w:rPr>
          <w:rFonts w:ascii="Times New Roman" w:hAnsi="Times New Roman" w:cs="Times New Roman"/>
          <w:sz w:val="24"/>
          <w:szCs w:val="24"/>
        </w:rPr>
        <w:t>2014 r. w sprawie wzmocnienia zasady równości wynagrodzeń dla</w:t>
      </w:r>
      <w:r w:rsidR="003E52E1" w:rsidRPr="00DD701C">
        <w:rPr>
          <w:rFonts w:ascii="Times New Roman" w:hAnsi="Times New Roman" w:cs="Times New Roman"/>
          <w:sz w:val="24"/>
          <w:szCs w:val="24"/>
        </w:rPr>
        <w:t xml:space="preserve"> </w:t>
      </w:r>
      <w:r w:rsidR="002325DC" w:rsidRPr="00DD701C">
        <w:rPr>
          <w:rFonts w:ascii="Times New Roman" w:hAnsi="Times New Roman" w:cs="Times New Roman"/>
          <w:sz w:val="24"/>
          <w:szCs w:val="24"/>
        </w:rPr>
        <w:t>mężczyzn i kobiet poprzez przejrzystość</w:t>
      </w:r>
      <w:r w:rsidR="00B47CCD" w:rsidRPr="00DD701C">
        <w:rPr>
          <w:rFonts w:ascii="Times New Roman" w:hAnsi="Times New Roman" w:cs="Times New Roman"/>
          <w:sz w:val="24"/>
          <w:szCs w:val="24"/>
        </w:rPr>
        <w:t>.</w:t>
      </w:r>
      <w:r w:rsidR="000F60B4" w:rsidRPr="00DD701C">
        <w:rPr>
          <w:rFonts w:ascii="Times New Roman" w:hAnsi="Times New Roman" w:cs="Times New Roman"/>
          <w:sz w:val="24"/>
          <w:szCs w:val="24"/>
        </w:rPr>
        <w:t xml:space="preserve"> </w:t>
      </w:r>
      <w:r w:rsidR="001D44F9" w:rsidRPr="00DD701C">
        <w:rPr>
          <w:rFonts w:ascii="Times New Roman" w:hAnsi="Times New Roman" w:cs="Times New Roman"/>
          <w:sz w:val="24"/>
          <w:szCs w:val="24"/>
        </w:rPr>
        <w:t>Zalec</w:t>
      </w:r>
      <w:r w:rsidR="006E2A06" w:rsidRPr="00DD701C">
        <w:rPr>
          <w:rFonts w:ascii="Times New Roman" w:hAnsi="Times New Roman" w:cs="Times New Roman"/>
          <w:sz w:val="24"/>
          <w:szCs w:val="24"/>
        </w:rPr>
        <w:t xml:space="preserve">enie Komisji Europejskiej, na które powołuje się Komitet Praw Społecznych przewiduje szereg środków na rzez poprawy przejrzystości wynagrodzeń, w tym </w:t>
      </w:r>
      <w:r w:rsidR="005958BA" w:rsidRPr="00DD701C">
        <w:rPr>
          <w:rFonts w:ascii="Times New Roman" w:hAnsi="Times New Roman" w:cs="Times New Roman"/>
          <w:sz w:val="24"/>
          <w:szCs w:val="24"/>
        </w:rPr>
        <w:t>up</w:t>
      </w:r>
      <w:r w:rsidR="009D15C8" w:rsidRPr="00DD701C">
        <w:rPr>
          <w:rFonts w:ascii="Times New Roman" w:hAnsi="Times New Roman" w:cs="Times New Roman"/>
          <w:sz w:val="24"/>
          <w:szCs w:val="24"/>
        </w:rPr>
        <w:t>rawnienie</w:t>
      </w:r>
      <w:r w:rsidR="005958BA" w:rsidRPr="00DD701C">
        <w:rPr>
          <w:rFonts w:ascii="Times New Roman" w:hAnsi="Times New Roman" w:cs="Times New Roman"/>
          <w:sz w:val="24"/>
          <w:szCs w:val="24"/>
        </w:rPr>
        <w:t xml:space="preserve"> do zwracania się z wnioskiem o udzielenie informacji na temat wynagrodzenia, udzielanie informacji przez przedsiębiorstwo, kontrola wynagrodzeń, rokowania zbiorowe dotyczące równości wynagrodze</w:t>
      </w:r>
      <w:r w:rsidR="005A1213" w:rsidRPr="00DD701C">
        <w:rPr>
          <w:rFonts w:ascii="Times New Roman" w:hAnsi="Times New Roman" w:cs="Times New Roman"/>
          <w:sz w:val="24"/>
          <w:szCs w:val="24"/>
        </w:rPr>
        <w:t>ń. Ich omówienie wykracza jednak poza zakres niniejszego oprac</w:t>
      </w:r>
      <w:r w:rsidR="00D86169" w:rsidRPr="00DD701C">
        <w:rPr>
          <w:rFonts w:ascii="Times New Roman" w:hAnsi="Times New Roman" w:cs="Times New Roman"/>
          <w:sz w:val="24"/>
          <w:szCs w:val="24"/>
        </w:rPr>
        <w:t>owania</w:t>
      </w:r>
      <w:r w:rsidR="001B35F0" w:rsidRPr="00DD701C">
        <w:rPr>
          <w:rFonts w:ascii="Times New Roman" w:hAnsi="Times New Roman" w:cs="Times New Roman"/>
          <w:sz w:val="24"/>
          <w:szCs w:val="24"/>
        </w:rPr>
        <w:t xml:space="preserve">. </w:t>
      </w:r>
      <w:r w:rsidR="00100F5A" w:rsidRPr="00DD701C">
        <w:rPr>
          <w:rFonts w:ascii="Times New Roman" w:hAnsi="Times New Roman" w:cs="Times New Roman"/>
          <w:sz w:val="24"/>
          <w:szCs w:val="24"/>
        </w:rPr>
        <w:t>Podkreślenia wymaga jedynie,</w:t>
      </w:r>
      <w:r w:rsidR="00B81D75" w:rsidRPr="00DD701C">
        <w:rPr>
          <w:rFonts w:ascii="Times New Roman" w:hAnsi="Times New Roman" w:cs="Times New Roman"/>
          <w:sz w:val="24"/>
          <w:szCs w:val="24"/>
        </w:rPr>
        <w:t xml:space="preserve"> że </w:t>
      </w:r>
      <w:r w:rsidR="00BD6B75" w:rsidRPr="00DD701C">
        <w:rPr>
          <w:rFonts w:ascii="Times New Roman" w:hAnsi="Times New Roman" w:cs="Times New Roman"/>
          <w:sz w:val="24"/>
          <w:szCs w:val="24"/>
        </w:rPr>
        <w:t>powołani</w:t>
      </w:r>
      <w:r w:rsidR="00EE19C6" w:rsidRPr="00DD701C">
        <w:rPr>
          <w:rFonts w:ascii="Times New Roman" w:hAnsi="Times New Roman" w:cs="Times New Roman"/>
          <w:sz w:val="24"/>
          <w:szCs w:val="24"/>
        </w:rPr>
        <w:t xml:space="preserve">e </w:t>
      </w:r>
      <w:r w:rsidR="00BD6B75" w:rsidRPr="00DD701C">
        <w:rPr>
          <w:rFonts w:ascii="Times New Roman" w:hAnsi="Times New Roman" w:cs="Times New Roman"/>
          <w:sz w:val="24"/>
          <w:szCs w:val="24"/>
        </w:rPr>
        <w:t xml:space="preserve">się przez </w:t>
      </w:r>
      <w:r w:rsidR="00B81D75" w:rsidRPr="00DD701C">
        <w:rPr>
          <w:rFonts w:ascii="Times New Roman" w:hAnsi="Times New Roman" w:cs="Times New Roman"/>
          <w:sz w:val="24"/>
          <w:szCs w:val="24"/>
        </w:rPr>
        <w:t xml:space="preserve">Komitet Praw Społecznych </w:t>
      </w:r>
      <w:r w:rsidR="00BD6B75" w:rsidRPr="00DD701C">
        <w:rPr>
          <w:rFonts w:ascii="Times New Roman" w:hAnsi="Times New Roman" w:cs="Times New Roman"/>
          <w:sz w:val="24"/>
          <w:szCs w:val="24"/>
        </w:rPr>
        <w:t xml:space="preserve">na </w:t>
      </w:r>
      <w:r w:rsidR="00EE19C6" w:rsidRPr="00DD701C">
        <w:rPr>
          <w:rFonts w:ascii="Times New Roman" w:hAnsi="Times New Roman" w:cs="Times New Roman"/>
          <w:sz w:val="24"/>
          <w:szCs w:val="24"/>
        </w:rPr>
        <w:t>akt prawn</w:t>
      </w:r>
      <w:r w:rsidR="00B5624C" w:rsidRPr="00DD701C">
        <w:rPr>
          <w:rFonts w:ascii="Times New Roman" w:hAnsi="Times New Roman" w:cs="Times New Roman"/>
          <w:sz w:val="24"/>
          <w:szCs w:val="24"/>
        </w:rPr>
        <w:t>y</w:t>
      </w:r>
      <w:r w:rsidR="00EE19C6" w:rsidRPr="00DD701C">
        <w:rPr>
          <w:rFonts w:ascii="Times New Roman" w:hAnsi="Times New Roman" w:cs="Times New Roman"/>
          <w:sz w:val="24"/>
          <w:szCs w:val="24"/>
        </w:rPr>
        <w:t xml:space="preserve"> UE wskazuje na zbieżność sta</w:t>
      </w:r>
      <w:r w:rsidR="0062466C" w:rsidRPr="00DD701C">
        <w:rPr>
          <w:rFonts w:ascii="Times New Roman" w:hAnsi="Times New Roman" w:cs="Times New Roman"/>
          <w:sz w:val="24"/>
          <w:szCs w:val="24"/>
        </w:rPr>
        <w:t xml:space="preserve">nowiska Komitetu </w:t>
      </w:r>
      <w:r w:rsidR="006C6064" w:rsidRPr="00DD701C">
        <w:rPr>
          <w:rFonts w:ascii="Times New Roman" w:hAnsi="Times New Roman" w:cs="Times New Roman"/>
          <w:sz w:val="24"/>
          <w:szCs w:val="24"/>
        </w:rPr>
        <w:t xml:space="preserve">z </w:t>
      </w:r>
      <w:r w:rsidR="008839BF" w:rsidRPr="00DD701C">
        <w:rPr>
          <w:rFonts w:ascii="Times New Roman" w:hAnsi="Times New Roman" w:cs="Times New Roman"/>
          <w:sz w:val="24"/>
          <w:szCs w:val="24"/>
        </w:rPr>
        <w:t>podejściem przyjętym na poziomie UE</w:t>
      </w:r>
      <w:r w:rsidR="00400BDB" w:rsidRPr="00DD701C">
        <w:rPr>
          <w:rFonts w:ascii="Times New Roman" w:hAnsi="Times New Roman" w:cs="Times New Roman"/>
          <w:sz w:val="24"/>
          <w:szCs w:val="24"/>
        </w:rPr>
        <w:t>,</w:t>
      </w:r>
      <w:r w:rsidR="00615D7D" w:rsidRPr="00DD701C">
        <w:rPr>
          <w:rFonts w:ascii="Times New Roman" w:hAnsi="Times New Roman" w:cs="Times New Roman"/>
          <w:sz w:val="24"/>
          <w:szCs w:val="24"/>
        </w:rPr>
        <w:t xml:space="preserve"> która </w:t>
      </w:r>
      <w:r w:rsidR="00400BDB" w:rsidRPr="00DD701C">
        <w:rPr>
          <w:rFonts w:ascii="Times New Roman" w:hAnsi="Times New Roman" w:cs="Times New Roman"/>
          <w:sz w:val="24"/>
          <w:szCs w:val="24"/>
        </w:rPr>
        <w:t>10</w:t>
      </w:r>
      <w:r w:rsidR="000F60B4" w:rsidRPr="00DD701C">
        <w:rPr>
          <w:rFonts w:ascii="Times New Roman" w:hAnsi="Times New Roman" w:cs="Times New Roman"/>
          <w:sz w:val="24"/>
          <w:szCs w:val="24"/>
        </w:rPr>
        <w:t>.05.</w:t>
      </w:r>
      <w:r w:rsidR="00400BDB" w:rsidRPr="00DD701C">
        <w:rPr>
          <w:rFonts w:ascii="Times New Roman" w:hAnsi="Times New Roman" w:cs="Times New Roman"/>
          <w:sz w:val="24"/>
          <w:szCs w:val="24"/>
        </w:rPr>
        <w:t>2023 r.</w:t>
      </w:r>
      <w:r w:rsidR="005B03E8" w:rsidRPr="00DD701C">
        <w:rPr>
          <w:rFonts w:ascii="Times New Roman" w:hAnsi="Times New Roman" w:cs="Times New Roman"/>
          <w:sz w:val="24"/>
          <w:szCs w:val="24"/>
        </w:rPr>
        <w:t xml:space="preserve"> przyjęła</w:t>
      </w:r>
      <w:r w:rsidR="00400BDB" w:rsidRPr="00DD701C">
        <w:rPr>
          <w:rFonts w:ascii="Times New Roman" w:hAnsi="Times New Roman" w:cs="Times New Roman"/>
          <w:sz w:val="24"/>
          <w:szCs w:val="24"/>
        </w:rPr>
        <w:t xml:space="preserve"> </w:t>
      </w:r>
      <w:r w:rsidR="002169C7" w:rsidRPr="00DD701C">
        <w:rPr>
          <w:rFonts w:ascii="Times New Roman" w:hAnsi="Times New Roman" w:cs="Times New Roman"/>
          <w:sz w:val="24"/>
          <w:szCs w:val="24"/>
        </w:rPr>
        <w:t>dyrektywę</w:t>
      </w:r>
      <w:r w:rsidR="00D97F27" w:rsidRPr="00DD701C">
        <w:rPr>
          <w:rFonts w:ascii="Times New Roman" w:hAnsi="Times New Roman" w:cs="Times New Roman"/>
          <w:sz w:val="24"/>
          <w:szCs w:val="24"/>
        </w:rPr>
        <w:t xml:space="preserve"> 2023/970</w:t>
      </w:r>
      <w:r w:rsidR="00400BDB" w:rsidRPr="00DD701C">
        <w:rPr>
          <w:rFonts w:ascii="Times New Roman" w:hAnsi="Times New Roman" w:cs="Times New Roman"/>
          <w:sz w:val="24"/>
          <w:szCs w:val="24"/>
        </w:rPr>
        <w:t xml:space="preserve"> </w:t>
      </w:r>
      <w:r w:rsidR="00D97F27" w:rsidRPr="00DD701C">
        <w:rPr>
          <w:rFonts w:ascii="Times New Roman" w:hAnsi="Times New Roman" w:cs="Times New Roman"/>
          <w:sz w:val="24"/>
          <w:szCs w:val="24"/>
        </w:rPr>
        <w:t>w sprawie wzmocnienia stosowania zasady równości wynagrodzeń dla mężczyzn i kobiet za taką samą pracę lub pracę o takiej samej wartości za pośrednictwem mechanizmów przejrzystości wynagrodzeń oraz mechanizmów egzekwowani</w:t>
      </w:r>
      <w:r w:rsidR="00400BDB" w:rsidRPr="00DD701C">
        <w:rPr>
          <w:rFonts w:ascii="Times New Roman" w:hAnsi="Times New Roman" w:cs="Times New Roman"/>
          <w:sz w:val="24"/>
          <w:szCs w:val="24"/>
        </w:rPr>
        <w:t>a</w:t>
      </w:r>
      <w:r w:rsidR="000F60B4" w:rsidRPr="00DD701C">
        <w:rPr>
          <w:rStyle w:val="Odwoanieprzypisudolnego"/>
          <w:rFonts w:ascii="Times New Roman" w:hAnsi="Times New Roman" w:cs="Times New Roman"/>
          <w:sz w:val="24"/>
          <w:szCs w:val="24"/>
        </w:rPr>
        <w:footnoteReference w:id="14"/>
      </w:r>
      <w:r w:rsidR="00400BDB" w:rsidRPr="00DD701C">
        <w:rPr>
          <w:rFonts w:ascii="Times New Roman" w:hAnsi="Times New Roman" w:cs="Times New Roman"/>
          <w:sz w:val="24"/>
          <w:szCs w:val="24"/>
        </w:rPr>
        <w:t>.</w:t>
      </w:r>
      <w:r w:rsidR="00713660" w:rsidRPr="00DD701C">
        <w:rPr>
          <w:rFonts w:ascii="Times New Roman" w:hAnsi="Times New Roman" w:cs="Times New Roman"/>
          <w:sz w:val="24"/>
          <w:szCs w:val="24"/>
        </w:rPr>
        <w:t xml:space="preserve"> </w:t>
      </w:r>
      <w:r w:rsidR="001B7E4A" w:rsidRPr="00DD701C">
        <w:rPr>
          <w:rFonts w:ascii="Times New Roman" w:hAnsi="Times New Roman" w:cs="Times New Roman"/>
          <w:sz w:val="24"/>
          <w:szCs w:val="24"/>
        </w:rPr>
        <w:t>Artykuł</w:t>
      </w:r>
      <w:r w:rsidR="00713660" w:rsidRPr="00DD701C">
        <w:rPr>
          <w:rFonts w:ascii="Times New Roman" w:hAnsi="Times New Roman" w:cs="Times New Roman"/>
          <w:sz w:val="24"/>
          <w:szCs w:val="24"/>
        </w:rPr>
        <w:t xml:space="preserve"> 7 ust. 5 </w:t>
      </w:r>
      <w:r w:rsidR="00873A4C" w:rsidRPr="00DD701C">
        <w:rPr>
          <w:rFonts w:ascii="Times New Roman" w:hAnsi="Times New Roman" w:cs="Times New Roman"/>
          <w:sz w:val="24"/>
          <w:szCs w:val="24"/>
        </w:rPr>
        <w:t xml:space="preserve">tej </w:t>
      </w:r>
      <w:r w:rsidR="00713660" w:rsidRPr="00DD701C">
        <w:rPr>
          <w:rFonts w:ascii="Times New Roman" w:hAnsi="Times New Roman" w:cs="Times New Roman"/>
          <w:sz w:val="24"/>
          <w:szCs w:val="24"/>
        </w:rPr>
        <w:t>dyrektywy stanowi, że państwa członkowskie wprowadzają środki dotyczące zakazu wprowadzania warunków umowy, które uniemożliwiają pracownikom ujawnianie informacji o ich wynagrodzeniu</w:t>
      </w:r>
      <w:r w:rsidR="00B57F42" w:rsidRPr="00DD701C">
        <w:rPr>
          <w:rFonts w:ascii="Times New Roman" w:hAnsi="Times New Roman" w:cs="Times New Roman"/>
          <w:sz w:val="24"/>
          <w:szCs w:val="24"/>
        </w:rPr>
        <w:t>.</w:t>
      </w:r>
      <w:r w:rsidR="0089306E" w:rsidRPr="00DD701C">
        <w:rPr>
          <w:rFonts w:ascii="Times New Roman" w:hAnsi="Times New Roman" w:cs="Times New Roman"/>
          <w:sz w:val="24"/>
          <w:szCs w:val="24"/>
        </w:rPr>
        <w:t xml:space="preserve"> Wskazuje się, że p</w:t>
      </w:r>
      <w:r w:rsidR="00713660" w:rsidRPr="00DD701C">
        <w:rPr>
          <w:rFonts w:ascii="Times New Roman" w:hAnsi="Times New Roman" w:cs="Times New Roman"/>
          <w:sz w:val="24"/>
          <w:szCs w:val="24"/>
        </w:rPr>
        <w:t>oufność wynagrodzeń na podstawie umownych klauzul o nieujawnianiu informacji</w:t>
      </w:r>
      <w:r w:rsidR="00F816F7" w:rsidRPr="00DD701C">
        <w:rPr>
          <w:rFonts w:ascii="Times New Roman" w:hAnsi="Times New Roman" w:cs="Times New Roman"/>
          <w:sz w:val="24"/>
          <w:szCs w:val="24"/>
        </w:rPr>
        <w:t xml:space="preserve"> </w:t>
      </w:r>
      <w:r w:rsidR="005D1F93" w:rsidRPr="00DD701C">
        <w:rPr>
          <w:rFonts w:ascii="Times New Roman" w:hAnsi="Times New Roman" w:cs="Times New Roman"/>
          <w:sz w:val="24"/>
          <w:szCs w:val="24"/>
        </w:rPr>
        <w:t>stanowi istotną</w:t>
      </w:r>
      <w:r w:rsidR="00F816F7" w:rsidRPr="00DD701C">
        <w:rPr>
          <w:rFonts w:ascii="Times New Roman" w:hAnsi="Times New Roman" w:cs="Times New Roman"/>
          <w:sz w:val="24"/>
          <w:szCs w:val="24"/>
        </w:rPr>
        <w:t xml:space="preserve"> barier</w:t>
      </w:r>
      <w:r w:rsidR="005D1F93" w:rsidRPr="00DD701C">
        <w:rPr>
          <w:rFonts w:ascii="Times New Roman" w:hAnsi="Times New Roman" w:cs="Times New Roman"/>
          <w:sz w:val="24"/>
          <w:szCs w:val="24"/>
        </w:rPr>
        <w:t>ę w</w:t>
      </w:r>
      <w:r w:rsidR="00F816F7" w:rsidRPr="00DD701C">
        <w:rPr>
          <w:rFonts w:ascii="Times New Roman" w:hAnsi="Times New Roman" w:cs="Times New Roman"/>
          <w:sz w:val="24"/>
          <w:szCs w:val="24"/>
        </w:rPr>
        <w:t xml:space="preserve"> </w:t>
      </w:r>
      <w:r w:rsidR="005D1F93" w:rsidRPr="00DD701C">
        <w:rPr>
          <w:rFonts w:ascii="Times New Roman" w:hAnsi="Times New Roman" w:cs="Times New Roman"/>
          <w:sz w:val="24"/>
          <w:szCs w:val="24"/>
        </w:rPr>
        <w:t>zapewnieniu przejrzystości wynagrodzeń</w:t>
      </w:r>
      <w:r w:rsidR="0048137A" w:rsidRPr="00DD701C">
        <w:rPr>
          <w:rFonts w:ascii="Times New Roman" w:hAnsi="Times New Roman" w:cs="Times New Roman"/>
          <w:sz w:val="24"/>
          <w:szCs w:val="24"/>
        </w:rPr>
        <w:t xml:space="preserve">, a w rezultacie </w:t>
      </w:r>
      <w:r w:rsidR="00873A4C" w:rsidRPr="00DD701C">
        <w:rPr>
          <w:rFonts w:ascii="Times New Roman" w:hAnsi="Times New Roman" w:cs="Times New Roman"/>
          <w:sz w:val="24"/>
          <w:szCs w:val="24"/>
        </w:rPr>
        <w:t>skutecznym stosowaniu zasady równego wynagrodzenia</w:t>
      </w:r>
      <w:r w:rsidR="0048137A" w:rsidRPr="00DD701C">
        <w:rPr>
          <w:rFonts w:ascii="Times New Roman" w:hAnsi="Times New Roman" w:cs="Times New Roman"/>
          <w:sz w:val="24"/>
          <w:szCs w:val="24"/>
        </w:rPr>
        <w:t xml:space="preserve"> za pracę o równej wartości</w:t>
      </w:r>
      <w:r w:rsidR="0048137A" w:rsidRPr="00DD701C">
        <w:rPr>
          <w:rStyle w:val="Odwoanieprzypisudolnego"/>
          <w:rFonts w:ascii="Times New Roman" w:hAnsi="Times New Roman" w:cs="Times New Roman"/>
          <w:sz w:val="24"/>
          <w:szCs w:val="24"/>
        </w:rPr>
        <w:footnoteReference w:id="15"/>
      </w:r>
      <w:r w:rsidR="0048137A" w:rsidRPr="00DD701C">
        <w:rPr>
          <w:rFonts w:ascii="Times New Roman" w:hAnsi="Times New Roman" w:cs="Times New Roman"/>
          <w:sz w:val="24"/>
          <w:szCs w:val="24"/>
        </w:rPr>
        <w:t xml:space="preserve">. </w:t>
      </w:r>
    </w:p>
    <w:p w14:paraId="3A3CE7F9" w14:textId="73AD7983" w:rsidR="00B179E2" w:rsidRPr="00DD701C" w:rsidRDefault="000F60B4"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W konsekwencji należy stwierdzić, że nie jest możliwe do utrzymania przez ETPC stanowiska, zgodnie z którym z istoty stosunku pracy wynika obowiązek pracownika zachowania w poufności informacji o swoim wynagrodzeniu. Doprowadziłoby to do sprzeczności nie tylko z prawem unijnym (te relacje wymagałyby odrębnego opracowania) ale również do wewnętrznej sprzeczności w ramach systemu prawnego Rady Europy</w:t>
      </w:r>
      <w:r w:rsidR="00AC7496" w:rsidRPr="00DD701C">
        <w:rPr>
          <w:rFonts w:ascii="Times New Roman" w:hAnsi="Times New Roman" w:cs="Times New Roman"/>
          <w:kern w:val="2"/>
          <w:sz w:val="24"/>
          <w:szCs w:val="24"/>
        </w:rPr>
        <w:t xml:space="preserve">, skoro z Europejskiej Karty Społecznej wynikają wnioski odwrotne. Uzasadnienia dla dopuszczalności cywilnoprawnej ochrony tajemnic handlowych należy poszukiwać w oderwaniu od tego wspierającego rozumowania, nawiązującego do stosunku pracy. </w:t>
      </w:r>
    </w:p>
    <w:p w14:paraId="3235E48A" w14:textId="77777777" w:rsidR="00B61A41" w:rsidRPr="00DD701C" w:rsidRDefault="0098339A"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lastRenderedPageBreak/>
        <w:t xml:space="preserve">W naszej ocenie prawidłowe uzasadnienie dopuszczalności umownego związania się zakazem naruszania tajemnic handlowych (do których może być zaliczone wynagrodzenie lub świadczenia dla stron umowy cywilnoprawnej) powinno opierać się na dwóch filarach. </w:t>
      </w:r>
    </w:p>
    <w:p w14:paraId="3D01AE03" w14:textId="7E4B6261" w:rsidR="00B61A41" w:rsidRPr="00DD701C" w:rsidRDefault="0098339A"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Po pierwsze</w:t>
      </w:r>
      <w:r w:rsidR="0081532A" w:rsidRPr="00DD701C">
        <w:rPr>
          <w:rFonts w:ascii="Times New Roman" w:hAnsi="Times New Roman" w:cs="Times New Roman"/>
          <w:kern w:val="2"/>
          <w:sz w:val="24"/>
          <w:szCs w:val="24"/>
        </w:rPr>
        <w:t>,</w:t>
      </w:r>
      <w:r w:rsidRPr="00DD701C">
        <w:rPr>
          <w:rFonts w:ascii="Times New Roman" w:hAnsi="Times New Roman" w:cs="Times New Roman"/>
          <w:kern w:val="2"/>
          <w:sz w:val="24"/>
          <w:szCs w:val="24"/>
        </w:rPr>
        <w:t xml:space="preserve"> na uwzględnieniu faktu, że swoboda wypowiedzi jest emanacją wolności jako takiej. Nie można zatem zakazywać jednostce dobrowolnego ograniczenia zakresu swobody wypowiedzi w uzasadnionym realiami stosunku prawnego kontekście, gdyż taki zakaz naruszałby wolność jako taką. Wprowadzenie zakazu ujawniania informacji poufnych (tajemnica handlowa) nie narusza istoty wolności. Jednostka może przyjąć dobrowolnie takie samoograniczenie. </w:t>
      </w:r>
    </w:p>
    <w:p w14:paraId="199D1182" w14:textId="7A2B9EB8" w:rsidR="0081532A" w:rsidRPr="00DD701C" w:rsidRDefault="0098339A"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Po drugie, ochrona tajemnic handlowych w stosunkach cywilnoprawnych znajduje oparcie również w art. 1 Protokołu nr 1 do Konwencji</w:t>
      </w:r>
      <w:r w:rsidRPr="00DD701C">
        <w:rPr>
          <w:rStyle w:val="Odwoanieprzypisudolnego"/>
          <w:rFonts w:ascii="Times New Roman" w:hAnsi="Times New Roman" w:cs="Times New Roman"/>
          <w:kern w:val="2"/>
          <w:sz w:val="24"/>
          <w:szCs w:val="24"/>
        </w:rPr>
        <w:footnoteReference w:id="16"/>
      </w:r>
      <w:r w:rsidRPr="00DD701C">
        <w:rPr>
          <w:rFonts w:ascii="Times New Roman" w:hAnsi="Times New Roman" w:cs="Times New Roman"/>
          <w:kern w:val="2"/>
          <w:sz w:val="24"/>
          <w:szCs w:val="24"/>
        </w:rPr>
        <w:t xml:space="preserve">, zgodnie z którym każda osoba fizyczna i prawna ma prawo do poszanowania swego mienia. </w:t>
      </w:r>
      <w:r w:rsidR="00B61A41" w:rsidRPr="00DD701C">
        <w:rPr>
          <w:rFonts w:ascii="Times New Roman" w:hAnsi="Times New Roman" w:cs="Times New Roman"/>
          <w:kern w:val="2"/>
          <w:sz w:val="24"/>
          <w:szCs w:val="24"/>
        </w:rPr>
        <w:t>W literaturze trafnie wskazuje się, że z orzecznictwa ETPC wynika autonomiczny charakter pojęcia mienia, które nie ogranicza się do własności rzeczy</w:t>
      </w:r>
      <w:r w:rsidR="00B61A41" w:rsidRPr="00DD701C">
        <w:rPr>
          <w:rStyle w:val="Odwoanieprzypisudolnego"/>
          <w:rFonts w:ascii="Times New Roman" w:hAnsi="Times New Roman" w:cs="Times New Roman"/>
          <w:kern w:val="2"/>
          <w:sz w:val="24"/>
          <w:szCs w:val="24"/>
        </w:rPr>
        <w:footnoteReference w:id="17"/>
      </w:r>
      <w:r w:rsidR="00B61A41" w:rsidRPr="00DD701C">
        <w:rPr>
          <w:rFonts w:ascii="Times New Roman" w:hAnsi="Times New Roman" w:cs="Times New Roman"/>
          <w:kern w:val="2"/>
          <w:sz w:val="24"/>
          <w:szCs w:val="24"/>
        </w:rPr>
        <w:t>.</w:t>
      </w:r>
      <w:r w:rsidR="00BF2189" w:rsidRPr="00DD701C">
        <w:rPr>
          <w:rFonts w:ascii="Times New Roman" w:hAnsi="Times New Roman" w:cs="Times New Roman"/>
          <w:kern w:val="2"/>
          <w:sz w:val="24"/>
          <w:szCs w:val="24"/>
        </w:rPr>
        <w:t xml:space="preserve"> Trybunał wskazuje również, że pojęcie mienia nie ogranicza się do własności dóbr materialnych i jest niezależne od formalnej klasyfikacji w prawie krajowym. Niektóre inne prawa i interesy stanowiące aktywa mogą być również uważane za „prawa własności”, a zatem za „posiadania” na potrzeby tego przepisu</w:t>
      </w:r>
      <w:r w:rsidR="00BF2189" w:rsidRPr="00DD701C">
        <w:rPr>
          <w:rStyle w:val="Odwoanieprzypisudolnego"/>
          <w:rFonts w:ascii="Times New Roman" w:hAnsi="Times New Roman" w:cs="Times New Roman"/>
          <w:kern w:val="2"/>
          <w:sz w:val="24"/>
          <w:szCs w:val="24"/>
        </w:rPr>
        <w:footnoteReference w:id="18"/>
      </w:r>
      <w:r w:rsidR="00BF2189" w:rsidRPr="00DD701C">
        <w:rPr>
          <w:rFonts w:ascii="Times New Roman" w:hAnsi="Times New Roman" w:cs="Times New Roman"/>
          <w:kern w:val="2"/>
          <w:sz w:val="24"/>
          <w:szCs w:val="24"/>
        </w:rPr>
        <w:t xml:space="preserve"> (pkt 54 wyroku ETPC </w:t>
      </w:r>
      <w:r w:rsidR="0081532A" w:rsidRPr="00DD701C">
        <w:rPr>
          <w:rFonts w:ascii="Times New Roman" w:hAnsi="Times New Roman" w:cs="Times New Roman"/>
          <w:kern w:val="2"/>
          <w:sz w:val="24"/>
          <w:szCs w:val="24"/>
        </w:rPr>
        <w:t>z 25.03.1999 r. w sprawie Iatridis)</w:t>
      </w:r>
      <w:r w:rsidR="00BF2189" w:rsidRPr="00DD701C">
        <w:rPr>
          <w:rFonts w:ascii="Times New Roman" w:hAnsi="Times New Roman" w:cs="Times New Roman"/>
          <w:i/>
          <w:iCs/>
          <w:kern w:val="2"/>
          <w:sz w:val="24"/>
          <w:szCs w:val="24"/>
        </w:rPr>
        <w:t xml:space="preserve">. </w:t>
      </w:r>
      <w:r w:rsidR="00B61A41" w:rsidRPr="00DD701C">
        <w:rPr>
          <w:rFonts w:ascii="Times New Roman" w:hAnsi="Times New Roman" w:cs="Times New Roman"/>
          <w:kern w:val="2"/>
          <w:sz w:val="24"/>
          <w:szCs w:val="24"/>
        </w:rPr>
        <w:t>Istnienia mienia wymaga posiadania przez skarżącego dającego się potwierdzić prawa rzeczywiście stanowiącego – zgodnie z prawem krajowym – wystarczająco ustalony i konkretny interes majątkowy (pkt 7</w:t>
      </w:r>
      <w:r w:rsidR="00BF2189" w:rsidRPr="00DD701C">
        <w:rPr>
          <w:rFonts w:ascii="Times New Roman" w:hAnsi="Times New Roman" w:cs="Times New Roman"/>
          <w:kern w:val="2"/>
          <w:sz w:val="24"/>
          <w:szCs w:val="24"/>
        </w:rPr>
        <w:t>6</w:t>
      </w:r>
      <w:r w:rsidR="00B61A41" w:rsidRPr="00DD701C">
        <w:rPr>
          <w:rFonts w:ascii="Times New Roman" w:hAnsi="Times New Roman" w:cs="Times New Roman"/>
          <w:kern w:val="2"/>
          <w:sz w:val="24"/>
          <w:szCs w:val="24"/>
        </w:rPr>
        <w:t xml:space="preserve"> </w:t>
      </w:r>
      <w:r w:rsidR="0081532A" w:rsidRPr="00DD701C">
        <w:rPr>
          <w:rFonts w:ascii="Times New Roman" w:hAnsi="Times New Roman" w:cs="Times New Roman"/>
          <w:kern w:val="2"/>
          <w:sz w:val="24"/>
          <w:szCs w:val="24"/>
        </w:rPr>
        <w:t xml:space="preserve">i 79 </w:t>
      </w:r>
      <w:r w:rsidR="00B61A41" w:rsidRPr="00DD701C">
        <w:rPr>
          <w:rFonts w:ascii="Times New Roman" w:hAnsi="Times New Roman" w:cs="Times New Roman"/>
          <w:kern w:val="2"/>
          <w:sz w:val="24"/>
          <w:szCs w:val="24"/>
        </w:rPr>
        <w:t xml:space="preserve">wyroku ETPC </w:t>
      </w:r>
      <w:r w:rsidR="0081532A" w:rsidRPr="00DD701C">
        <w:rPr>
          <w:rFonts w:ascii="Times New Roman" w:hAnsi="Times New Roman" w:cs="Times New Roman"/>
          <w:kern w:val="2"/>
          <w:sz w:val="24"/>
          <w:szCs w:val="24"/>
        </w:rPr>
        <w:t>z 13.12.2016 r. w sprawie Béláné Nagy</w:t>
      </w:r>
      <w:r w:rsidR="0081532A" w:rsidRPr="00DD701C">
        <w:rPr>
          <w:rStyle w:val="Odwoanieprzypisudolnego"/>
          <w:rFonts w:ascii="Times New Roman" w:hAnsi="Times New Roman" w:cs="Times New Roman"/>
          <w:kern w:val="2"/>
          <w:sz w:val="24"/>
          <w:szCs w:val="24"/>
        </w:rPr>
        <w:footnoteReference w:id="19"/>
      </w:r>
      <w:r w:rsidR="0081532A" w:rsidRPr="00DD701C">
        <w:rPr>
          <w:rFonts w:ascii="Times New Roman" w:hAnsi="Times New Roman" w:cs="Times New Roman"/>
          <w:kern w:val="2"/>
          <w:sz w:val="24"/>
          <w:szCs w:val="24"/>
        </w:rPr>
        <w:t>). Strony statutu Rady Europy, w tym Polska powszechnie uznają, że tajemnica handlowa ma wartość materialną i objęta jest pojęciem interesu majątkowego.</w:t>
      </w:r>
    </w:p>
    <w:p w14:paraId="5FD7249B" w14:textId="105E8541" w:rsidR="0081532A" w:rsidRPr="00DD701C" w:rsidRDefault="0081532A"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 xml:space="preserve">Dlatego też korzystanie ze swobody wypowiedzi może zostać ograniczone w oparciu o art. 10 ust. 2 Konwencji ze względu na ochronę praw innych osób (w tym wypadku dysponenta tajemnicy handlowej), zwłaszcza jeśli znajduje uzasadnienie w dobrowolnym zobowiązaniu się strony umowy. </w:t>
      </w:r>
    </w:p>
    <w:p w14:paraId="789E0D0F" w14:textId="7113B617" w:rsidR="0081532A" w:rsidRPr="00DD701C" w:rsidRDefault="0081532A"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 xml:space="preserve">Waga tego zobowiązania jest tak duża, że nie zostaje uchylona poprzez </w:t>
      </w:r>
      <w:r w:rsidR="00EC0A79" w:rsidRPr="00DD701C">
        <w:rPr>
          <w:rFonts w:ascii="Times New Roman" w:hAnsi="Times New Roman" w:cs="Times New Roman"/>
          <w:kern w:val="2"/>
          <w:sz w:val="24"/>
          <w:szCs w:val="24"/>
        </w:rPr>
        <w:t xml:space="preserve">oddziaływanie przepisów publicznych o dostępie do informacji publicznej, jeśli dostęp ten może być </w:t>
      </w:r>
      <w:r w:rsidR="00EC0A79" w:rsidRPr="00DD701C">
        <w:rPr>
          <w:rFonts w:ascii="Times New Roman" w:hAnsi="Times New Roman" w:cs="Times New Roman"/>
          <w:kern w:val="2"/>
          <w:sz w:val="24"/>
          <w:szCs w:val="24"/>
        </w:rPr>
        <w:lastRenderedPageBreak/>
        <w:t>realizowany przez inne podmioty (brak przesłanki konieczności ujawnienia przez zobowiązanego informacji w interesie publicznym, skoro dostęp może być zrealizowany przez inną osobę). Stanowisko to uznajemy za trafne i odpowiadające podstawowym regułom prawa cywilnego.</w:t>
      </w:r>
    </w:p>
    <w:p w14:paraId="01F71B7D" w14:textId="2931D2BC" w:rsidR="004331A0" w:rsidRPr="00DD701C" w:rsidRDefault="004331A0" w:rsidP="00DD701C">
      <w:pPr>
        <w:autoSpaceDE w:val="0"/>
        <w:autoSpaceDN w:val="0"/>
        <w:adjustRightInd w:val="0"/>
        <w:spacing w:after="0" w:line="360" w:lineRule="auto"/>
        <w:ind w:firstLine="709"/>
        <w:jc w:val="both"/>
        <w:rPr>
          <w:rFonts w:ascii="Times New Roman" w:hAnsi="Times New Roman" w:cs="Times New Roman"/>
          <w:kern w:val="2"/>
          <w:sz w:val="24"/>
          <w:szCs w:val="24"/>
        </w:rPr>
      </w:pPr>
      <w:r w:rsidRPr="00DD701C">
        <w:rPr>
          <w:rFonts w:ascii="Times New Roman" w:hAnsi="Times New Roman" w:cs="Times New Roman"/>
          <w:kern w:val="2"/>
          <w:sz w:val="24"/>
          <w:szCs w:val="24"/>
        </w:rPr>
        <w:t>Wreszcie za oczywiste i w pełni prawidłowe należy uznać stanowisko ETPC, że zobowiązanie do nieujawniania tajemnicy handlowej trwa mimo wygaśnięcia stosunku prawnego, z którego ono wynika. Jest to rzecz oczywista na gruncie prawa cywilnego, że niektóre zobowiązania stron, wynikające z istoty stosunku cywilnoprawnego, mogą trwać mimo wygaśnięcia swojej podstawy ze względu na spełnienie świadczeń.</w:t>
      </w:r>
    </w:p>
    <w:p w14:paraId="14233FFB" w14:textId="77777777" w:rsidR="0081532A" w:rsidRPr="00DD701C" w:rsidRDefault="0081532A" w:rsidP="00DD701C">
      <w:pPr>
        <w:autoSpaceDE w:val="0"/>
        <w:autoSpaceDN w:val="0"/>
        <w:adjustRightInd w:val="0"/>
        <w:spacing w:after="0" w:line="360" w:lineRule="auto"/>
        <w:ind w:firstLine="709"/>
        <w:jc w:val="both"/>
        <w:rPr>
          <w:rFonts w:ascii="Times New Roman" w:hAnsi="Times New Roman" w:cs="Times New Roman"/>
          <w:kern w:val="2"/>
          <w:sz w:val="24"/>
          <w:szCs w:val="24"/>
        </w:rPr>
      </w:pPr>
    </w:p>
    <w:p w14:paraId="1513276E" w14:textId="77777777" w:rsidR="005E49AF" w:rsidRPr="00DD701C" w:rsidRDefault="005E49AF" w:rsidP="00DD701C">
      <w:pPr>
        <w:autoSpaceDE w:val="0"/>
        <w:autoSpaceDN w:val="0"/>
        <w:adjustRightInd w:val="0"/>
        <w:spacing w:after="0" w:line="360" w:lineRule="auto"/>
        <w:ind w:firstLine="709"/>
        <w:jc w:val="both"/>
        <w:rPr>
          <w:rFonts w:ascii="Times New Roman" w:hAnsi="Times New Roman" w:cs="Times New Roman"/>
          <w:sz w:val="24"/>
          <w:szCs w:val="24"/>
          <w:shd w:val="clear" w:color="auto" w:fill="FFFFFF"/>
        </w:rPr>
      </w:pPr>
    </w:p>
    <w:p w14:paraId="62F2359B" w14:textId="409A6301" w:rsidR="00323174" w:rsidRPr="00DD701C" w:rsidRDefault="0063475B" w:rsidP="00DD701C">
      <w:pPr>
        <w:pStyle w:val="Bezodstpw"/>
        <w:spacing w:line="360" w:lineRule="auto"/>
        <w:jc w:val="both"/>
        <w:rPr>
          <w:rFonts w:ascii="Times New Roman" w:hAnsi="Times New Roman" w:cs="Times New Roman"/>
          <w:color w:val="000000"/>
          <w:sz w:val="24"/>
          <w:szCs w:val="24"/>
          <w:lang w:val="en-US"/>
        </w:rPr>
      </w:pPr>
      <w:r w:rsidRPr="00DD701C">
        <w:rPr>
          <w:rStyle w:val="normaltextrun"/>
          <w:rFonts w:ascii="Times New Roman" w:hAnsi="Times New Roman" w:cs="Times New Roman"/>
          <w:b/>
          <w:bCs/>
          <w:color w:val="000000"/>
          <w:sz w:val="24"/>
          <w:szCs w:val="24"/>
          <w:lang w:val="en-US"/>
        </w:rPr>
        <w:t xml:space="preserve">dr Krzysztof Kurosz </w:t>
      </w:r>
      <w:r w:rsidRPr="00DD701C">
        <w:rPr>
          <w:rStyle w:val="normaltextrun"/>
          <w:rFonts w:ascii="Times New Roman" w:hAnsi="Times New Roman" w:cs="Times New Roman"/>
          <w:color w:val="000000"/>
          <w:sz w:val="24"/>
          <w:szCs w:val="24"/>
          <w:lang w:val="en-US"/>
        </w:rPr>
        <w:t>– The author is</w:t>
      </w:r>
      <w:r w:rsidR="00323174" w:rsidRPr="00DD701C">
        <w:rPr>
          <w:rStyle w:val="normaltextrun"/>
          <w:rFonts w:ascii="Times New Roman" w:hAnsi="Times New Roman" w:cs="Times New Roman"/>
          <w:color w:val="000000"/>
          <w:sz w:val="24"/>
          <w:szCs w:val="24"/>
          <w:lang w:val="en-US"/>
        </w:rPr>
        <w:t xml:space="preserve"> </w:t>
      </w:r>
      <w:r w:rsidRPr="00DD701C">
        <w:rPr>
          <w:rStyle w:val="normaltextrun"/>
          <w:rFonts w:ascii="Times New Roman" w:hAnsi="Times New Roman" w:cs="Times New Roman"/>
          <w:color w:val="000000"/>
          <w:sz w:val="24"/>
          <w:szCs w:val="24"/>
          <w:lang w:val="en-US"/>
        </w:rPr>
        <w:t>an assistant professor at the Department of Civil Law, Faculty of Law and Administration, University of Lodz, judge</w:t>
      </w:r>
      <w:r w:rsidR="00323174" w:rsidRPr="00DD701C">
        <w:rPr>
          <w:rStyle w:val="normaltextrun"/>
          <w:rFonts w:ascii="Times New Roman" w:hAnsi="Times New Roman" w:cs="Times New Roman"/>
          <w:color w:val="000000"/>
          <w:sz w:val="24"/>
          <w:szCs w:val="24"/>
          <w:lang w:val="en-US"/>
        </w:rPr>
        <w:t xml:space="preserve"> in the </w:t>
      </w:r>
      <w:r w:rsidR="00323174" w:rsidRPr="00DD701C">
        <w:rPr>
          <w:rFonts w:ascii="Times New Roman" w:hAnsi="Times New Roman" w:cs="Times New Roman"/>
          <w:color w:val="000000"/>
          <w:sz w:val="24"/>
          <w:szCs w:val="24"/>
          <w:lang w:val="en-US"/>
        </w:rPr>
        <w:t>XXII Intellectual Property Division of the Regional Court in Warsaw</w:t>
      </w:r>
    </w:p>
    <w:p w14:paraId="2305EA8B" w14:textId="03FB3E4A" w:rsidR="0063475B" w:rsidRPr="00DD701C" w:rsidRDefault="00323174" w:rsidP="00DD701C">
      <w:pPr>
        <w:pStyle w:val="Bezodstpw"/>
        <w:spacing w:line="360" w:lineRule="auto"/>
        <w:jc w:val="both"/>
        <w:rPr>
          <w:rFonts w:ascii="Times New Roman" w:hAnsi="Times New Roman" w:cs="Times New Roman"/>
          <w:sz w:val="24"/>
          <w:szCs w:val="24"/>
          <w:lang w:val="en-US"/>
        </w:rPr>
      </w:pPr>
      <w:r w:rsidRPr="00F96785">
        <w:rPr>
          <w:rFonts w:ascii="Times New Roman" w:hAnsi="Times New Roman" w:cs="Times New Roman"/>
          <w:color w:val="000000"/>
          <w:sz w:val="24"/>
          <w:szCs w:val="24"/>
          <w:lang w:val="en-US"/>
        </w:rPr>
        <w:t>(ORCID: https://orcid.org/0000-0003-0605-3392).</w:t>
      </w:r>
    </w:p>
    <w:p w14:paraId="350390CB" w14:textId="3CFE4809" w:rsidR="0063475B" w:rsidRPr="00DD701C" w:rsidRDefault="0063475B" w:rsidP="00DD701C">
      <w:pPr>
        <w:pStyle w:val="Bezodstpw"/>
        <w:spacing w:line="360" w:lineRule="auto"/>
        <w:jc w:val="both"/>
        <w:rPr>
          <w:rStyle w:val="normaltextrun"/>
          <w:rFonts w:ascii="Times New Roman" w:hAnsi="Times New Roman" w:cs="Times New Roman"/>
          <w:color w:val="000000"/>
          <w:sz w:val="24"/>
          <w:szCs w:val="24"/>
          <w:lang w:val="en-US"/>
        </w:rPr>
      </w:pPr>
      <w:r w:rsidRPr="00DD701C">
        <w:rPr>
          <w:rFonts w:ascii="Times New Roman" w:hAnsi="Times New Roman" w:cs="Times New Roman"/>
          <w:b/>
          <w:bCs/>
          <w:sz w:val="24"/>
          <w:szCs w:val="24"/>
          <w:lang w:val="en-US"/>
        </w:rPr>
        <w:t xml:space="preserve">dr hab. Małgorzata Kurzynoga, prof. UŁ </w:t>
      </w:r>
      <w:r w:rsidRPr="00DD701C">
        <w:rPr>
          <w:rStyle w:val="normaltextrun"/>
          <w:rFonts w:ascii="Times New Roman" w:hAnsi="Times New Roman" w:cs="Times New Roman"/>
          <w:color w:val="000000"/>
          <w:sz w:val="24"/>
          <w:szCs w:val="24"/>
          <w:lang w:val="en-US"/>
        </w:rPr>
        <w:t>– The author is a</w:t>
      </w:r>
      <w:r w:rsidR="00323174" w:rsidRPr="00DD701C">
        <w:rPr>
          <w:rStyle w:val="normaltextrun"/>
          <w:rFonts w:ascii="Times New Roman" w:hAnsi="Times New Roman" w:cs="Times New Roman"/>
          <w:color w:val="000000"/>
          <w:sz w:val="24"/>
          <w:szCs w:val="24"/>
          <w:lang w:val="en-US"/>
        </w:rPr>
        <w:t>n associate</w:t>
      </w:r>
      <w:r w:rsidRPr="00DD701C">
        <w:rPr>
          <w:rStyle w:val="normaltextrun"/>
          <w:rFonts w:ascii="Times New Roman" w:hAnsi="Times New Roman" w:cs="Times New Roman"/>
          <w:color w:val="000000"/>
          <w:sz w:val="24"/>
          <w:szCs w:val="24"/>
          <w:lang w:val="en-US"/>
        </w:rPr>
        <w:t xml:space="preserve"> professor </w:t>
      </w:r>
      <w:r w:rsidR="00323174" w:rsidRPr="00DD701C">
        <w:rPr>
          <w:rStyle w:val="normaltextrun"/>
          <w:rFonts w:ascii="Times New Roman" w:hAnsi="Times New Roman" w:cs="Times New Roman"/>
          <w:color w:val="000000"/>
          <w:sz w:val="24"/>
          <w:szCs w:val="24"/>
          <w:lang w:val="en-US"/>
        </w:rPr>
        <w:t>at</w:t>
      </w:r>
      <w:r w:rsidRPr="00DD701C">
        <w:rPr>
          <w:rStyle w:val="normaltextrun"/>
          <w:rFonts w:ascii="Times New Roman" w:hAnsi="Times New Roman" w:cs="Times New Roman"/>
          <w:color w:val="000000"/>
          <w:sz w:val="24"/>
          <w:szCs w:val="24"/>
          <w:lang w:val="en-US"/>
        </w:rPr>
        <w:t xml:space="preserve"> the Department of European, International and Collective Labor Law, at the Faculty of Law and Administration, University of Lodz, </w:t>
      </w:r>
      <w:r w:rsidR="00323174" w:rsidRPr="00DD701C">
        <w:rPr>
          <w:rStyle w:val="normaltextrun"/>
          <w:rFonts w:ascii="Times New Roman" w:hAnsi="Times New Roman" w:cs="Times New Roman"/>
          <w:color w:val="000000"/>
          <w:sz w:val="24"/>
          <w:szCs w:val="24"/>
          <w:lang w:val="en-US"/>
        </w:rPr>
        <w:t xml:space="preserve">Poland, and an </w:t>
      </w:r>
      <w:r w:rsidRPr="00DD701C">
        <w:rPr>
          <w:rStyle w:val="normaltextrun"/>
          <w:rFonts w:ascii="Times New Roman" w:hAnsi="Times New Roman" w:cs="Times New Roman"/>
          <w:color w:val="000000"/>
          <w:sz w:val="24"/>
          <w:szCs w:val="24"/>
          <w:lang w:val="en-US"/>
        </w:rPr>
        <w:t>attorney at law</w:t>
      </w:r>
    </w:p>
    <w:p w14:paraId="1F990B39" w14:textId="546069A5" w:rsidR="00B86E2B" w:rsidRPr="00DD701C" w:rsidRDefault="00B86E2B" w:rsidP="00DD701C">
      <w:pPr>
        <w:pStyle w:val="Bezodstpw"/>
        <w:spacing w:line="360" w:lineRule="auto"/>
        <w:jc w:val="both"/>
        <w:rPr>
          <w:rStyle w:val="normaltextrun"/>
          <w:rFonts w:ascii="Times New Roman" w:hAnsi="Times New Roman" w:cs="Times New Roman"/>
          <w:color w:val="000000"/>
          <w:sz w:val="24"/>
          <w:szCs w:val="24"/>
          <w:lang w:val="en-US"/>
        </w:rPr>
      </w:pPr>
      <w:r w:rsidRPr="00DD701C">
        <w:rPr>
          <w:rFonts w:ascii="Times New Roman" w:hAnsi="Times New Roman" w:cs="Times New Roman"/>
          <w:color w:val="000000"/>
          <w:sz w:val="24"/>
          <w:szCs w:val="24"/>
          <w:lang w:val="en-US"/>
        </w:rPr>
        <w:t>(ORCID: https://orcid.org/0000-0002-3927-4223).</w:t>
      </w:r>
    </w:p>
    <w:p w14:paraId="64D67B5C" w14:textId="77777777" w:rsidR="0063475B" w:rsidRPr="00DD701C" w:rsidRDefault="0063475B" w:rsidP="00DD701C">
      <w:pPr>
        <w:spacing w:after="0" w:line="360" w:lineRule="auto"/>
        <w:jc w:val="both"/>
        <w:rPr>
          <w:rFonts w:ascii="Times New Roman" w:hAnsi="Times New Roman" w:cs="Times New Roman"/>
          <w:b/>
          <w:bCs/>
          <w:sz w:val="24"/>
          <w:szCs w:val="24"/>
          <w:lang w:val="en-US"/>
        </w:rPr>
      </w:pPr>
    </w:p>
    <w:p w14:paraId="375F29BF" w14:textId="77777777" w:rsidR="00E23DA4" w:rsidRPr="00E23DA4" w:rsidRDefault="00E23DA4" w:rsidP="00E23DA4">
      <w:pPr>
        <w:spacing w:line="360" w:lineRule="auto"/>
        <w:jc w:val="both"/>
        <w:rPr>
          <w:rFonts w:ascii="Times New Roman" w:eastAsia="Times New Roman" w:hAnsi="Times New Roman" w:cs="Times New Roman"/>
          <w:b/>
          <w:sz w:val="24"/>
          <w:szCs w:val="24"/>
          <w:lang w:val="en-US"/>
        </w:rPr>
      </w:pPr>
      <w:r w:rsidRPr="00E23DA4">
        <w:rPr>
          <w:rFonts w:ascii="Times New Roman" w:eastAsia="Times New Roman" w:hAnsi="Times New Roman" w:cs="Times New Roman"/>
          <w:b/>
          <w:sz w:val="24"/>
          <w:szCs w:val="24"/>
          <w:lang w:val="en-US"/>
        </w:rPr>
        <w:t>Non-Disclosure Agreement on Remuneration and Freedom of Speech – A Partially Critical Commentary on the Judgment of the European Court of Human Rights of 20 June 2024, Application No. 4110/20, Boronyák v. Hungary</w:t>
      </w:r>
    </w:p>
    <w:p w14:paraId="58D15E00" w14:textId="77777777" w:rsidR="00E23DA4" w:rsidRPr="00E23DA4" w:rsidRDefault="00E23DA4" w:rsidP="00E23DA4">
      <w:pPr>
        <w:spacing w:before="240" w:after="240" w:line="360" w:lineRule="auto"/>
        <w:jc w:val="both"/>
        <w:rPr>
          <w:rFonts w:ascii="Times New Roman" w:eastAsia="Times New Roman" w:hAnsi="Times New Roman" w:cs="Times New Roman"/>
          <w:sz w:val="24"/>
          <w:szCs w:val="24"/>
          <w:lang w:val="en-US"/>
        </w:rPr>
      </w:pPr>
      <w:r w:rsidRPr="00E23DA4">
        <w:rPr>
          <w:rFonts w:ascii="Times New Roman" w:eastAsia="Times New Roman" w:hAnsi="Times New Roman" w:cs="Times New Roman"/>
          <w:b/>
          <w:sz w:val="24"/>
          <w:szCs w:val="24"/>
          <w:lang w:val="en-US"/>
        </w:rPr>
        <w:t>Keywords:</w:t>
      </w:r>
      <w:r w:rsidRPr="00E23DA4">
        <w:rPr>
          <w:rFonts w:ascii="Times New Roman" w:eastAsia="Times New Roman" w:hAnsi="Times New Roman" w:cs="Times New Roman"/>
          <w:sz w:val="24"/>
          <w:szCs w:val="24"/>
          <w:lang w:val="en-US"/>
        </w:rPr>
        <w:t xml:space="preserve"> Non-disclosure agreement on remuneration, freedom of speech, trade secret</w:t>
      </w:r>
    </w:p>
    <w:p w14:paraId="5CB11C56" w14:textId="1CC63022" w:rsidR="00E23DA4" w:rsidRPr="00E23DA4" w:rsidRDefault="00E23DA4" w:rsidP="00E23DA4">
      <w:pPr>
        <w:spacing w:before="240" w:after="240" w:line="360" w:lineRule="auto"/>
        <w:jc w:val="both"/>
        <w:rPr>
          <w:rFonts w:ascii="Times New Roman" w:eastAsia="Times New Roman" w:hAnsi="Times New Roman" w:cs="Times New Roman"/>
          <w:sz w:val="24"/>
          <w:szCs w:val="24"/>
          <w:lang w:val="en-US"/>
        </w:rPr>
      </w:pPr>
      <w:r w:rsidRPr="00E23DA4">
        <w:rPr>
          <w:rFonts w:ascii="Times New Roman" w:eastAsia="Times New Roman" w:hAnsi="Times New Roman" w:cs="Times New Roman"/>
          <w:sz w:val="24"/>
          <w:szCs w:val="24"/>
          <w:lang w:val="en-US"/>
        </w:rPr>
        <w:t xml:space="preserve">The judgment of the European Court of Human Rights (ECtHR) under review is noteworthy for its clear emphasis on the primacy of a contractual obligation to respect the confidentiality of trade secrets regarding remuneration, overriding the freedom of expression and even the right to access public information. The most interesting aspect of the judgment lies in the ECtHR's search for justification to allow the exclusion of freedom of expression in a civil contract concerning the disclosure of salary information, drawing an analogy to the obligations of an employee under an employment relationship. The ECtHR's reasoning that voluntary submission to the terms of a civil contract is similar to an employee's subordination, who is, by default, prohibited from disclosing their salary, is flawed. Although the final conclusion of the ECtHR </w:t>
      </w:r>
      <w:r w:rsidRPr="00E23DA4">
        <w:rPr>
          <w:rFonts w:ascii="Times New Roman" w:eastAsia="Times New Roman" w:hAnsi="Times New Roman" w:cs="Times New Roman"/>
          <w:sz w:val="24"/>
          <w:szCs w:val="24"/>
          <w:lang w:val="en-US"/>
        </w:rPr>
        <w:lastRenderedPageBreak/>
        <w:t>is correct (the contractual obligation to protect trade secrets in relation to salary does not violate Article 10 (2) of the Convention), the reasoning behind it raises concerns. It is necessary to consider the legal system of the Council of Europe, which allows employees to disclose their remuneration, despite the formal limitation of the ECtHR's jurisdiction to the Convention. Salary transparency serves as a tool supporting the principle of equal pay established in the European Social Charter. Therefore, the permissibility of contractual restrictions on freedom of expression lies not in the similarity to the employment relationship but in the need to protect property (trade secrets) and the possibility of self-restraint by the parties to the agreement. In this respect, the ECtHR's emphasis on the lack of primacy of the public right to information over a contractual non-disclosure agreement is commendable, provided that access to public information can be obtained by other entities.</w:t>
      </w:r>
    </w:p>
    <w:p w14:paraId="3E9D8C8E" w14:textId="77777777" w:rsidR="00E23DA4" w:rsidRDefault="00E23DA4" w:rsidP="00DD701C">
      <w:pPr>
        <w:spacing w:after="0" w:line="360" w:lineRule="auto"/>
        <w:jc w:val="both"/>
        <w:rPr>
          <w:rFonts w:ascii="Times New Roman" w:hAnsi="Times New Roman" w:cs="Times New Roman"/>
          <w:sz w:val="24"/>
          <w:szCs w:val="24"/>
          <w:lang w:val="fr-FR"/>
        </w:rPr>
      </w:pPr>
    </w:p>
    <w:p w14:paraId="7788F878" w14:textId="77777777" w:rsidR="00E23DA4" w:rsidRPr="00DD701C" w:rsidRDefault="00E23DA4" w:rsidP="00DD701C">
      <w:pPr>
        <w:spacing w:after="0" w:line="360" w:lineRule="auto"/>
        <w:jc w:val="both"/>
        <w:rPr>
          <w:rFonts w:ascii="Times New Roman" w:hAnsi="Times New Roman" w:cs="Times New Roman"/>
          <w:sz w:val="24"/>
          <w:szCs w:val="24"/>
          <w:lang w:val="fr-FR"/>
        </w:rPr>
      </w:pPr>
    </w:p>
    <w:p w14:paraId="5B805736" w14:textId="77777777" w:rsidR="0063475B" w:rsidRPr="00DD701C" w:rsidRDefault="0063475B" w:rsidP="00DD701C">
      <w:pPr>
        <w:spacing w:after="0" w:line="360" w:lineRule="auto"/>
        <w:jc w:val="both"/>
        <w:rPr>
          <w:rFonts w:ascii="Times New Roman" w:hAnsi="Times New Roman" w:cs="Times New Roman"/>
          <w:b/>
          <w:bCs/>
          <w:sz w:val="24"/>
          <w:szCs w:val="24"/>
          <w:lang w:val="en-US"/>
        </w:rPr>
      </w:pPr>
      <w:r w:rsidRPr="00DD701C">
        <w:rPr>
          <w:rFonts w:ascii="Times New Roman" w:hAnsi="Times New Roman" w:cs="Times New Roman"/>
          <w:b/>
          <w:bCs/>
          <w:sz w:val="24"/>
          <w:szCs w:val="24"/>
          <w:lang w:val="en-US"/>
        </w:rPr>
        <w:t>Bibliografia/References</w:t>
      </w:r>
    </w:p>
    <w:p w14:paraId="3149C1D7" w14:textId="77777777" w:rsidR="0063475B" w:rsidRPr="00DD701C" w:rsidRDefault="0063475B" w:rsidP="00DD701C">
      <w:pPr>
        <w:spacing w:after="0" w:line="360" w:lineRule="auto"/>
        <w:jc w:val="both"/>
        <w:rPr>
          <w:rFonts w:ascii="Times New Roman" w:hAnsi="Times New Roman" w:cs="Times New Roman"/>
          <w:sz w:val="24"/>
          <w:szCs w:val="24"/>
          <w:lang w:val="en-US"/>
        </w:rPr>
      </w:pPr>
    </w:p>
    <w:p w14:paraId="2A695A5B" w14:textId="757A1346" w:rsidR="005A61FB" w:rsidRPr="00DD701C" w:rsidRDefault="005A61FB" w:rsidP="00DD701C">
      <w:pPr>
        <w:spacing w:after="0" w:line="360" w:lineRule="auto"/>
        <w:jc w:val="both"/>
        <w:rPr>
          <w:rFonts w:ascii="Times New Roman" w:hAnsi="Times New Roman" w:cs="Times New Roman"/>
          <w:sz w:val="24"/>
          <w:szCs w:val="24"/>
          <w:lang w:val="en-US"/>
        </w:rPr>
      </w:pPr>
      <w:r w:rsidRPr="00DD701C">
        <w:rPr>
          <w:rFonts w:ascii="Times New Roman" w:hAnsi="Times New Roman" w:cs="Times New Roman"/>
          <w:sz w:val="24"/>
          <w:szCs w:val="24"/>
          <w:lang w:val="en-US"/>
        </w:rPr>
        <w:t>Ceballos M., Masselot A., Watt R.</w:t>
      </w:r>
      <w:r w:rsidR="005176C8" w:rsidRPr="00DD701C">
        <w:rPr>
          <w:rFonts w:ascii="Times New Roman" w:hAnsi="Times New Roman" w:cs="Times New Roman"/>
          <w:sz w:val="24"/>
          <w:szCs w:val="24"/>
          <w:lang w:val="en-US"/>
        </w:rPr>
        <w:t>, Pay</w:t>
      </w:r>
      <w:r w:rsidRPr="00DD701C">
        <w:rPr>
          <w:rFonts w:ascii="Times New Roman" w:hAnsi="Times New Roman" w:cs="Times New Roman"/>
          <w:i/>
          <w:iCs/>
          <w:sz w:val="24"/>
          <w:szCs w:val="24"/>
          <w:lang w:val="en-US"/>
        </w:rPr>
        <w:t xml:space="preserve"> Transparency across Countries and Legal </w:t>
      </w:r>
      <w:r w:rsidR="00B0150A" w:rsidRPr="00DD701C">
        <w:rPr>
          <w:rFonts w:ascii="Times New Roman" w:hAnsi="Times New Roman" w:cs="Times New Roman"/>
          <w:i/>
          <w:iCs/>
          <w:sz w:val="24"/>
          <w:szCs w:val="24"/>
          <w:lang w:val="en-US"/>
        </w:rPr>
        <w:t>Systems</w:t>
      </w:r>
      <w:r w:rsidR="00B0150A" w:rsidRPr="00DD701C">
        <w:rPr>
          <w:rFonts w:ascii="Times New Roman" w:hAnsi="Times New Roman" w:cs="Times New Roman"/>
          <w:sz w:val="24"/>
          <w:szCs w:val="24"/>
          <w:lang w:val="en-US"/>
        </w:rPr>
        <w:t>, CESifo</w:t>
      </w:r>
      <w:r w:rsidRPr="00DD701C">
        <w:rPr>
          <w:rFonts w:ascii="Times New Roman" w:hAnsi="Times New Roman" w:cs="Times New Roman"/>
          <w:sz w:val="24"/>
          <w:szCs w:val="24"/>
          <w:lang w:val="en-US"/>
        </w:rPr>
        <w:t xml:space="preserve"> Forum, Vol. 23, No. 02, 2022.</w:t>
      </w:r>
    </w:p>
    <w:p w14:paraId="26BC20E3" w14:textId="0CB4C27E" w:rsidR="005A61FB" w:rsidRPr="00DD701C" w:rsidRDefault="005A61FB" w:rsidP="00DD701C">
      <w:pPr>
        <w:spacing w:after="0" w:line="360" w:lineRule="auto"/>
        <w:jc w:val="both"/>
        <w:rPr>
          <w:rFonts w:ascii="Times New Roman" w:hAnsi="Times New Roman" w:cs="Times New Roman"/>
          <w:sz w:val="24"/>
          <w:szCs w:val="24"/>
          <w:lang w:val="en-US"/>
        </w:rPr>
      </w:pPr>
      <w:r w:rsidRPr="00DD701C">
        <w:rPr>
          <w:rFonts w:ascii="Times New Roman" w:hAnsi="Times New Roman" w:cs="Times New Roman"/>
          <w:sz w:val="24"/>
          <w:szCs w:val="24"/>
          <w:lang w:val="en-US"/>
        </w:rPr>
        <w:t xml:space="preserve">Hooton V., Pearce H., </w:t>
      </w:r>
      <w:r w:rsidRPr="00DD701C">
        <w:rPr>
          <w:rFonts w:ascii="Times New Roman" w:hAnsi="Times New Roman" w:cs="Times New Roman"/>
          <w:i/>
          <w:iCs/>
          <w:sz w:val="24"/>
          <w:szCs w:val="24"/>
          <w:lang w:val="en-US"/>
        </w:rPr>
        <w:t>Pay Transparency, Information Access Rights and Data Protection Law: Exploring Viable Alternatives to Disclosure Orders in Equal Pay Litigation</w:t>
      </w:r>
      <w:r w:rsidRPr="00DD701C">
        <w:rPr>
          <w:rFonts w:ascii="Times New Roman" w:hAnsi="Times New Roman" w:cs="Times New Roman"/>
          <w:sz w:val="24"/>
          <w:szCs w:val="24"/>
          <w:lang w:val="en-US"/>
        </w:rPr>
        <w:t>, „Industrial Law Journal” 2023, Vol. 52, No. 3.</w:t>
      </w:r>
    </w:p>
    <w:p w14:paraId="1A46776A" w14:textId="267D661E" w:rsidR="005A61FB" w:rsidRPr="00DD701C" w:rsidRDefault="005A61FB" w:rsidP="00DD701C">
      <w:pPr>
        <w:spacing w:after="0" w:line="360" w:lineRule="auto"/>
        <w:jc w:val="both"/>
        <w:rPr>
          <w:rFonts w:ascii="Times New Roman" w:hAnsi="Times New Roman" w:cs="Times New Roman"/>
          <w:sz w:val="24"/>
          <w:szCs w:val="24"/>
          <w:lang w:val="en-US"/>
        </w:rPr>
      </w:pPr>
      <w:r w:rsidRPr="00DD701C">
        <w:rPr>
          <w:rFonts w:ascii="Times New Roman" w:hAnsi="Times New Roman" w:cs="Times New Roman"/>
          <w:sz w:val="24"/>
          <w:szCs w:val="24"/>
          <w:lang w:val="en-US"/>
        </w:rPr>
        <w:t xml:space="preserve">Lobel O., </w:t>
      </w:r>
      <w:r w:rsidRPr="00DD701C">
        <w:rPr>
          <w:rFonts w:ascii="Times New Roman" w:hAnsi="Times New Roman" w:cs="Times New Roman"/>
          <w:i/>
          <w:iCs/>
          <w:sz w:val="24"/>
          <w:szCs w:val="24"/>
          <w:lang w:val="en-US"/>
        </w:rPr>
        <w:t>Knowledge Pays: Reversing Information Flows and the Future of Pay Equity</w:t>
      </w:r>
      <w:r w:rsidRPr="00DD701C">
        <w:rPr>
          <w:rFonts w:ascii="Times New Roman" w:hAnsi="Times New Roman" w:cs="Times New Roman"/>
          <w:sz w:val="24"/>
          <w:szCs w:val="24"/>
          <w:lang w:val="en-US"/>
        </w:rPr>
        <w:t>, „Columbia Law Review“ 2020, Vol. 120.</w:t>
      </w:r>
    </w:p>
    <w:p w14:paraId="365B19AB" w14:textId="77777777" w:rsidR="005A61FB" w:rsidRPr="00DD701C" w:rsidRDefault="005A61FB" w:rsidP="00DD701C">
      <w:pPr>
        <w:spacing w:after="0" w:line="360" w:lineRule="auto"/>
        <w:jc w:val="both"/>
        <w:rPr>
          <w:rFonts w:ascii="Times New Roman" w:hAnsi="Times New Roman" w:cs="Times New Roman"/>
          <w:sz w:val="24"/>
          <w:szCs w:val="24"/>
        </w:rPr>
      </w:pPr>
      <w:r w:rsidRPr="00DD701C">
        <w:rPr>
          <w:rFonts w:ascii="Times New Roman" w:hAnsi="Times New Roman" w:cs="Times New Roman"/>
          <w:sz w:val="24"/>
          <w:szCs w:val="24"/>
        </w:rPr>
        <w:t xml:space="preserve">Nowicki M. A., </w:t>
      </w:r>
      <w:r w:rsidRPr="00DD701C">
        <w:rPr>
          <w:rFonts w:ascii="Times New Roman" w:hAnsi="Times New Roman" w:cs="Times New Roman"/>
          <w:i/>
          <w:iCs/>
          <w:sz w:val="24"/>
          <w:szCs w:val="24"/>
        </w:rPr>
        <w:t>Wokół Konwencji Europejskiej. Komentarz do Europejskiej Konwencji Praw Człowieka</w:t>
      </w:r>
      <w:r w:rsidRPr="00DD701C">
        <w:rPr>
          <w:rFonts w:ascii="Times New Roman" w:hAnsi="Times New Roman" w:cs="Times New Roman"/>
          <w:sz w:val="24"/>
          <w:szCs w:val="24"/>
        </w:rPr>
        <w:t>, Warszawa 2021.</w:t>
      </w:r>
    </w:p>
    <w:p w14:paraId="3BABE513" w14:textId="4ABC56CF" w:rsidR="00761101" w:rsidRPr="00DD701C" w:rsidRDefault="005A61FB" w:rsidP="00DD701C">
      <w:pPr>
        <w:spacing w:after="0" w:line="360" w:lineRule="auto"/>
        <w:jc w:val="both"/>
        <w:rPr>
          <w:rFonts w:ascii="Times New Roman" w:hAnsi="Times New Roman" w:cs="Times New Roman"/>
          <w:sz w:val="24"/>
          <w:szCs w:val="24"/>
          <w:lang w:val="en-US"/>
        </w:rPr>
      </w:pPr>
      <w:r w:rsidRPr="00DD701C">
        <w:rPr>
          <w:rFonts w:ascii="Times New Roman" w:hAnsi="Times New Roman" w:cs="Times New Roman"/>
          <w:sz w:val="24"/>
          <w:szCs w:val="24"/>
          <w:lang w:val="en-US"/>
        </w:rPr>
        <w:t xml:space="preserve">Veldman A., </w:t>
      </w:r>
      <w:r w:rsidRPr="00DD701C">
        <w:rPr>
          <w:rFonts w:ascii="Times New Roman" w:hAnsi="Times New Roman" w:cs="Times New Roman"/>
          <w:i/>
          <w:iCs/>
          <w:sz w:val="24"/>
          <w:szCs w:val="24"/>
          <w:lang w:val="en-US"/>
        </w:rPr>
        <w:t>Pay Transparency in the EU – A legal analysis of the situation in the EU Member States, Iceland, Liechtenstein and Norway, European Network of Legal Experts in Gender Equality and Non-Discrimination</w:t>
      </w:r>
      <w:r w:rsidRPr="00DD701C">
        <w:rPr>
          <w:rFonts w:ascii="Times New Roman" w:hAnsi="Times New Roman" w:cs="Times New Roman"/>
          <w:sz w:val="24"/>
          <w:szCs w:val="24"/>
          <w:lang w:val="en-US"/>
        </w:rPr>
        <w:t>, Luxembourg 2017.</w:t>
      </w:r>
    </w:p>
    <w:sectPr w:rsidR="00761101" w:rsidRPr="00DD701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E4164" w14:textId="77777777" w:rsidR="00675DCE" w:rsidRDefault="00675DCE" w:rsidP="0063475B">
      <w:pPr>
        <w:spacing w:after="0" w:line="240" w:lineRule="auto"/>
      </w:pPr>
      <w:r>
        <w:separator/>
      </w:r>
    </w:p>
  </w:endnote>
  <w:endnote w:type="continuationSeparator" w:id="0">
    <w:p w14:paraId="3AC8D97F" w14:textId="77777777" w:rsidR="00675DCE" w:rsidRDefault="00675DCE" w:rsidP="00634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8246994"/>
      <w:docPartObj>
        <w:docPartGallery w:val="Page Numbers (Bottom of Page)"/>
        <w:docPartUnique/>
      </w:docPartObj>
    </w:sdtPr>
    <w:sdtContent>
      <w:p w14:paraId="03A70600" w14:textId="0CD7802E" w:rsidR="00AB31C2" w:rsidRDefault="00AB31C2">
        <w:pPr>
          <w:pStyle w:val="Stopka"/>
          <w:jc w:val="center"/>
        </w:pPr>
        <w:r>
          <w:fldChar w:fldCharType="begin"/>
        </w:r>
        <w:r>
          <w:instrText>PAGE   \* MERGEFORMAT</w:instrText>
        </w:r>
        <w:r>
          <w:fldChar w:fldCharType="separate"/>
        </w:r>
        <w:r>
          <w:t>2</w:t>
        </w:r>
        <w:r>
          <w:fldChar w:fldCharType="end"/>
        </w:r>
      </w:p>
    </w:sdtContent>
  </w:sdt>
  <w:p w14:paraId="0FBD5ABF" w14:textId="77777777" w:rsidR="00AB31C2" w:rsidRDefault="00AB31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CC93" w14:textId="77777777" w:rsidR="00675DCE" w:rsidRDefault="00675DCE" w:rsidP="0063475B">
      <w:pPr>
        <w:spacing w:after="0" w:line="240" w:lineRule="auto"/>
      </w:pPr>
      <w:r>
        <w:separator/>
      </w:r>
    </w:p>
  </w:footnote>
  <w:footnote w:type="continuationSeparator" w:id="0">
    <w:p w14:paraId="00AE6BBD" w14:textId="77777777" w:rsidR="00675DCE" w:rsidRDefault="00675DCE" w:rsidP="0063475B">
      <w:pPr>
        <w:spacing w:after="0" w:line="240" w:lineRule="auto"/>
      </w:pPr>
      <w:r>
        <w:continuationSeparator/>
      </w:r>
    </w:p>
  </w:footnote>
  <w:footnote w:id="1">
    <w:p w14:paraId="07A636E9" w14:textId="160FF590" w:rsidR="001050AB" w:rsidRPr="00756ABD" w:rsidRDefault="001050AB" w:rsidP="00756ABD">
      <w:pPr>
        <w:pStyle w:val="Tekstprzypisudolnego"/>
        <w:jc w:val="both"/>
        <w:rPr>
          <w:rFonts w:ascii="Times New Roman" w:hAnsi="Times New Roman" w:cs="Times New Roman"/>
        </w:rPr>
      </w:pPr>
      <w:r w:rsidRPr="00756ABD">
        <w:rPr>
          <w:rStyle w:val="Odwoanieprzypisudolnego"/>
          <w:rFonts w:ascii="Times New Roman" w:hAnsi="Times New Roman" w:cs="Times New Roman"/>
        </w:rPr>
        <w:footnoteRef/>
      </w:r>
      <w:r w:rsidRPr="00756ABD">
        <w:rPr>
          <w:rFonts w:ascii="Times New Roman" w:hAnsi="Times New Roman" w:cs="Times New Roman"/>
        </w:rPr>
        <w:t xml:space="preserve"> Wyrok ETPC z 20.06.2024 r., skarga 4110/20, Boronyák przeciwko Węgrom, LEX nr 3727854.</w:t>
      </w:r>
    </w:p>
  </w:footnote>
  <w:footnote w:id="2">
    <w:p w14:paraId="727F3F13" w14:textId="140FB352" w:rsidR="00756ABD" w:rsidRPr="00756ABD" w:rsidRDefault="00756ABD" w:rsidP="00756ABD">
      <w:pPr>
        <w:pStyle w:val="Tekstprzypisudolnego"/>
        <w:jc w:val="both"/>
        <w:rPr>
          <w:rFonts w:ascii="Times New Roman" w:hAnsi="Times New Roman" w:cs="Times New Roman"/>
        </w:rPr>
      </w:pPr>
      <w:r w:rsidRPr="00756ABD">
        <w:rPr>
          <w:rStyle w:val="Odwoanieprzypisudolnego"/>
          <w:rFonts w:ascii="Times New Roman" w:hAnsi="Times New Roman" w:cs="Times New Roman"/>
        </w:rPr>
        <w:footnoteRef/>
      </w:r>
      <w:r w:rsidRPr="00756ABD">
        <w:rPr>
          <w:rFonts w:ascii="Times New Roman" w:hAnsi="Times New Roman" w:cs="Times New Roman"/>
        </w:rPr>
        <w:t xml:space="preserve"> Konwencja o ochronie praw człowieka i podstawowych wolności sporządzona w Rzymie 4.11.1950 r.  zmieniona następnie Protokołami nr 3, 5 i 8 oraz uzupełniona Protokołem nr 2, Dz.U. 1993, nr 61, poz. 284</w:t>
      </w:r>
    </w:p>
  </w:footnote>
  <w:footnote w:id="3">
    <w:p w14:paraId="0F1510B7" w14:textId="57ED00B3" w:rsidR="009133B3" w:rsidRPr="00742F29" w:rsidRDefault="009133B3" w:rsidP="00742F29">
      <w:pPr>
        <w:pStyle w:val="Tekstprzypisudolnego"/>
        <w:jc w:val="both"/>
        <w:rPr>
          <w:rFonts w:ascii="Times New Roman" w:hAnsi="Times New Roman" w:cs="Times New Roman"/>
        </w:rPr>
      </w:pPr>
      <w:r>
        <w:rPr>
          <w:rStyle w:val="Odwoanieprzypisudolnego"/>
        </w:rPr>
        <w:footnoteRef/>
      </w:r>
      <w:r>
        <w:t xml:space="preserve"> </w:t>
      </w:r>
      <w:r w:rsidRPr="00756ABD">
        <w:rPr>
          <w:rFonts w:ascii="Times New Roman" w:hAnsi="Times New Roman" w:cs="Times New Roman"/>
        </w:rPr>
        <w:t xml:space="preserve">Wyrok </w:t>
      </w:r>
      <w:r w:rsidR="006655AB">
        <w:rPr>
          <w:rFonts w:ascii="Times New Roman" w:hAnsi="Times New Roman" w:cs="Times New Roman"/>
        </w:rPr>
        <w:t xml:space="preserve">Wielkiej Izby </w:t>
      </w:r>
      <w:r w:rsidRPr="00756ABD">
        <w:rPr>
          <w:rFonts w:ascii="Times New Roman" w:hAnsi="Times New Roman" w:cs="Times New Roman"/>
        </w:rPr>
        <w:t xml:space="preserve">ETPC z </w:t>
      </w:r>
      <w:r>
        <w:rPr>
          <w:rFonts w:ascii="Times New Roman" w:hAnsi="Times New Roman" w:cs="Times New Roman"/>
        </w:rPr>
        <w:t>14</w:t>
      </w:r>
      <w:r w:rsidRPr="00756ABD">
        <w:rPr>
          <w:rFonts w:ascii="Times New Roman" w:hAnsi="Times New Roman" w:cs="Times New Roman"/>
        </w:rPr>
        <w:t>.0</w:t>
      </w:r>
      <w:r>
        <w:rPr>
          <w:rFonts w:ascii="Times New Roman" w:hAnsi="Times New Roman" w:cs="Times New Roman"/>
        </w:rPr>
        <w:t>2</w:t>
      </w:r>
      <w:r w:rsidRPr="00756ABD">
        <w:rPr>
          <w:rFonts w:ascii="Times New Roman" w:hAnsi="Times New Roman" w:cs="Times New Roman"/>
        </w:rPr>
        <w:t>.202</w:t>
      </w:r>
      <w:r>
        <w:rPr>
          <w:rFonts w:ascii="Times New Roman" w:hAnsi="Times New Roman" w:cs="Times New Roman"/>
        </w:rPr>
        <w:t>3</w:t>
      </w:r>
      <w:r w:rsidRPr="00756ABD">
        <w:rPr>
          <w:rFonts w:ascii="Times New Roman" w:hAnsi="Times New Roman" w:cs="Times New Roman"/>
        </w:rPr>
        <w:t xml:space="preserve"> r., skarga </w:t>
      </w:r>
      <w:r>
        <w:rPr>
          <w:rFonts w:ascii="Times New Roman" w:hAnsi="Times New Roman" w:cs="Times New Roman"/>
        </w:rPr>
        <w:t>21884/18</w:t>
      </w:r>
      <w:r w:rsidRPr="00756ABD">
        <w:rPr>
          <w:rFonts w:ascii="Times New Roman" w:hAnsi="Times New Roman" w:cs="Times New Roman"/>
        </w:rPr>
        <w:t xml:space="preserve">, </w:t>
      </w:r>
      <w:r w:rsidRPr="009133B3">
        <w:rPr>
          <w:rFonts w:ascii="Times New Roman" w:hAnsi="Times New Roman" w:cs="Times New Roman"/>
        </w:rPr>
        <w:t>H</w:t>
      </w:r>
      <w:r>
        <w:rPr>
          <w:rFonts w:ascii="Times New Roman" w:hAnsi="Times New Roman" w:cs="Times New Roman"/>
        </w:rPr>
        <w:t>alet</w:t>
      </w:r>
      <w:r w:rsidRPr="009133B3">
        <w:rPr>
          <w:rFonts w:ascii="Times New Roman" w:hAnsi="Times New Roman" w:cs="Times New Roman"/>
        </w:rPr>
        <w:t xml:space="preserve"> </w:t>
      </w:r>
      <w:r>
        <w:rPr>
          <w:rFonts w:ascii="Times New Roman" w:hAnsi="Times New Roman" w:cs="Times New Roman"/>
        </w:rPr>
        <w:t>przeciwko Luksemburgowi</w:t>
      </w:r>
      <w:r w:rsidRPr="00756ABD">
        <w:rPr>
          <w:rFonts w:ascii="Times New Roman" w:hAnsi="Times New Roman" w:cs="Times New Roman"/>
        </w:rPr>
        <w:t>, LEX nr</w:t>
      </w:r>
      <w:r>
        <w:rPr>
          <w:rFonts w:ascii="Times New Roman" w:hAnsi="Times New Roman" w:cs="Times New Roman"/>
        </w:rPr>
        <w:t xml:space="preserve"> 3485490 z glosą </w:t>
      </w:r>
      <w:r w:rsidRPr="009133B3">
        <w:rPr>
          <w:rFonts w:ascii="Times New Roman" w:hAnsi="Times New Roman" w:cs="Times New Roman"/>
        </w:rPr>
        <w:t xml:space="preserve">J. Bouhnouni, </w:t>
      </w:r>
      <w:r w:rsidRPr="009133B3">
        <w:rPr>
          <w:rFonts w:ascii="Times New Roman" w:hAnsi="Times New Roman" w:cs="Times New Roman"/>
          <w:i/>
          <w:iCs/>
        </w:rPr>
        <w:t>Sygnalizowanie informacji mających wpływ na aktualną debatę publiczną a objęcie ochroną sygnalisty – uwagi na tle wyroku Europejskiego Trybunału Praw Człowieka z 14.02.2023 r., 21884/18, Halet przeciwko Luksemburgowi</w:t>
      </w:r>
      <w:r w:rsidRPr="009133B3">
        <w:rPr>
          <w:rFonts w:ascii="Times New Roman" w:hAnsi="Times New Roman" w:cs="Times New Roman"/>
        </w:rPr>
        <w:t xml:space="preserve">, </w:t>
      </w:r>
      <w:r>
        <w:rPr>
          <w:rFonts w:ascii="Times New Roman" w:hAnsi="Times New Roman" w:cs="Times New Roman"/>
        </w:rPr>
        <w:t>„</w:t>
      </w:r>
      <w:r w:rsidRPr="009133B3">
        <w:rPr>
          <w:rFonts w:ascii="Times New Roman" w:hAnsi="Times New Roman" w:cs="Times New Roman"/>
        </w:rPr>
        <w:t>Europejski Przeglą</w:t>
      </w:r>
      <w:r w:rsidRPr="00742F29">
        <w:rPr>
          <w:rFonts w:ascii="Times New Roman" w:hAnsi="Times New Roman" w:cs="Times New Roman"/>
        </w:rPr>
        <w:t>d Sądowy” 2024/4, s. 29 i nast.</w:t>
      </w:r>
    </w:p>
  </w:footnote>
  <w:footnote w:id="4">
    <w:p w14:paraId="3D38EE98" w14:textId="2B7DE9B2" w:rsidR="00F51CDE" w:rsidRPr="00A44DB4" w:rsidRDefault="00F51CDE" w:rsidP="00F51CDE">
      <w:pPr>
        <w:pStyle w:val="Tekstprzypisudolnego"/>
        <w:jc w:val="both"/>
        <w:rPr>
          <w:rFonts w:ascii="Times New Roman" w:hAnsi="Times New Roman" w:cs="Times New Roman"/>
          <w:color w:val="000000" w:themeColor="text1"/>
        </w:rPr>
      </w:pPr>
      <w:r w:rsidRPr="00A44DB4">
        <w:rPr>
          <w:rStyle w:val="Odwoanieprzypisudolnego"/>
          <w:rFonts w:ascii="Times New Roman" w:hAnsi="Times New Roman" w:cs="Times New Roman"/>
          <w:color w:val="000000" w:themeColor="text1"/>
        </w:rPr>
        <w:footnoteRef/>
      </w:r>
      <w:r w:rsidRPr="00A44DB4">
        <w:rPr>
          <w:rFonts w:ascii="Times New Roman" w:hAnsi="Times New Roman" w:cs="Times New Roman"/>
          <w:color w:val="000000" w:themeColor="text1"/>
        </w:rPr>
        <w:t xml:space="preserve"> Wyrok Wielkiej Izby ETPC z 12.09.2011 r., skargi nr 28955/</w:t>
      </w:r>
      <w:r w:rsidR="00B0150A" w:rsidRPr="00A44DB4">
        <w:rPr>
          <w:rFonts w:ascii="Times New Roman" w:hAnsi="Times New Roman" w:cs="Times New Roman"/>
          <w:color w:val="000000" w:themeColor="text1"/>
        </w:rPr>
        <w:t>06,</w:t>
      </w:r>
      <w:r w:rsidRPr="00A44DB4">
        <w:rPr>
          <w:rFonts w:ascii="Times New Roman" w:hAnsi="Times New Roman" w:cs="Times New Roman"/>
          <w:color w:val="000000" w:themeColor="text1"/>
        </w:rPr>
        <w:t xml:space="preserve"> 28957/</w:t>
      </w:r>
      <w:r w:rsidR="00B0150A" w:rsidRPr="00A44DB4">
        <w:rPr>
          <w:rFonts w:ascii="Times New Roman" w:hAnsi="Times New Roman" w:cs="Times New Roman"/>
          <w:color w:val="000000" w:themeColor="text1"/>
        </w:rPr>
        <w:t>06,</w:t>
      </w:r>
      <w:r w:rsidRPr="00A44DB4">
        <w:rPr>
          <w:rFonts w:ascii="Times New Roman" w:hAnsi="Times New Roman" w:cs="Times New Roman"/>
          <w:color w:val="000000" w:themeColor="text1"/>
        </w:rPr>
        <w:t xml:space="preserve"> 28959/06 i 28964/06, Palomo Sanchez i inni przeciwko Hiszpanii, LEX nr 898147.</w:t>
      </w:r>
    </w:p>
  </w:footnote>
  <w:footnote w:id="5">
    <w:p w14:paraId="4C2619FB" w14:textId="77777777" w:rsidR="00F51CDE" w:rsidRDefault="00F51CDE" w:rsidP="00F51CDE">
      <w:pPr>
        <w:pStyle w:val="Tekstprzypisudolnego"/>
        <w:jc w:val="both"/>
      </w:pPr>
      <w:r w:rsidRPr="00A44DB4">
        <w:rPr>
          <w:rStyle w:val="Odwoanieprzypisudolnego"/>
          <w:rFonts w:ascii="Times New Roman" w:hAnsi="Times New Roman" w:cs="Times New Roman"/>
          <w:color w:val="000000" w:themeColor="text1"/>
        </w:rPr>
        <w:footnoteRef/>
      </w:r>
      <w:r w:rsidRPr="00A44DB4">
        <w:rPr>
          <w:rFonts w:ascii="Times New Roman" w:hAnsi="Times New Roman" w:cs="Times New Roman"/>
          <w:color w:val="000000" w:themeColor="text1"/>
        </w:rPr>
        <w:t xml:space="preserve"> Wyrok ETPC z 13.01.2015 r., skarga nr 79040/12, Rubins przeciwko Łotwie, </w:t>
      </w:r>
      <w:hyperlink r:id="rId1" w:history="1">
        <w:r w:rsidRPr="00A44DB4">
          <w:rPr>
            <w:rStyle w:val="Hipercze"/>
            <w:rFonts w:ascii="Times New Roman" w:hAnsi="Times New Roman" w:cs="Times New Roman"/>
            <w:color w:val="000000" w:themeColor="text1"/>
            <w:u w:val="none"/>
          </w:rPr>
          <w:t>https://hudoc.echr.coe.int/</w:t>
        </w:r>
      </w:hyperlink>
      <w:r w:rsidRPr="00A44DB4">
        <w:rPr>
          <w:rFonts w:ascii="Times New Roman" w:hAnsi="Times New Roman" w:cs="Times New Roman"/>
          <w:color w:val="000000" w:themeColor="text1"/>
        </w:rPr>
        <w:t xml:space="preserve"> (dostęp 16.02.2025 r.).</w:t>
      </w:r>
    </w:p>
  </w:footnote>
  <w:footnote w:id="6">
    <w:p w14:paraId="28C11939" w14:textId="4625F948" w:rsidR="008B6313" w:rsidRPr="008857CC" w:rsidRDefault="008B6313">
      <w:pPr>
        <w:pStyle w:val="Tekstprzypisudolnego"/>
        <w:rPr>
          <w:rFonts w:ascii="Times New Roman" w:hAnsi="Times New Roman" w:cs="Times New Roman"/>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Europejska Karta Społeczna sporządzona w Turynie dnia 18 października 1961 r., Dz.U.1999.8.67.</w:t>
      </w:r>
    </w:p>
  </w:footnote>
  <w:footnote w:id="7">
    <w:p w14:paraId="25156DBA" w14:textId="1EDC20B4" w:rsidR="00F21AEB" w:rsidRPr="008B6313" w:rsidRDefault="00F21AEB" w:rsidP="00F21AEB">
      <w:pPr>
        <w:pStyle w:val="Tekstprzypisudolnego"/>
        <w:jc w:val="both"/>
        <w:rPr>
          <w:rFonts w:ascii="Times New Roman" w:hAnsi="Times New Roman" w:cs="Times New Roman"/>
        </w:rPr>
      </w:pPr>
      <w:r w:rsidRPr="008B6313">
        <w:rPr>
          <w:rStyle w:val="Odwoanieprzypisudolnego"/>
          <w:rFonts w:ascii="Times New Roman" w:hAnsi="Times New Roman" w:cs="Times New Roman"/>
        </w:rPr>
        <w:footnoteRef/>
      </w:r>
      <w:r w:rsidRPr="008B6313">
        <w:rPr>
          <w:rFonts w:ascii="Times New Roman" w:hAnsi="Times New Roman" w:cs="Times New Roman"/>
        </w:rPr>
        <w:t xml:space="preserve"> Wyrok ETPC z 8 września 2015 r. w sprawie Trade Union in the Factory ‘4th November’ przeciwko Macedoni</w:t>
      </w:r>
      <w:r w:rsidR="008B6313" w:rsidRPr="008B6313">
        <w:rPr>
          <w:rFonts w:ascii="Times New Roman" w:hAnsi="Times New Roman" w:cs="Times New Roman"/>
        </w:rPr>
        <w:t>i</w:t>
      </w:r>
      <w:r w:rsidRPr="008B6313">
        <w:rPr>
          <w:rFonts w:ascii="Times New Roman" w:hAnsi="Times New Roman" w:cs="Times New Roman"/>
        </w:rPr>
        <w:t xml:space="preserve"> (nr sprawy 15557/10) </w:t>
      </w:r>
      <w:r w:rsidR="008857CC" w:rsidRPr="008B6313">
        <w:rPr>
          <w:rFonts w:ascii="Times New Roman" w:hAnsi="Times New Roman" w:cs="Times New Roman"/>
        </w:rPr>
        <w:t xml:space="preserve">ECLI: </w:t>
      </w:r>
      <w:r w:rsidR="00B0150A" w:rsidRPr="008B6313">
        <w:rPr>
          <w:rFonts w:ascii="Times New Roman" w:hAnsi="Times New Roman" w:cs="Times New Roman"/>
        </w:rPr>
        <w:t>CE: ECHR: 2015:0908</w:t>
      </w:r>
      <w:r w:rsidRPr="008B6313">
        <w:rPr>
          <w:rFonts w:ascii="Times New Roman" w:hAnsi="Times New Roman" w:cs="Times New Roman"/>
        </w:rPr>
        <w:t>DEC001555710</w:t>
      </w:r>
    </w:p>
  </w:footnote>
  <w:footnote w:id="8">
    <w:p w14:paraId="421F2C0C" w14:textId="2437372B" w:rsidR="00F21AEB" w:rsidRPr="008857CC" w:rsidRDefault="00F21AEB" w:rsidP="00F21AEB">
      <w:pPr>
        <w:pStyle w:val="Tekstprzypisudolnego"/>
        <w:rPr>
          <w:rFonts w:ascii="Times New Roman" w:hAnsi="Times New Roman" w:cs="Times New Roman"/>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Punkt 44 wyroku ETPC w sprawie Trade Union in the Factory ‘4th November’ przeciwko Macedoni</w:t>
      </w:r>
    </w:p>
  </w:footnote>
  <w:footnote w:id="9">
    <w:p w14:paraId="0DD25DBA" w14:textId="7A3C295F" w:rsidR="00DC3132" w:rsidRPr="008857CC" w:rsidRDefault="00DC3132" w:rsidP="008857CC">
      <w:pPr>
        <w:pStyle w:val="Tekstprzypisudolnego"/>
        <w:jc w:val="both"/>
        <w:rPr>
          <w:rFonts w:ascii="Times New Roman" w:hAnsi="Times New Roman" w:cs="Times New Roman"/>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w:t>
      </w:r>
      <w:r w:rsidR="00023FA9" w:rsidRPr="008857CC">
        <w:rPr>
          <w:rFonts w:ascii="Times New Roman" w:hAnsi="Times New Roman" w:cs="Times New Roman"/>
        </w:rPr>
        <w:t>Wyrok ETPC z 21</w:t>
      </w:r>
      <w:r w:rsidR="00D833E7" w:rsidRPr="008857CC">
        <w:rPr>
          <w:rFonts w:ascii="Times New Roman" w:hAnsi="Times New Roman" w:cs="Times New Roman"/>
        </w:rPr>
        <w:t>.04.</w:t>
      </w:r>
      <w:r w:rsidR="00023FA9" w:rsidRPr="008857CC">
        <w:rPr>
          <w:rFonts w:ascii="Times New Roman" w:hAnsi="Times New Roman" w:cs="Times New Roman"/>
        </w:rPr>
        <w:t>2015</w:t>
      </w:r>
      <w:r w:rsidR="00D833E7" w:rsidRPr="008857CC">
        <w:rPr>
          <w:rFonts w:ascii="Times New Roman" w:hAnsi="Times New Roman" w:cs="Times New Roman"/>
        </w:rPr>
        <w:t xml:space="preserve"> </w:t>
      </w:r>
      <w:r w:rsidR="008857CC" w:rsidRPr="008857CC">
        <w:rPr>
          <w:rFonts w:ascii="Times New Roman" w:hAnsi="Times New Roman" w:cs="Times New Roman"/>
        </w:rPr>
        <w:t>r.,</w:t>
      </w:r>
      <w:r w:rsidR="00D833E7" w:rsidRPr="008857CC">
        <w:rPr>
          <w:rFonts w:ascii="Times New Roman" w:hAnsi="Times New Roman" w:cs="Times New Roman"/>
        </w:rPr>
        <w:t xml:space="preserve"> skarga 45892/09 </w:t>
      </w:r>
      <w:r w:rsidR="00023FA9" w:rsidRPr="008857CC">
        <w:rPr>
          <w:rFonts w:ascii="Times New Roman" w:hAnsi="Times New Roman" w:cs="Times New Roman"/>
        </w:rPr>
        <w:t xml:space="preserve">w sprawie Junta Rectora del Ertzainen Nazional Elkartasuna (Er.N.E.) przeciwko </w:t>
      </w:r>
      <w:r w:rsidR="00B0150A" w:rsidRPr="008857CC">
        <w:rPr>
          <w:rFonts w:ascii="Times New Roman" w:hAnsi="Times New Roman" w:cs="Times New Roman"/>
        </w:rPr>
        <w:t>Hiszpanii,</w:t>
      </w:r>
      <w:r w:rsidR="00023FA9" w:rsidRPr="008857CC">
        <w:rPr>
          <w:rFonts w:ascii="Times New Roman" w:hAnsi="Times New Roman" w:cs="Times New Roman"/>
        </w:rPr>
        <w:t xml:space="preserve"> </w:t>
      </w:r>
      <w:r w:rsidR="00B0150A" w:rsidRPr="008857CC">
        <w:rPr>
          <w:rFonts w:ascii="Times New Roman" w:hAnsi="Times New Roman" w:cs="Times New Roman"/>
        </w:rPr>
        <w:t>ECLI: CE: ECHR</w:t>
      </w:r>
      <w:r w:rsidR="00023FA9" w:rsidRPr="008857CC">
        <w:rPr>
          <w:rFonts w:ascii="Times New Roman" w:hAnsi="Times New Roman" w:cs="Times New Roman"/>
        </w:rPr>
        <w:t>:2015:0421JUD004589209</w:t>
      </w:r>
      <w:r w:rsidR="00253BEC" w:rsidRPr="008857CC">
        <w:rPr>
          <w:rFonts w:ascii="Times New Roman" w:hAnsi="Times New Roman" w:cs="Times New Roman"/>
        </w:rPr>
        <w:t xml:space="preserve">. </w:t>
      </w:r>
    </w:p>
  </w:footnote>
  <w:footnote w:id="10">
    <w:p w14:paraId="364BC164" w14:textId="64689769" w:rsidR="0000745E" w:rsidRPr="008857CC" w:rsidRDefault="0000745E" w:rsidP="00D833E7">
      <w:pPr>
        <w:pStyle w:val="Tekstprzypisudolnego"/>
        <w:jc w:val="both"/>
        <w:rPr>
          <w:rFonts w:ascii="Times New Roman" w:hAnsi="Times New Roman" w:cs="Times New Roman"/>
        </w:rPr>
      </w:pPr>
      <w:r w:rsidRPr="008857CC">
        <w:rPr>
          <w:rStyle w:val="Odwoanieprzypisudolnego"/>
          <w:rFonts w:ascii="Times New Roman" w:hAnsi="Times New Roman" w:cs="Times New Roman"/>
        </w:rPr>
        <w:footnoteRef/>
      </w:r>
      <w:r w:rsidR="002D696A" w:rsidRPr="008857CC">
        <w:rPr>
          <w:rFonts w:ascii="Times New Roman" w:hAnsi="Times New Roman" w:cs="Times New Roman"/>
        </w:rPr>
        <w:t xml:space="preserve"> Wyrok </w:t>
      </w:r>
      <w:bookmarkStart w:id="0" w:name="_Hlk190970400"/>
      <w:r w:rsidR="002D696A" w:rsidRPr="008857CC">
        <w:rPr>
          <w:rFonts w:ascii="Times New Roman" w:hAnsi="Times New Roman" w:cs="Times New Roman"/>
        </w:rPr>
        <w:t>ETPC z 4</w:t>
      </w:r>
      <w:r w:rsidR="00D833E7" w:rsidRPr="008857CC">
        <w:rPr>
          <w:rFonts w:ascii="Times New Roman" w:hAnsi="Times New Roman" w:cs="Times New Roman"/>
        </w:rPr>
        <w:t>.06.</w:t>
      </w:r>
      <w:r w:rsidR="002D696A" w:rsidRPr="008857CC">
        <w:rPr>
          <w:rFonts w:ascii="Times New Roman" w:hAnsi="Times New Roman" w:cs="Times New Roman"/>
        </w:rPr>
        <w:t>2015</w:t>
      </w:r>
      <w:r w:rsidR="00D833E7" w:rsidRPr="008857CC">
        <w:rPr>
          <w:rFonts w:ascii="Times New Roman" w:hAnsi="Times New Roman" w:cs="Times New Roman"/>
        </w:rPr>
        <w:t xml:space="preserve"> </w:t>
      </w:r>
      <w:r w:rsidR="008857CC" w:rsidRPr="008857CC">
        <w:rPr>
          <w:rFonts w:ascii="Times New Roman" w:hAnsi="Times New Roman" w:cs="Times New Roman"/>
        </w:rPr>
        <w:t>r.,</w:t>
      </w:r>
      <w:r w:rsidR="00D833E7" w:rsidRPr="008857CC">
        <w:rPr>
          <w:rFonts w:ascii="Times New Roman" w:hAnsi="Times New Roman" w:cs="Times New Roman"/>
        </w:rPr>
        <w:t xml:space="preserve"> skarga 51637/</w:t>
      </w:r>
      <w:r w:rsidR="00B0150A" w:rsidRPr="008857CC">
        <w:rPr>
          <w:rFonts w:ascii="Times New Roman" w:hAnsi="Times New Roman" w:cs="Times New Roman"/>
        </w:rPr>
        <w:t>12, w</w:t>
      </w:r>
      <w:r w:rsidR="002D696A" w:rsidRPr="008857CC">
        <w:rPr>
          <w:rFonts w:ascii="Times New Roman" w:hAnsi="Times New Roman" w:cs="Times New Roman"/>
        </w:rPr>
        <w:t xml:space="preserve"> sprawie Chitos przeciwko Grecji</w:t>
      </w:r>
      <w:bookmarkEnd w:id="0"/>
      <w:r w:rsidR="002D696A" w:rsidRPr="008857CC">
        <w:rPr>
          <w:rFonts w:ascii="Times New Roman" w:hAnsi="Times New Roman" w:cs="Times New Roman"/>
        </w:rPr>
        <w:t xml:space="preserve">, </w:t>
      </w:r>
      <w:r w:rsidR="00B0150A" w:rsidRPr="008857CC">
        <w:rPr>
          <w:rFonts w:ascii="Times New Roman" w:hAnsi="Times New Roman" w:cs="Times New Roman"/>
        </w:rPr>
        <w:t>ECLI: CE: ECHR</w:t>
      </w:r>
      <w:r w:rsidR="002D696A" w:rsidRPr="008857CC">
        <w:rPr>
          <w:rFonts w:ascii="Times New Roman" w:hAnsi="Times New Roman" w:cs="Times New Roman"/>
        </w:rPr>
        <w:t xml:space="preserve">:2015:0604JUD005163712  </w:t>
      </w:r>
    </w:p>
  </w:footnote>
  <w:footnote w:id="11">
    <w:p w14:paraId="5820B2F1" w14:textId="2AE8A803" w:rsidR="00702493" w:rsidRPr="008857CC" w:rsidRDefault="00702493" w:rsidP="00D833E7">
      <w:pPr>
        <w:pStyle w:val="Tekstprzypisudolnego"/>
        <w:jc w:val="both"/>
        <w:rPr>
          <w:rFonts w:ascii="Times New Roman" w:hAnsi="Times New Roman" w:cs="Times New Roman"/>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w:t>
      </w:r>
      <w:r w:rsidR="00B0175C" w:rsidRPr="008857CC">
        <w:rPr>
          <w:rFonts w:ascii="Times New Roman" w:hAnsi="Times New Roman" w:cs="Times New Roman"/>
        </w:rPr>
        <w:t xml:space="preserve"> Wyrok ETPC z 12</w:t>
      </w:r>
      <w:r w:rsidR="00D833E7" w:rsidRPr="008857CC">
        <w:rPr>
          <w:rFonts w:ascii="Times New Roman" w:hAnsi="Times New Roman" w:cs="Times New Roman"/>
        </w:rPr>
        <w:t>.11.</w:t>
      </w:r>
      <w:r w:rsidR="00B0175C" w:rsidRPr="008857CC">
        <w:rPr>
          <w:rFonts w:ascii="Times New Roman" w:hAnsi="Times New Roman" w:cs="Times New Roman"/>
        </w:rPr>
        <w:t xml:space="preserve">2008 </w:t>
      </w:r>
      <w:r w:rsidR="00D833E7" w:rsidRPr="008857CC">
        <w:rPr>
          <w:rFonts w:ascii="Times New Roman" w:hAnsi="Times New Roman" w:cs="Times New Roman"/>
        </w:rPr>
        <w:t xml:space="preserve">r., skarga 34503/97 </w:t>
      </w:r>
      <w:r w:rsidR="00B0175C" w:rsidRPr="008857CC">
        <w:rPr>
          <w:rFonts w:ascii="Times New Roman" w:hAnsi="Times New Roman" w:cs="Times New Roman"/>
        </w:rPr>
        <w:t xml:space="preserve">w sprawie Demir i Baykara przeciwko </w:t>
      </w:r>
      <w:r w:rsidR="008857CC" w:rsidRPr="008857CC">
        <w:rPr>
          <w:rFonts w:ascii="Times New Roman" w:hAnsi="Times New Roman" w:cs="Times New Roman"/>
        </w:rPr>
        <w:t xml:space="preserve">Turcji, </w:t>
      </w:r>
      <w:r w:rsidR="00B0150A" w:rsidRPr="008857CC">
        <w:rPr>
          <w:rFonts w:ascii="Times New Roman" w:hAnsi="Times New Roman" w:cs="Times New Roman"/>
        </w:rPr>
        <w:t>ECLI: CE: ECHR</w:t>
      </w:r>
      <w:r w:rsidR="00B0175C" w:rsidRPr="008857CC">
        <w:rPr>
          <w:rFonts w:ascii="Times New Roman" w:hAnsi="Times New Roman" w:cs="Times New Roman"/>
        </w:rPr>
        <w:t xml:space="preserve">:2008:1112JUD003450397  </w:t>
      </w:r>
    </w:p>
  </w:footnote>
  <w:footnote w:id="12">
    <w:p w14:paraId="30B8E043" w14:textId="3452137A" w:rsidR="0006760B" w:rsidRPr="008857CC" w:rsidRDefault="0006760B" w:rsidP="00CC6ADA">
      <w:pPr>
        <w:pStyle w:val="Tekstprzypisudolnego"/>
        <w:jc w:val="both"/>
        <w:rPr>
          <w:rFonts w:ascii="Times New Roman" w:hAnsi="Times New Roman" w:cs="Times New Roman"/>
          <w:color w:val="000000" w:themeColor="text1"/>
          <w:lang w:val="en-US"/>
        </w:rPr>
      </w:pPr>
      <w:r w:rsidRPr="008857CC">
        <w:rPr>
          <w:rStyle w:val="Odwoanieprzypisudolnego"/>
          <w:rFonts w:ascii="Times New Roman" w:hAnsi="Times New Roman" w:cs="Times New Roman"/>
        </w:rPr>
        <w:footnoteRef/>
      </w:r>
      <w:r w:rsidRPr="008857CC">
        <w:rPr>
          <w:rFonts w:ascii="Times New Roman" w:hAnsi="Times New Roman" w:cs="Times New Roman"/>
          <w:lang w:val="en-US"/>
        </w:rPr>
        <w:t xml:space="preserve"> </w:t>
      </w:r>
      <w:r w:rsidR="00E21343" w:rsidRPr="008857CC">
        <w:rPr>
          <w:rFonts w:ascii="Times New Roman" w:hAnsi="Times New Roman" w:cs="Times New Roman"/>
          <w:lang w:val="en-US"/>
        </w:rPr>
        <w:t>European Committee of Social R</w:t>
      </w:r>
      <w:r w:rsidR="00B34D5D">
        <w:rPr>
          <w:rFonts w:ascii="Times New Roman" w:hAnsi="Times New Roman" w:cs="Times New Roman"/>
          <w:lang w:val="en-US"/>
        </w:rPr>
        <w:t>i</w:t>
      </w:r>
      <w:r w:rsidR="00E21343" w:rsidRPr="008857CC">
        <w:rPr>
          <w:rFonts w:ascii="Times New Roman" w:hAnsi="Times New Roman" w:cs="Times New Roman"/>
          <w:lang w:val="en-US"/>
        </w:rPr>
        <w:t>ghts</w:t>
      </w:r>
      <w:r w:rsidR="000F44A1" w:rsidRPr="008857CC">
        <w:rPr>
          <w:rFonts w:ascii="Times New Roman" w:hAnsi="Times New Roman" w:cs="Times New Roman"/>
          <w:lang w:val="en-US"/>
        </w:rPr>
        <w:t xml:space="preserve">, </w:t>
      </w:r>
      <w:r w:rsidR="000F44A1" w:rsidRPr="008857CC">
        <w:rPr>
          <w:rFonts w:ascii="Times New Roman" w:hAnsi="Times New Roman" w:cs="Times New Roman"/>
          <w:i/>
          <w:iCs/>
          <w:lang w:val="en-US"/>
        </w:rPr>
        <w:t xml:space="preserve">Realising equal pay and equal opportunities for women in employment. Criteria developed by the European Committee </w:t>
      </w:r>
      <w:r w:rsidR="000F44A1" w:rsidRPr="008857CC">
        <w:rPr>
          <w:rFonts w:ascii="Times New Roman" w:hAnsi="Times New Roman" w:cs="Times New Roman"/>
          <w:i/>
          <w:iCs/>
          <w:color w:val="000000" w:themeColor="text1"/>
          <w:lang w:val="en-US"/>
        </w:rPr>
        <w:t>of Social Rights (ECSR)</w:t>
      </w:r>
      <w:r w:rsidR="006612CF" w:rsidRPr="008857CC">
        <w:rPr>
          <w:rFonts w:ascii="Times New Roman" w:hAnsi="Times New Roman" w:cs="Times New Roman"/>
          <w:color w:val="000000" w:themeColor="text1"/>
          <w:lang w:val="en-US"/>
        </w:rPr>
        <w:t>, 17</w:t>
      </w:r>
      <w:r w:rsidR="005A61FB">
        <w:rPr>
          <w:rFonts w:ascii="Times New Roman" w:hAnsi="Times New Roman" w:cs="Times New Roman"/>
          <w:color w:val="000000" w:themeColor="text1"/>
          <w:lang w:val="en-US"/>
        </w:rPr>
        <w:t>.11.</w:t>
      </w:r>
      <w:r w:rsidR="006612CF" w:rsidRPr="008857CC">
        <w:rPr>
          <w:rFonts w:ascii="Times New Roman" w:hAnsi="Times New Roman" w:cs="Times New Roman"/>
          <w:color w:val="000000" w:themeColor="text1"/>
          <w:lang w:val="en-US"/>
        </w:rPr>
        <w:t>2020 r.</w:t>
      </w:r>
      <w:r w:rsidR="00D070F7" w:rsidRPr="008857CC">
        <w:rPr>
          <w:rFonts w:ascii="Times New Roman" w:hAnsi="Times New Roman" w:cs="Times New Roman"/>
          <w:color w:val="000000" w:themeColor="text1"/>
          <w:lang w:val="en-US"/>
        </w:rPr>
        <w:t xml:space="preserve">, </w:t>
      </w:r>
      <w:hyperlink r:id="rId2" w:history="1">
        <w:r w:rsidR="00D070F7" w:rsidRPr="008857CC">
          <w:rPr>
            <w:rStyle w:val="Hipercze"/>
            <w:rFonts w:ascii="Times New Roman" w:hAnsi="Times New Roman" w:cs="Times New Roman"/>
            <w:color w:val="000000" w:themeColor="text1"/>
            <w:u w:val="none"/>
            <w:lang w:val="en-US"/>
          </w:rPr>
          <w:t>https://www.coe.int/en/web/european-social-charter/-/criteria-developed-by-the-european-committee-of-social-rights-relating-to-equal-pay-and-equal-opportunities-in-employment</w:t>
        </w:r>
      </w:hyperlink>
      <w:r w:rsidR="00D070F7" w:rsidRPr="008857CC">
        <w:rPr>
          <w:rFonts w:ascii="Times New Roman" w:hAnsi="Times New Roman" w:cs="Times New Roman"/>
          <w:color w:val="000000" w:themeColor="text1"/>
          <w:lang w:val="en-US"/>
        </w:rPr>
        <w:t xml:space="preserve"> (dostęp: 21.02.2025 r.). </w:t>
      </w:r>
    </w:p>
  </w:footnote>
  <w:footnote w:id="13">
    <w:p w14:paraId="209BD26F" w14:textId="7B7F3001" w:rsidR="0006760B" w:rsidRPr="000F60B4" w:rsidRDefault="0006760B" w:rsidP="0006760B">
      <w:pPr>
        <w:pStyle w:val="Tekstprzypisudolnego"/>
        <w:jc w:val="both"/>
        <w:rPr>
          <w:rFonts w:ascii="Times New Roman" w:hAnsi="Times New Roman" w:cs="Times New Roman"/>
          <w:lang w:val="en-US"/>
        </w:rPr>
      </w:pPr>
      <w:r w:rsidRPr="008857CC">
        <w:rPr>
          <w:rStyle w:val="Odwoanieprzypisudolnego"/>
          <w:rFonts w:ascii="Times New Roman" w:hAnsi="Times New Roman" w:cs="Times New Roman"/>
          <w:color w:val="000000" w:themeColor="text1"/>
        </w:rPr>
        <w:footnoteRef/>
      </w:r>
      <w:r w:rsidRPr="008857CC">
        <w:rPr>
          <w:rFonts w:ascii="Times New Roman" w:hAnsi="Times New Roman" w:cs="Times New Roman"/>
          <w:color w:val="000000" w:themeColor="text1"/>
          <w:lang w:val="en-US"/>
        </w:rPr>
        <w:t xml:space="preserve"> O. Lobel, </w:t>
      </w:r>
      <w:r w:rsidRPr="008857CC">
        <w:rPr>
          <w:rFonts w:ascii="Times New Roman" w:hAnsi="Times New Roman" w:cs="Times New Roman"/>
          <w:i/>
          <w:iCs/>
          <w:color w:val="000000" w:themeColor="text1"/>
          <w:lang w:val="en-US"/>
        </w:rPr>
        <w:t xml:space="preserve">Knowledge Pays: Reversing Information Flows and the Future </w:t>
      </w:r>
      <w:r w:rsidRPr="000F60B4">
        <w:rPr>
          <w:rFonts w:ascii="Times New Roman" w:hAnsi="Times New Roman" w:cs="Times New Roman"/>
          <w:i/>
          <w:iCs/>
          <w:lang w:val="en-US"/>
        </w:rPr>
        <w:t>of Pay Equity</w:t>
      </w:r>
      <w:r w:rsidRPr="000F60B4">
        <w:rPr>
          <w:rFonts w:ascii="Times New Roman" w:hAnsi="Times New Roman" w:cs="Times New Roman"/>
          <w:lang w:val="en-US"/>
        </w:rPr>
        <w:t xml:space="preserve">, Columbia Law Review  2020, Vol. 120, s. 549; Komisja Europejska, </w:t>
      </w:r>
      <w:r w:rsidRPr="000F60B4">
        <w:rPr>
          <w:rFonts w:ascii="Times New Roman" w:hAnsi="Times New Roman" w:cs="Times New Roman"/>
          <w:i/>
          <w:iCs/>
          <w:lang w:val="en-US"/>
        </w:rPr>
        <w:t>Impact Assessment Accompanying ‘Proposal for a Directive of the European Parliament and of the Council to strengthen the application of the principle of equal pay for equal work or work of equal value between men and women through pay transparency mechanisms’</w:t>
      </w:r>
      <w:r w:rsidRPr="000F60B4">
        <w:rPr>
          <w:rFonts w:ascii="Times New Roman" w:hAnsi="Times New Roman" w:cs="Times New Roman"/>
          <w:lang w:val="en-US"/>
        </w:rPr>
        <w:t xml:space="preserve"> SWD(2021) 41 final, s. 6; V. Hooton, H. Pearce, </w:t>
      </w:r>
      <w:r w:rsidRPr="000F60B4">
        <w:rPr>
          <w:rFonts w:ascii="Times New Roman" w:hAnsi="Times New Roman" w:cs="Times New Roman"/>
          <w:i/>
          <w:iCs/>
          <w:lang w:val="en-US"/>
        </w:rPr>
        <w:t>Pay Transparency, Information Access Rights and Data Protection Law: Exploring Viable Alternatives to Disclosure Orders in Equal Pay Litigation</w:t>
      </w:r>
      <w:r w:rsidRPr="000F60B4">
        <w:rPr>
          <w:rFonts w:ascii="Times New Roman" w:hAnsi="Times New Roman" w:cs="Times New Roman"/>
          <w:lang w:val="en-US"/>
        </w:rPr>
        <w:t>, Industrial Law Journal 2023, Vol. 52, No. 3, s. 595-634</w:t>
      </w:r>
      <w:r w:rsidR="00550001">
        <w:rPr>
          <w:rFonts w:ascii="Times New Roman" w:hAnsi="Times New Roman" w:cs="Times New Roman"/>
          <w:lang w:val="en-US"/>
        </w:rPr>
        <w:t xml:space="preserve">; </w:t>
      </w:r>
      <w:r w:rsidR="00550001" w:rsidRPr="00550001">
        <w:rPr>
          <w:rFonts w:ascii="Times New Roman" w:hAnsi="Times New Roman" w:cs="Times New Roman"/>
          <w:lang w:val="en-US"/>
        </w:rPr>
        <w:t>M.  Ceballos, A. Masselot, R. Watt, Pay Transparency across Countries and Legal Systems. CESifo Forum, Vol. 23, No. 02, 2022, s. 4. Available: https://www.cesifo.org/en/publications/2022/article-journal/pay-transparency-across-countries-and-legal-systems [dostęp: 31.01.2025].</w:t>
      </w:r>
    </w:p>
  </w:footnote>
  <w:footnote w:id="14">
    <w:p w14:paraId="1FD2AF77" w14:textId="387861ED" w:rsidR="000F60B4" w:rsidRPr="000F60B4" w:rsidRDefault="000F60B4" w:rsidP="008857CC">
      <w:pPr>
        <w:pStyle w:val="Tekstprzypisudolnego"/>
        <w:jc w:val="both"/>
        <w:rPr>
          <w:rFonts w:cs="Times New Roman"/>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Dyrektywa Parlamentu Europejskiego i Rady (UE) 2023/970 w sprawie wzmocnienia stosowania zasady równości wynagrodzeń dla mężczyzn i kobiet za taką samą pracę lub pracę o takiej samej wartości za pośrednictwem mechanizmów przejrzystości wynagrodzeń oraz mechanizmów egzekwowania, Dz.U.UE.L.2023.132.21.</w:t>
      </w:r>
    </w:p>
  </w:footnote>
  <w:footnote w:id="15">
    <w:p w14:paraId="54B1092A" w14:textId="6ABDBF10" w:rsidR="0048137A" w:rsidRPr="00CC6ADA" w:rsidRDefault="0048137A" w:rsidP="00CC6ADA">
      <w:pPr>
        <w:pStyle w:val="Tekstprzypisudolnego"/>
        <w:jc w:val="both"/>
        <w:rPr>
          <w:lang w:val="en-US"/>
        </w:rPr>
      </w:pPr>
      <w:r>
        <w:rPr>
          <w:rStyle w:val="Odwoanieprzypisudolnego"/>
        </w:rPr>
        <w:footnoteRef/>
      </w:r>
      <w:r w:rsidRPr="00CC6ADA">
        <w:rPr>
          <w:lang w:val="en-US"/>
        </w:rPr>
        <w:t xml:space="preserve"> </w:t>
      </w:r>
      <w:r w:rsidR="00AE7B07" w:rsidRPr="00CC6ADA">
        <w:rPr>
          <w:rFonts w:ascii="Times New Roman" w:hAnsi="Times New Roman" w:cs="Times New Roman"/>
          <w:lang w:val="en-US"/>
        </w:rPr>
        <w:t xml:space="preserve">A. Veldman, </w:t>
      </w:r>
      <w:r w:rsidR="00AE7B07" w:rsidRPr="00CC6ADA">
        <w:rPr>
          <w:rFonts w:ascii="Times New Roman" w:hAnsi="Times New Roman" w:cs="Times New Roman"/>
          <w:i/>
          <w:iCs/>
          <w:lang w:val="en-US"/>
        </w:rPr>
        <w:t>Pay Transparency in the EU – A legal analysis of the situation in the EU Member States, Iceland, Liechtenstein and Norway</w:t>
      </w:r>
      <w:r w:rsidR="00AE7B07" w:rsidRPr="00CC6ADA">
        <w:rPr>
          <w:rFonts w:ascii="Times New Roman" w:hAnsi="Times New Roman" w:cs="Times New Roman"/>
          <w:lang w:val="en-US"/>
        </w:rPr>
        <w:t>, European Network of Legal Experts in Gender Equality and Non-Discrimination, Luxembourg 2017, s. 27</w:t>
      </w:r>
      <w:r w:rsidR="000F60B4">
        <w:rPr>
          <w:rFonts w:ascii="Times New Roman" w:hAnsi="Times New Roman" w:cs="Times New Roman"/>
          <w:lang w:val="en-US"/>
        </w:rPr>
        <w:t>.</w:t>
      </w:r>
    </w:p>
  </w:footnote>
  <w:footnote w:id="16">
    <w:p w14:paraId="73D1C27A" w14:textId="5E41B49C" w:rsidR="0098339A" w:rsidRPr="008857CC" w:rsidRDefault="0098339A" w:rsidP="008857CC">
      <w:pPr>
        <w:pStyle w:val="Tekstprzypisudolnego"/>
        <w:jc w:val="both"/>
        <w:rPr>
          <w:rFonts w:ascii="Times New Roman" w:hAnsi="Times New Roman" w:cs="Times New Roman"/>
          <w:color w:val="000000" w:themeColor="text1"/>
        </w:rPr>
      </w:pPr>
      <w:r w:rsidRPr="008857CC">
        <w:rPr>
          <w:rStyle w:val="Odwoanieprzypisudolnego"/>
          <w:rFonts w:ascii="Times New Roman" w:hAnsi="Times New Roman" w:cs="Times New Roman"/>
          <w:color w:val="000000" w:themeColor="text1"/>
        </w:rPr>
        <w:footnoteRef/>
      </w:r>
      <w:r w:rsidRPr="008857CC">
        <w:rPr>
          <w:rFonts w:ascii="Times New Roman" w:hAnsi="Times New Roman" w:cs="Times New Roman"/>
          <w:color w:val="000000" w:themeColor="text1"/>
        </w:rPr>
        <w:t xml:space="preserve"> Protokół nr 1 i nr 4 do Konwencji o ochronie praw człowieka i podstawowych wolności sporządzony w Paryżu dnia 20 marca 1952 r. oraz sporządzony w Strasburgu dnia 16 września 1963 r., Dz.U.1995.36.175/1.</w:t>
      </w:r>
    </w:p>
  </w:footnote>
  <w:footnote w:id="17">
    <w:p w14:paraId="52C92D37" w14:textId="1410B1AC" w:rsidR="00B61A41" w:rsidRPr="008857CC" w:rsidRDefault="00B61A41" w:rsidP="008857CC">
      <w:pPr>
        <w:pStyle w:val="Tekstprzypisudolnego"/>
        <w:jc w:val="both"/>
        <w:rPr>
          <w:rFonts w:ascii="Times New Roman" w:hAnsi="Times New Roman" w:cs="Times New Roman"/>
          <w:color w:val="000000" w:themeColor="text1"/>
        </w:rPr>
      </w:pPr>
      <w:r w:rsidRPr="008857CC">
        <w:rPr>
          <w:rStyle w:val="Odwoanieprzypisudolnego"/>
          <w:rFonts w:ascii="Times New Roman" w:hAnsi="Times New Roman" w:cs="Times New Roman"/>
          <w:color w:val="000000" w:themeColor="text1"/>
        </w:rPr>
        <w:footnoteRef/>
      </w:r>
      <w:r w:rsidRPr="008857CC">
        <w:rPr>
          <w:rFonts w:ascii="Times New Roman" w:hAnsi="Times New Roman" w:cs="Times New Roman"/>
          <w:color w:val="000000" w:themeColor="text1"/>
        </w:rPr>
        <w:t xml:space="preserve"> </w:t>
      </w:r>
      <w:r w:rsidR="005A61FB">
        <w:rPr>
          <w:rFonts w:ascii="Times New Roman" w:hAnsi="Times New Roman" w:cs="Times New Roman"/>
          <w:color w:val="000000" w:themeColor="text1"/>
        </w:rPr>
        <w:t xml:space="preserve">M. A. </w:t>
      </w:r>
      <w:r w:rsidRPr="008857CC">
        <w:rPr>
          <w:rFonts w:ascii="Times New Roman" w:hAnsi="Times New Roman" w:cs="Times New Roman"/>
          <w:color w:val="000000" w:themeColor="text1"/>
        </w:rPr>
        <w:t xml:space="preserve">Nowicki, </w:t>
      </w:r>
      <w:r w:rsidR="005A61FB">
        <w:rPr>
          <w:rFonts w:ascii="Times New Roman" w:hAnsi="Times New Roman" w:cs="Times New Roman"/>
          <w:i/>
          <w:iCs/>
          <w:color w:val="000000" w:themeColor="text1"/>
        </w:rPr>
        <w:t xml:space="preserve">Wokół Konwencji Europejskiej. Komentarz do Europejskiej Konwencji Praw Człowieka, </w:t>
      </w:r>
      <w:r w:rsidR="005A61FB">
        <w:rPr>
          <w:rFonts w:ascii="Times New Roman" w:hAnsi="Times New Roman" w:cs="Times New Roman"/>
          <w:color w:val="000000" w:themeColor="text1"/>
        </w:rPr>
        <w:t xml:space="preserve">Warszawa 2021, </w:t>
      </w:r>
      <w:r w:rsidRPr="008857CC">
        <w:rPr>
          <w:rFonts w:ascii="Times New Roman" w:hAnsi="Times New Roman" w:cs="Times New Roman"/>
          <w:color w:val="000000" w:themeColor="text1"/>
        </w:rPr>
        <w:t>s. 1028.</w:t>
      </w:r>
    </w:p>
  </w:footnote>
  <w:footnote w:id="18">
    <w:p w14:paraId="6350EDFC" w14:textId="3C4F018D" w:rsidR="00BF2189" w:rsidRPr="008857CC" w:rsidRDefault="00BF2189" w:rsidP="008857CC">
      <w:pPr>
        <w:pStyle w:val="Tekstprzypisudolnego"/>
        <w:jc w:val="both"/>
        <w:rPr>
          <w:rFonts w:ascii="Times New Roman" w:hAnsi="Times New Roman" w:cs="Times New Roman"/>
          <w:color w:val="000000" w:themeColor="text1"/>
        </w:rPr>
      </w:pPr>
      <w:r w:rsidRPr="008857CC">
        <w:rPr>
          <w:rStyle w:val="Odwoanieprzypisudolnego"/>
          <w:rFonts w:ascii="Times New Roman" w:hAnsi="Times New Roman" w:cs="Times New Roman"/>
          <w:color w:val="000000" w:themeColor="text1"/>
        </w:rPr>
        <w:footnoteRef/>
      </w:r>
      <w:r w:rsidRPr="008857CC">
        <w:rPr>
          <w:rFonts w:ascii="Times New Roman" w:hAnsi="Times New Roman" w:cs="Times New Roman"/>
          <w:color w:val="000000" w:themeColor="text1"/>
        </w:rPr>
        <w:t xml:space="preserve"> </w:t>
      </w:r>
      <w:r w:rsidR="0081532A" w:rsidRPr="008857CC">
        <w:rPr>
          <w:rFonts w:ascii="Times New Roman" w:hAnsi="Times New Roman" w:cs="Times New Roman"/>
          <w:color w:val="000000" w:themeColor="text1"/>
        </w:rPr>
        <w:t xml:space="preserve">Pkt 54 wyroku ETPC z 25.03.1999 r., skarga </w:t>
      </w:r>
      <w:hyperlink r:id="rId3" w:anchor="{%22appno%22:[%2231107/96%22]}" w:tgtFrame="_blank" w:history="1">
        <w:r w:rsidR="0081532A" w:rsidRPr="008857CC">
          <w:rPr>
            <w:rStyle w:val="Hipercze"/>
            <w:rFonts w:ascii="Times New Roman" w:hAnsi="Times New Roman" w:cs="Times New Roman"/>
            <w:color w:val="000000" w:themeColor="text1"/>
            <w:kern w:val="2"/>
            <w:u w:val="none"/>
          </w:rPr>
          <w:t>31107/96</w:t>
        </w:r>
      </w:hyperlink>
      <w:r w:rsidR="0081532A" w:rsidRPr="008857CC">
        <w:rPr>
          <w:rFonts w:ascii="Times New Roman" w:hAnsi="Times New Roman" w:cs="Times New Roman"/>
          <w:color w:val="000000" w:themeColor="text1"/>
          <w:kern w:val="2"/>
        </w:rPr>
        <w:t xml:space="preserve">, </w:t>
      </w:r>
      <w:r w:rsidRPr="008857CC">
        <w:rPr>
          <w:rFonts w:ascii="Times New Roman" w:hAnsi="Times New Roman" w:cs="Times New Roman"/>
          <w:color w:val="000000" w:themeColor="text1"/>
          <w:kern w:val="2"/>
        </w:rPr>
        <w:t>Iatridis przeciwko Grecji</w:t>
      </w:r>
      <w:r w:rsidR="0081532A" w:rsidRPr="008857CC">
        <w:rPr>
          <w:rFonts w:ascii="Times New Roman" w:hAnsi="Times New Roman" w:cs="Times New Roman"/>
          <w:color w:val="000000" w:themeColor="text1"/>
          <w:kern w:val="2"/>
        </w:rPr>
        <w:t xml:space="preserve">, </w:t>
      </w:r>
      <w:hyperlink r:id="rId4" w:history="1">
        <w:r w:rsidR="0081532A" w:rsidRPr="0081532A">
          <w:rPr>
            <w:rStyle w:val="Hipercze"/>
            <w:rFonts w:ascii="Times New Roman" w:hAnsi="Times New Roman" w:cs="Times New Roman"/>
            <w:color w:val="000000" w:themeColor="text1"/>
            <w:u w:val="none"/>
          </w:rPr>
          <w:t>https://hudoc.echr.coe.int/</w:t>
        </w:r>
      </w:hyperlink>
      <w:r w:rsidR="0081532A" w:rsidRPr="0081532A">
        <w:rPr>
          <w:rFonts w:ascii="Times New Roman" w:hAnsi="Times New Roman" w:cs="Times New Roman"/>
          <w:color w:val="000000" w:themeColor="text1"/>
        </w:rPr>
        <w:t xml:space="preserve"> (dostęp 16.02.2025 r.).</w:t>
      </w:r>
    </w:p>
  </w:footnote>
  <w:footnote w:id="19">
    <w:p w14:paraId="22EC0074" w14:textId="1D314C5D" w:rsidR="0081532A" w:rsidRPr="008857CC" w:rsidRDefault="0081532A" w:rsidP="008857CC">
      <w:pPr>
        <w:pStyle w:val="Tekstprzypisudolnego"/>
        <w:jc w:val="both"/>
        <w:rPr>
          <w:rFonts w:ascii="Times New Roman" w:hAnsi="Times New Roman" w:cs="Times New Roman"/>
          <w:color w:val="000000" w:themeColor="text1"/>
        </w:rPr>
      </w:pPr>
      <w:r w:rsidRPr="008857CC">
        <w:rPr>
          <w:rStyle w:val="Odwoanieprzypisudolnego"/>
          <w:rFonts w:ascii="Times New Roman" w:hAnsi="Times New Roman" w:cs="Times New Roman"/>
        </w:rPr>
        <w:footnoteRef/>
      </w:r>
      <w:r w:rsidRPr="008857CC">
        <w:rPr>
          <w:rFonts w:ascii="Times New Roman" w:hAnsi="Times New Roman" w:cs="Times New Roman"/>
        </w:rPr>
        <w:t xml:space="preserve">  Wyrok Wielkiej Izby ETPC z 13.12.2016 r., skarga 53080/13, </w:t>
      </w:r>
      <w:r w:rsidRPr="008857CC">
        <w:rPr>
          <w:rFonts w:ascii="Times New Roman" w:hAnsi="Times New Roman" w:cs="Times New Roman"/>
          <w:kern w:val="2"/>
        </w:rPr>
        <w:t xml:space="preserve">Béláné Nagy przeciwko Węgrom, </w:t>
      </w:r>
      <w:hyperlink r:id="rId5" w:history="1">
        <w:r w:rsidRPr="0081532A">
          <w:rPr>
            <w:rStyle w:val="Hipercze"/>
            <w:rFonts w:ascii="Times New Roman" w:hAnsi="Times New Roman" w:cs="Times New Roman"/>
            <w:color w:val="000000" w:themeColor="text1"/>
            <w:u w:val="none"/>
          </w:rPr>
          <w:t>https://hudoc.echr.coe.int/</w:t>
        </w:r>
      </w:hyperlink>
      <w:r w:rsidRPr="0081532A">
        <w:rPr>
          <w:rFonts w:ascii="Times New Roman" w:hAnsi="Times New Roman" w:cs="Times New Roman"/>
          <w:color w:val="000000" w:themeColor="text1"/>
        </w:rPr>
        <w:t xml:space="preserve"> (dostęp 16.02.2025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F0DDB"/>
    <w:multiLevelType w:val="hybridMultilevel"/>
    <w:tmpl w:val="6EBA616E"/>
    <w:lvl w:ilvl="0" w:tplc="657CC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C7E3CDF"/>
    <w:multiLevelType w:val="hybridMultilevel"/>
    <w:tmpl w:val="50E4AE4E"/>
    <w:lvl w:ilvl="0" w:tplc="05CE013A">
      <w:start w:val="3"/>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3DCA2CA3"/>
    <w:multiLevelType w:val="hybridMultilevel"/>
    <w:tmpl w:val="E14A8AB0"/>
    <w:lvl w:ilvl="0" w:tplc="6A1E835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65308826">
    <w:abstractNumId w:val="0"/>
  </w:num>
  <w:num w:numId="2" w16cid:durableId="625620094">
    <w:abstractNumId w:val="1"/>
  </w:num>
  <w:num w:numId="3" w16cid:durableId="1922182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5B"/>
    <w:rsid w:val="00003A3D"/>
    <w:rsid w:val="0000745E"/>
    <w:rsid w:val="0001101C"/>
    <w:rsid w:val="00013045"/>
    <w:rsid w:val="00022926"/>
    <w:rsid w:val="00023FA9"/>
    <w:rsid w:val="00025E5E"/>
    <w:rsid w:val="0002763D"/>
    <w:rsid w:val="000321F4"/>
    <w:rsid w:val="00035A96"/>
    <w:rsid w:val="00036DB3"/>
    <w:rsid w:val="0003792E"/>
    <w:rsid w:val="00040A86"/>
    <w:rsid w:val="00041C7A"/>
    <w:rsid w:val="00056744"/>
    <w:rsid w:val="00057EC8"/>
    <w:rsid w:val="0006007E"/>
    <w:rsid w:val="0006760B"/>
    <w:rsid w:val="00070940"/>
    <w:rsid w:val="00074B50"/>
    <w:rsid w:val="000808A7"/>
    <w:rsid w:val="00082B94"/>
    <w:rsid w:val="0008442C"/>
    <w:rsid w:val="00096B1F"/>
    <w:rsid w:val="000A38E0"/>
    <w:rsid w:val="000A4BC0"/>
    <w:rsid w:val="000A71BC"/>
    <w:rsid w:val="000B5530"/>
    <w:rsid w:val="000C2519"/>
    <w:rsid w:val="000C636F"/>
    <w:rsid w:val="000D1B9E"/>
    <w:rsid w:val="000E1461"/>
    <w:rsid w:val="000E4734"/>
    <w:rsid w:val="000F3F1F"/>
    <w:rsid w:val="000F44A1"/>
    <w:rsid w:val="000F4619"/>
    <w:rsid w:val="000F60B4"/>
    <w:rsid w:val="00100F5A"/>
    <w:rsid w:val="00101922"/>
    <w:rsid w:val="00101C56"/>
    <w:rsid w:val="00102105"/>
    <w:rsid w:val="00104A55"/>
    <w:rsid w:val="001050AB"/>
    <w:rsid w:val="001064DD"/>
    <w:rsid w:val="00106B72"/>
    <w:rsid w:val="001116B4"/>
    <w:rsid w:val="00117B2A"/>
    <w:rsid w:val="00120241"/>
    <w:rsid w:val="001225A0"/>
    <w:rsid w:val="001249BB"/>
    <w:rsid w:val="00126E20"/>
    <w:rsid w:val="00130B1D"/>
    <w:rsid w:val="001372BA"/>
    <w:rsid w:val="001425C9"/>
    <w:rsid w:val="00145F0B"/>
    <w:rsid w:val="001474C6"/>
    <w:rsid w:val="00147B26"/>
    <w:rsid w:val="0015105C"/>
    <w:rsid w:val="0015373B"/>
    <w:rsid w:val="00154CE5"/>
    <w:rsid w:val="001572CB"/>
    <w:rsid w:val="00162958"/>
    <w:rsid w:val="00184EB0"/>
    <w:rsid w:val="001A4E76"/>
    <w:rsid w:val="001A563B"/>
    <w:rsid w:val="001A606D"/>
    <w:rsid w:val="001A74AD"/>
    <w:rsid w:val="001B247E"/>
    <w:rsid w:val="001B2848"/>
    <w:rsid w:val="001B35F0"/>
    <w:rsid w:val="001B35FE"/>
    <w:rsid w:val="001B73C6"/>
    <w:rsid w:val="001B7E4A"/>
    <w:rsid w:val="001C09C3"/>
    <w:rsid w:val="001C216E"/>
    <w:rsid w:val="001D0CBE"/>
    <w:rsid w:val="001D1FB6"/>
    <w:rsid w:val="001D347E"/>
    <w:rsid w:val="001D44F9"/>
    <w:rsid w:val="001D7CD8"/>
    <w:rsid w:val="001F4BA8"/>
    <w:rsid w:val="001F6CA9"/>
    <w:rsid w:val="002074DD"/>
    <w:rsid w:val="0021275C"/>
    <w:rsid w:val="00216876"/>
    <w:rsid w:val="002169C7"/>
    <w:rsid w:val="002241A1"/>
    <w:rsid w:val="002325DC"/>
    <w:rsid w:val="00246245"/>
    <w:rsid w:val="00246440"/>
    <w:rsid w:val="002525BF"/>
    <w:rsid w:val="00253BEC"/>
    <w:rsid w:val="00254F1E"/>
    <w:rsid w:val="002627A2"/>
    <w:rsid w:val="002673B0"/>
    <w:rsid w:val="002674E7"/>
    <w:rsid w:val="0027270B"/>
    <w:rsid w:val="00276BB2"/>
    <w:rsid w:val="002813A0"/>
    <w:rsid w:val="00282828"/>
    <w:rsid w:val="00283FAE"/>
    <w:rsid w:val="0028488F"/>
    <w:rsid w:val="002925F4"/>
    <w:rsid w:val="00294B81"/>
    <w:rsid w:val="002A03A6"/>
    <w:rsid w:val="002A5195"/>
    <w:rsid w:val="002A536C"/>
    <w:rsid w:val="002A7D37"/>
    <w:rsid w:val="002B349F"/>
    <w:rsid w:val="002B3F37"/>
    <w:rsid w:val="002B7180"/>
    <w:rsid w:val="002C3550"/>
    <w:rsid w:val="002C50F2"/>
    <w:rsid w:val="002C6FE1"/>
    <w:rsid w:val="002D4C6F"/>
    <w:rsid w:val="002D510C"/>
    <w:rsid w:val="002D696A"/>
    <w:rsid w:val="002D7B9D"/>
    <w:rsid w:val="002E2ED5"/>
    <w:rsid w:val="002E4631"/>
    <w:rsid w:val="002F5378"/>
    <w:rsid w:val="002F550E"/>
    <w:rsid w:val="002F5E27"/>
    <w:rsid w:val="0030196F"/>
    <w:rsid w:val="00306702"/>
    <w:rsid w:val="00306718"/>
    <w:rsid w:val="00317D40"/>
    <w:rsid w:val="00323174"/>
    <w:rsid w:val="00330A35"/>
    <w:rsid w:val="00341524"/>
    <w:rsid w:val="00341F30"/>
    <w:rsid w:val="00344D5F"/>
    <w:rsid w:val="0034528F"/>
    <w:rsid w:val="00352160"/>
    <w:rsid w:val="00353FE8"/>
    <w:rsid w:val="00367701"/>
    <w:rsid w:val="00373302"/>
    <w:rsid w:val="00373E9A"/>
    <w:rsid w:val="00375510"/>
    <w:rsid w:val="00377F12"/>
    <w:rsid w:val="00381B9A"/>
    <w:rsid w:val="00392CFA"/>
    <w:rsid w:val="00393F2A"/>
    <w:rsid w:val="00396D44"/>
    <w:rsid w:val="003A0212"/>
    <w:rsid w:val="003A089D"/>
    <w:rsid w:val="003A1F52"/>
    <w:rsid w:val="003A2DD3"/>
    <w:rsid w:val="003A47FF"/>
    <w:rsid w:val="003C0C9A"/>
    <w:rsid w:val="003C6070"/>
    <w:rsid w:val="003C71E0"/>
    <w:rsid w:val="003D2D59"/>
    <w:rsid w:val="003D3D51"/>
    <w:rsid w:val="003E52E1"/>
    <w:rsid w:val="003E746D"/>
    <w:rsid w:val="003F2DB2"/>
    <w:rsid w:val="003F7F71"/>
    <w:rsid w:val="004003D7"/>
    <w:rsid w:val="00400BDB"/>
    <w:rsid w:val="00402EE8"/>
    <w:rsid w:val="00406229"/>
    <w:rsid w:val="00411D6D"/>
    <w:rsid w:val="004133EB"/>
    <w:rsid w:val="00420964"/>
    <w:rsid w:val="004225AF"/>
    <w:rsid w:val="0042260D"/>
    <w:rsid w:val="0042442B"/>
    <w:rsid w:val="004245D0"/>
    <w:rsid w:val="004258E5"/>
    <w:rsid w:val="00426F48"/>
    <w:rsid w:val="00427D53"/>
    <w:rsid w:val="004331A0"/>
    <w:rsid w:val="0045086D"/>
    <w:rsid w:val="00451C1F"/>
    <w:rsid w:val="0045507F"/>
    <w:rsid w:val="004655E1"/>
    <w:rsid w:val="00470DCD"/>
    <w:rsid w:val="00475498"/>
    <w:rsid w:val="0048137A"/>
    <w:rsid w:val="00483175"/>
    <w:rsid w:val="0048517E"/>
    <w:rsid w:val="00487ABD"/>
    <w:rsid w:val="004A12C5"/>
    <w:rsid w:val="004A3F10"/>
    <w:rsid w:val="004B3BB1"/>
    <w:rsid w:val="004C01E6"/>
    <w:rsid w:val="004C1A92"/>
    <w:rsid w:val="004C1B8F"/>
    <w:rsid w:val="004C3E8E"/>
    <w:rsid w:val="004C740A"/>
    <w:rsid w:val="004C7CF4"/>
    <w:rsid w:val="004D1529"/>
    <w:rsid w:val="004D3130"/>
    <w:rsid w:val="004D7B9E"/>
    <w:rsid w:val="004D7DA5"/>
    <w:rsid w:val="004E5CA4"/>
    <w:rsid w:val="004E5E89"/>
    <w:rsid w:val="004F63D0"/>
    <w:rsid w:val="004F6D80"/>
    <w:rsid w:val="00506278"/>
    <w:rsid w:val="00506883"/>
    <w:rsid w:val="005117DE"/>
    <w:rsid w:val="005176C8"/>
    <w:rsid w:val="005219F2"/>
    <w:rsid w:val="00533C75"/>
    <w:rsid w:val="00534092"/>
    <w:rsid w:val="00534308"/>
    <w:rsid w:val="005363BF"/>
    <w:rsid w:val="00536523"/>
    <w:rsid w:val="00536EC6"/>
    <w:rsid w:val="00544189"/>
    <w:rsid w:val="0054565B"/>
    <w:rsid w:val="0054583E"/>
    <w:rsid w:val="00545C61"/>
    <w:rsid w:val="00547F63"/>
    <w:rsid w:val="00550001"/>
    <w:rsid w:val="00553084"/>
    <w:rsid w:val="00554470"/>
    <w:rsid w:val="00556392"/>
    <w:rsid w:val="00563415"/>
    <w:rsid w:val="00567EAF"/>
    <w:rsid w:val="00581BD2"/>
    <w:rsid w:val="005878E0"/>
    <w:rsid w:val="005958BA"/>
    <w:rsid w:val="005A1213"/>
    <w:rsid w:val="005A2BFB"/>
    <w:rsid w:val="005A61FB"/>
    <w:rsid w:val="005B03E8"/>
    <w:rsid w:val="005B145F"/>
    <w:rsid w:val="005B2DC6"/>
    <w:rsid w:val="005B46C1"/>
    <w:rsid w:val="005C2416"/>
    <w:rsid w:val="005C4693"/>
    <w:rsid w:val="005C537C"/>
    <w:rsid w:val="005D1F93"/>
    <w:rsid w:val="005D34EA"/>
    <w:rsid w:val="005D4B02"/>
    <w:rsid w:val="005D6F29"/>
    <w:rsid w:val="005E3893"/>
    <w:rsid w:val="005E49AF"/>
    <w:rsid w:val="005E6B9A"/>
    <w:rsid w:val="005F4DB6"/>
    <w:rsid w:val="005F5A16"/>
    <w:rsid w:val="00600957"/>
    <w:rsid w:val="006140D6"/>
    <w:rsid w:val="00615D7D"/>
    <w:rsid w:val="006205F9"/>
    <w:rsid w:val="00622276"/>
    <w:rsid w:val="00622980"/>
    <w:rsid w:val="00623970"/>
    <w:rsid w:val="0062466C"/>
    <w:rsid w:val="00626437"/>
    <w:rsid w:val="006275C2"/>
    <w:rsid w:val="0063475B"/>
    <w:rsid w:val="00637805"/>
    <w:rsid w:val="00643D07"/>
    <w:rsid w:val="00647A5A"/>
    <w:rsid w:val="00653766"/>
    <w:rsid w:val="006612CF"/>
    <w:rsid w:val="006655AB"/>
    <w:rsid w:val="00667DAD"/>
    <w:rsid w:val="00672A2E"/>
    <w:rsid w:val="00674174"/>
    <w:rsid w:val="00675DCE"/>
    <w:rsid w:val="00676046"/>
    <w:rsid w:val="00683C43"/>
    <w:rsid w:val="00683C64"/>
    <w:rsid w:val="0068669B"/>
    <w:rsid w:val="006924EB"/>
    <w:rsid w:val="00695654"/>
    <w:rsid w:val="006A44B1"/>
    <w:rsid w:val="006C0DB1"/>
    <w:rsid w:val="006C53D5"/>
    <w:rsid w:val="006C6064"/>
    <w:rsid w:val="006E2A06"/>
    <w:rsid w:val="006F325E"/>
    <w:rsid w:val="006F3E20"/>
    <w:rsid w:val="00700A04"/>
    <w:rsid w:val="00702493"/>
    <w:rsid w:val="00702678"/>
    <w:rsid w:val="00706252"/>
    <w:rsid w:val="007108D3"/>
    <w:rsid w:val="00713660"/>
    <w:rsid w:val="00723AD3"/>
    <w:rsid w:val="00730F0B"/>
    <w:rsid w:val="00735988"/>
    <w:rsid w:val="00736AE5"/>
    <w:rsid w:val="0074264E"/>
    <w:rsid w:val="00742F29"/>
    <w:rsid w:val="00743DE7"/>
    <w:rsid w:val="007502D7"/>
    <w:rsid w:val="0075447D"/>
    <w:rsid w:val="00756ABD"/>
    <w:rsid w:val="00761101"/>
    <w:rsid w:val="00761277"/>
    <w:rsid w:val="00761CF4"/>
    <w:rsid w:val="0076484B"/>
    <w:rsid w:val="0077113D"/>
    <w:rsid w:val="00777478"/>
    <w:rsid w:val="00777866"/>
    <w:rsid w:val="007A0427"/>
    <w:rsid w:val="007A21CC"/>
    <w:rsid w:val="007A3647"/>
    <w:rsid w:val="007A5BDC"/>
    <w:rsid w:val="007B192A"/>
    <w:rsid w:val="007B75B8"/>
    <w:rsid w:val="007C03A6"/>
    <w:rsid w:val="007C4FFB"/>
    <w:rsid w:val="007D0C96"/>
    <w:rsid w:val="007D66C2"/>
    <w:rsid w:val="007E1E8E"/>
    <w:rsid w:val="007E2369"/>
    <w:rsid w:val="007F1985"/>
    <w:rsid w:val="007F1E72"/>
    <w:rsid w:val="007F33CC"/>
    <w:rsid w:val="008003DE"/>
    <w:rsid w:val="00802029"/>
    <w:rsid w:val="00812761"/>
    <w:rsid w:val="00812980"/>
    <w:rsid w:val="0081532A"/>
    <w:rsid w:val="00826F43"/>
    <w:rsid w:val="00844CD4"/>
    <w:rsid w:val="0086253A"/>
    <w:rsid w:val="00864D0A"/>
    <w:rsid w:val="00873631"/>
    <w:rsid w:val="00873A4C"/>
    <w:rsid w:val="00874171"/>
    <w:rsid w:val="008765DF"/>
    <w:rsid w:val="008839BF"/>
    <w:rsid w:val="008857CC"/>
    <w:rsid w:val="008858D1"/>
    <w:rsid w:val="0089306E"/>
    <w:rsid w:val="00896593"/>
    <w:rsid w:val="008A4832"/>
    <w:rsid w:val="008B07AD"/>
    <w:rsid w:val="008B2B9E"/>
    <w:rsid w:val="008B5BA3"/>
    <w:rsid w:val="008B6313"/>
    <w:rsid w:val="008C570A"/>
    <w:rsid w:val="008C706E"/>
    <w:rsid w:val="008D0A01"/>
    <w:rsid w:val="008D4633"/>
    <w:rsid w:val="008D5A59"/>
    <w:rsid w:val="008E1635"/>
    <w:rsid w:val="008E3F5E"/>
    <w:rsid w:val="008E71E3"/>
    <w:rsid w:val="008F0ECC"/>
    <w:rsid w:val="008F449F"/>
    <w:rsid w:val="008F6B45"/>
    <w:rsid w:val="00902C8D"/>
    <w:rsid w:val="00904E78"/>
    <w:rsid w:val="00907E14"/>
    <w:rsid w:val="00911D91"/>
    <w:rsid w:val="009133B3"/>
    <w:rsid w:val="00925086"/>
    <w:rsid w:val="00935CA4"/>
    <w:rsid w:val="00940CE9"/>
    <w:rsid w:val="00943EF6"/>
    <w:rsid w:val="0094798F"/>
    <w:rsid w:val="00953BC0"/>
    <w:rsid w:val="009541D4"/>
    <w:rsid w:val="00954945"/>
    <w:rsid w:val="009575A4"/>
    <w:rsid w:val="009609EB"/>
    <w:rsid w:val="009611B4"/>
    <w:rsid w:val="00963330"/>
    <w:rsid w:val="00967AE8"/>
    <w:rsid w:val="009711B8"/>
    <w:rsid w:val="0097201B"/>
    <w:rsid w:val="009730D7"/>
    <w:rsid w:val="00981537"/>
    <w:rsid w:val="0098339A"/>
    <w:rsid w:val="00992844"/>
    <w:rsid w:val="009931E3"/>
    <w:rsid w:val="009B7EBB"/>
    <w:rsid w:val="009C4767"/>
    <w:rsid w:val="009C5A59"/>
    <w:rsid w:val="009C6214"/>
    <w:rsid w:val="009C74A9"/>
    <w:rsid w:val="009C76E9"/>
    <w:rsid w:val="009D0A96"/>
    <w:rsid w:val="009D15C8"/>
    <w:rsid w:val="009E4C8E"/>
    <w:rsid w:val="009E4EBE"/>
    <w:rsid w:val="009E5A80"/>
    <w:rsid w:val="009F06A7"/>
    <w:rsid w:val="009F169B"/>
    <w:rsid w:val="009F1B36"/>
    <w:rsid w:val="009F4510"/>
    <w:rsid w:val="00A05671"/>
    <w:rsid w:val="00A12602"/>
    <w:rsid w:val="00A14066"/>
    <w:rsid w:val="00A171B1"/>
    <w:rsid w:val="00A27C79"/>
    <w:rsid w:val="00A31340"/>
    <w:rsid w:val="00A32405"/>
    <w:rsid w:val="00A42577"/>
    <w:rsid w:val="00A44DB4"/>
    <w:rsid w:val="00A450E1"/>
    <w:rsid w:val="00A5415C"/>
    <w:rsid w:val="00A572A1"/>
    <w:rsid w:val="00A602EF"/>
    <w:rsid w:val="00A6247A"/>
    <w:rsid w:val="00A63AB0"/>
    <w:rsid w:val="00A63BDB"/>
    <w:rsid w:val="00A75930"/>
    <w:rsid w:val="00A83223"/>
    <w:rsid w:val="00A91186"/>
    <w:rsid w:val="00AA0569"/>
    <w:rsid w:val="00AA0AFC"/>
    <w:rsid w:val="00AA1CFE"/>
    <w:rsid w:val="00AA5D4C"/>
    <w:rsid w:val="00AB2C8D"/>
    <w:rsid w:val="00AB31C2"/>
    <w:rsid w:val="00AB7228"/>
    <w:rsid w:val="00AC0D13"/>
    <w:rsid w:val="00AC7496"/>
    <w:rsid w:val="00AD1B8B"/>
    <w:rsid w:val="00AD5A60"/>
    <w:rsid w:val="00AE27E7"/>
    <w:rsid w:val="00AE44D6"/>
    <w:rsid w:val="00AE4F83"/>
    <w:rsid w:val="00AE5D24"/>
    <w:rsid w:val="00AE7B07"/>
    <w:rsid w:val="00AF24DB"/>
    <w:rsid w:val="00B00922"/>
    <w:rsid w:val="00B0150A"/>
    <w:rsid w:val="00B0175C"/>
    <w:rsid w:val="00B03130"/>
    <w:rsid w:val="00B11C98"/>
    <w:rsid w:val="00B11DBE"/>
    <w:rsid w:val="00B16711"/>
    <w:rsid w:val="00B179E2"/>
    <w:rsid w:val="00B21958"/>
    <w:rsid w:val="00B24AF6"/>
    <w:rsid w:val="00B269FE"/>
    <w:rsid w:val="00B33238"/>
    <w:rsid w:val="00B34D5D"/>
    <w:rsid w:val="00B36356"/>
    <w:rsid w:val="00B37071"/>
    <w:rsid w:val="00B41F6B"/>
    <w:rsid w:val="00B471EA"/>
    <w:rsid w:val="00B47CCD"/>
    <w:rsid w:val="00B5624C"/>
    <w:rsid w:val="00B566A5"/>
    <w:rsid w:val="00B57F42"/>
    <w:rsid w:val="00B602D3"/>
    <w:rsid w:val="00B61A41"/>
    <w:rsid w:val="00B63A7C"/>
    <w:rsid w:val="00B6407B"/>
    <w:rsid w:val="00B65078"/>
    <w:rsid w:val="00B77E15"/>
    <w:rsid w:val="00B81CB2"/>
    <w:rsid w:val="00B81D75"/>
    <w:rsid w:val="00B852C7"/>
    <w:rsid w:val="00B85FAF"/>
    <w:rsid w:val="00B86E2B"/>
    <w:rsid w:val="00B92D1F"/>
    <w:rsid w:val="00B95872"/>
    <w:rsid w:val="00B967F9"/>
    <w:rsid w:val="00BA4FBA"/>
    <w:rsid w:val="00BA722B"/>
    <w:rsid w:val="00BB5D41"/>
    <w:rsid w:val="00BB5FD6"/>
    <w:rsid w:val="00BC15D8"/>
    <w:rsid w:val="00BC23B3"/>
    <w:rsid w:val="00BC3198"/>
    <w:rsid w:val="00BC5191"/>
    <w:rsid w:val="00BC5893"/>
    <w:rsid w:val="00BC64D0"/>
    <w:rsid w:val="00BD3130"/>
    <w:rsid w:val="00BD6B75"/>
    <w:rsid w:val="00BE10AE"/>
    <w:rsid w:val="00BE3171"/>
    <w:rsid w:val="00BF2189"/>
    <w:rsid w:val="00BF3984"/>
    <w:rsid w:val="00BF6F98"/>
    <w:rsid w:val="00BF761F"/>
    <w:rsid w:val="00C05D7A"/>
    <w:rsid w:val="00C070EF"/>
    <w:rsid w:val="00C10B9A"/>
    <w:rsid w:val="00C25874"/>
    <w:rsid w:val="00C271C4"/>
    <w:rsid w:val="00C279BF"/>
    <w:rsid w:val="00C31A8F"/>
    <w:rsid w:val="00C32120"/>
    <w:rsid w:val="00C364E7"/>
    <w:rsid w:val="00C3695F"/>
    <w:rsid w:val="00C4220F"/>
    <w:rsid w:val="00C4553B"/>
    <w:rsid w:val="00C472D0"/>
    <w:rsid w:val="00C47E8E"/>
    <w:rsid w:val="00C713DC"/>
    <w:rsid w:val="00C72493"/>
    <w:rsid w:val="00C73D36"/>
    <w:rsid w:val="00C74862"/>
    <w:rsid w:val="00C819DD"/>
    <w:rsid w:val="00C87229"/>
    <w:rsid w:val="00C908D7"/>
    <w:rsid w:val="00C9368A"/>
    <w:rsid w:val="00C95B16"/>
    <w:rsid w:val="00C96D3B"/>
    <w:rsid w:val="00CA48F4"/>
    <w:rsid w:val="00CA4B0C"/>
    <w:rsid w:val="00CA63B0"/>
    <w:rsid w:val="00CA6606"/>
    <w:rsid w:val="00CB10F0"/>
    <w:rsid w:val="00CC5389"/>
    <w:rsid w:val="00CC585E"/>
    <w:rsid w:val="00CC6488"/>
    <w:rsid w:val="00CC6ADA"/>
    <w:rsid w:val="00CC75E6"/>
    <w:rsid w:val="00CD1F53"/>
    <w:rsid w:val="00CD5818"/>
    <w:rsid w:val="00CE0E4A"/>
    <w:rsid w:val="00CE6B33"/>
    <w:rsid w:val="00CE76F1"/>
    <w:rsid w:val="00CF62D4"/>
    <w:rsid w:val="00CF7BB1"/>
    <w:rsid w:val="00D021E4"/>
    <w:rsid w:val="00D022AD"/>
    <w:rsid w:val="00D05B7D"/>
    <w:rsid w:val="00D06B4E"/>
    <w:rsid w:val="00D070F7"/>
    <w:rsid w:val="00D14378"/>
    <w:rsid w:val="00D149FF"/>
    <w:rsid w:val="00D169AE"/>
    <w:rsid w:val="00D35F6D"/>
    <w:rsid w:val="00D3641F"/>
    <w:rsid w:val="00D3656D"/>
    <w:rsid w:val="00D42ABE"/>
    <w:rsid w:val="00D452AC"/>
    <w:rsid w:val="00D548B2"/>
    <w:rsid w:val="00D56A8A"/>
    <w:rsid w:val="00D60714"/>
    <w:rsid w:val="00D67DAC"/>
    <w:rsid w:val="00D731A8"/>
    <w:rsid w:val="00D80210"/>
    <w:rsid w:val="00D833E7"/>
    <w:rsid w:val="00D83F6F"/>
    <w:rsid w:val="00D86169"/>
    <w:rsid w:val="00D87A4D"/>
    <w:rsid w:val="00D91028"/>
    <w:rsid w:val="00D93041"/>
    <w:rsid w:val="00D940F3"/>
    <w:rsid w:val="00D97119"/>
    <w:rsid w:val="00D97F27"/>
    <w:rsid w:val="00DA4AFD"/>
    <w:rsid w:val="00DB0CDE"/>
    <w:rsid w:val="00DB5501"/>
    <w:rsid w:val="00DC013B"/>
    <w:rsid w:val="00DC1BEB"/>
    <w:rsid w:val="00DC3132"/>
    <w:rsid w:val="00DC556A"/>
    <w:rsid w:val="00DD092F"/>
    <w:rsid w:val="00DD2342"/>
    <w:rsid w:val="00DD49FB"/>
    <w:rsid w:val="00DD513B"/>
    <w:rsid w:val="00DD701C"/>
    <w:rsid w:val="00DE0E09"/>
    <w:rsid w:val="00DF649C"/>
    <w:rsid w:val="00E02D04"/>
    <w:rsid w:val="00E130D1"/>
    <w:rsid w:val="00E21343"/>
    <w:rsid w:val="00E23DA4"/>
    <w:rsid w:val="00E265EB"/>
    <w:rsid w:val="00E26CC1"/>
    <w:rsid w:val="00E2701E"/>
    <w:rsid w:val="00E306EB"/>
    <w:rsid w:val="00E31EC3"/>
    <w:rsid w:val="00E5068E"/>
    <w:rsid w:val="00E61B19"/>
    <w:rsid w:val="00E70086"/>
    <w:rsid w:val="00E712E3"/>
    <w:rsid w:val="00E71FEA"/>
    <w:rsid w:val="00E74F2E"/>
    <w:rsid w:val="00E76587"/>
    <w:rsid w:val="00E77DBB"/>
    <w:rsid w:val="00E83236"/>
    <w:rsid w:val="00E87F4A"/>
    <w:rsid w:val="00E9664E"/>
    <w:rsid w:val="00EB5CD7"/>
    <w:rsid w:val="00EB7F27"/>
    <w:rsid w:val="00EC0A79"/>
    <w:rsid w:val="00EC0E4E"/>
    <w:rsid w:val="00EC1CA3"/>
    <w:rsid w:val="00EC244B"/>
    <w:rsid w:val="00EC37AA"/>
    <w:rsid w:val="00EC5F15"/>
    <w:rsid w:val="00ED00F2"/>
    <w:rsid w:val="00ED0F95"/>
    <w:rsid w:val="00ED5CC1"/>
    <w:rsid w:val="00EE0977"/>
    <w:rsid w:val="00EE19C6"/>
    <w:rsid w:val="00EE3890"/>
    <w:rsid w:val="00EF029F"/>
    <w:rsid w:val="00EF11B4"/>
    <w:rsid w:val="00EF11C5"/>
    <w:rsid w:val="00EF14BA"/>
    <w:rsid w:val="00EF3457"/>
    <w:rsid w:val="00EF56B9"/>
    <w:rsid w:val="00F00FCD"/>
    <w:rsid w:val="00F21AEB"/>
    <w:rsid w:val="00F23FE6"/>
    <w:rsid w:val="00F257CD"/>
    <w:rsid w:val="00F263CF"/>
    <w:rsid w:val="00F341BC"/>
    <w:rsid w:val="00F4314B"/>
    <w:rsid w:val="00F43885"/>
    <w:rsid w:val="00F45E64"/>
    <w:rsid w:val="00F47B4D"/>
    <w:rsid w:val="00F50E6F"/>
    <w:rsid w:val="00F51CDE"/>
    <w:rsid w:val="00F53E76"/>
    <w:rsid w:val="00F541E1"/>
    <w:rsid w:val="00F61C1A"/>
    <w:rsid w:val="00F6562A"/>
    <w:rsid w:val="00F67F14"/>
    <w:rsid w:val="00F72937"/>
    <w:rsid w:val="00F74C50"/>
    <w:rsid w:val="00F77D23"/>
    <w:rsid w:val="00F816F7"/>
    <w:rsid w:val="00F83210"/>
    <w:rsid w:val="00F835E0"/>
    <w:rsid w:val="00F842DB"/>
    <w:rsid w:val="00F96785"/>
    <w:rsid w:val="00FA26AE"/>
    <w:rsid w:val="00FA4432"/>
    <w:rsid w:val="00FA5CA3"/>
    <w:rsid w:val="00FA7B00"/>
    <w:rsid w:val="00FB0039"/>
    <w:rsid w:val="00FB02BD"/>
    <w:rsid w:val="00FC085E"/>
    <w:rsid w:val="00FC5A68"/>
    <w:rsid w:val="00FE588F"/>
    <w:rsid w:val="00FE6877"/>
    <w:rsid w:val="00FF3E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36EB1"/>
  <w15:chartTrackingRefBased/>
  <w15:docId w15:val="{B9D4D88C-4480-4E0E-BE29-1C67A866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475B"/>
    <w:rPr>
      <w:kern w:val="0"/>
    </w:rPr>
  </w:style>
  <w:style w:type="paragraph" w:styleId="Nagwek1">
    <w:name w:val="heading 1"/>
    <w:basedOn w:val="Normalny"/>
    <w:next w:val="Normalny"/>
    <w:link w:val="Nagwek1Znak"/>
    <w:uiPriority w:val="9"/>
    <w:qFormat/>
    <w:rsid w:val="00626437"/>
    <w:pPr>
      <w:keepNext/>
      <w:keepLines/>
      <w:spacing w:before="240" w:after="0"/>
      <w:outlineLvl w:val="0"/>
    </w:pPr>
    <w:rPr>
      <w:rFonts w:ascii="Times New Roman" w:eastAsiaTheme="majorEastAsia" w:hAnsi="Times New Roman" w:cstheme="majorBidi"/>
      <w:color w:val="000000" w:themeColor="text1"/>
      <w:sz w:val="24"/>
      <w:szCs w:val="32"/>
    </w:rPr>
  </w:style>
  <w:style w:type="paragraph" w:styleId="Nagwek2">
    <w:name w:val="heading 2"/>
    <w:basedOn w:val="Normalny"/>
    <w:next w:val="Normalny"/>
    <w:link w:val="Nagwek2Znak"/>
    <w:uiPriority w:val="9"/>
    <w:semiHidden/>
    <w:unhideWhenUsed/>
    <w:qFormat/>
    <w:rsid w:val="00626437"/>
    <w:pPr>
      <w:keepNext/>
      <w:keepLines/>
      <w:spacing w:before="40" w:after="0"/>
      <w:outlineLvl w:val="1"/>
    </w:pPr>
    <w:rPr>
      <w:rFonts w:ascii="Times New Roman" w:eastAsiaTheme="majorEastAsia" w:hAnsi="Times New Roman" w:cstheme="majorBidi"/>
      <w:color w:val="000000" w:themeColor="text1"/>
      <w:sz w:val="24"/>
      <w:szCs w:val="26"/>
    </w:rPr>
  </w:style>
  <w:style w:type="paragraph" w:styleId="Nagwek3">
    <w:name w:val="heading 3"/>
    <w:basedOn w:val="Normalny"/>
    <w:next w:val="Normalny"/>
    <w:link w:val="Nagwek3Znak"/>
    <w:uiPriority w:val="9"/>
    <w:unhideWhenUsed/>
    <w:qFormat/>
    <w:rsid w:val="00BD3130"/>
    <w:pPr>
      <w:keepNext/>
      <w:keepLines/>
      <w:spacing w:before="40" w:after="0"/>
      <w:outlineLvl w:val="2"/>
    </w:pPr>
    <w:rPr>
      <w:rFonts w:ascii="Times New Roman" w:eastAsiaTheme="majorEastAsia" w:hAnsi="Times New Roman" w:cstheme="majorBidi"/>
      <w:color w:val="000000" w:themeColor="text1"/>
      <w:sz w:val="24"/>
      <w:szCs w:val="24"/>
    </w:rPr>
  </w:style>
  <w:style w:type="paragraph" w:styleId="Nagwek4">
    <w:name w:val="heading 4"/>
    <w:basedOn w:val="Normalny"/>
    <w:next w:val="Normalny"/>
    <w:link w:val="Nagwek4Znak"/>
    <w:uiPriority w:val="9"/>
    <w:semiHidden/>
    <w:unhideWhenUsed/>
    <w:qFormat/>
    <w:rsid w:val="0063475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3475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3475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3475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3475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3475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26437"/>
    <w:rPr>
      <w:rFonts w:ascii="Times New Roman" w:eastAsiaTheme="majorEastAsia" w:hAnsi="Times New Roman" w:cstheme="majorBidi"/>
      <w:color w:val="000000" w:themeColor="text1"/>
      <w:sz w:val="24"/>
      <w:szCs w:val="26"/>
    </w:rPr>
  </w:style>
  <w:style w:type="character" w:customStyle="1" w:styleId="Nagwek1Znak">
    <w:name w:val="Nagłówek 1 Znak"/>
    <w:basedOn w:val="Domylnaczcionkaakapitu"/>
    <w:link w:val="Nagwek1"/>
    <w:uiPriority w:val="9"/>
    <w:rsid w:val="00626437"/>
    <w:rPr>
      <w:rFonts w:ascii="Times New Roman" w:eastAsiaTheme="majorEastAsia" w:hAnsi="Times New Roman" w:cstheme="majorBidi"/>
      <w:color w:val="000000" w:themeColor="text1"/>
      <w:sz w:val="24"/>
      <w:szCs w:val="32"/>
    </w:rPr>
  </w:style>
  <w:style w:type="character" w:customStyle="1" w:styleId="Nagwek3Znak">
    <w:name w:val="Nagłówek 3 Znak"/>
    <w:basedOn w:val="Domylnaczcionkaakapitu"/>
    <w:link w:val="Nagwek3"/>
    <w:uiPriority w:val="9"/>
    <w:rsid w:val="00BD3130"/>
    <w:rPr>
      <w:rFonts w:ascii="Times New Roman" w:eastAsiaTheme="majorEastAsia" w:hAnsi="Times New Roman" w:cstheme="majorBidi"/>
      <w:color w:val="000000" w:themeColor="text1"/>
      <w:sz w:val="24"/>
      <w:szCs w:val="24"/>
    </w:rPr>
  </w:style>
  <w:style w:type="character" w:customStyle="1" w:styleId="Nagwek4Znak">
    <w:name w:val="Nagłówek 4 Znak"/>
    <w:basedOn w:val="Domylnaczcionkaakapitu"/>
    <w:link w:val="Nagwek4"/>
    <w:uiPriority w:val="9"/>
    <w:semiHidden/>
    <w:rsid w:val="0063475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3475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3475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3475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3475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3475B"/>
    <w:rPr>
      <w:rFonts w:eastAsiaTheme="majorEastAsia" w:cstheme="majorBidi"/>
      <w:color w:val="272727" w:themeColor="text1" w:themeTint="D8"/>
    </w:rPr>
  </w:style>
  <w:style w:type="paragraph" w:styleId="Tytu">
    <w:name w:val="Title"/>
    <w:basedOn w:val="Normalny"/>
    <w:next w:val="Normalny"/>
    <w:link w:val="TytuZnak"/>
    <w:uiPriority w:val="10"/>
    <w:qFormat/>
    <w:rsid w:val="006347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3475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3475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3475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3475B"/>
    <w:pPr>
      <w:spacing w:before="160"/>
      <w:jc w:val="center"/>
    </w:pPr>
    <w:rPr>
      <w:i/>
      <w:iCs/>
      <w:color w:val="404040" w:themeColor="text1" w:themeTint="BF"/>
    </w:rPr>
  </w:style>
  <w:style w:type="character" w:customStyle="1" w:styleId="CytatZnak">
    <w:name w:val="Cytat Znak"/>
    <w:basedOn w:val="Domylnaczcionkaakapitu"/>
    <w:link w:val="Cytat"/>
    <w:uiPriority w:val="29"/>
    <w:rsid w:val="0063475B"/>
    <w:rPr>
      <w:i/>
      <w:iCs/>
      <w:color w:val="404040" w:themeColor="text1" w:themeTint="BF"/>
    </w:rPr>
  </w:style>
  <w:style w:type="paragraph" w:styleId="Akapitzlist">
    <w:name w:val="List Paragraph"/>
    <w:basedOn w:val="Normalny"/>
    <w:uiPriority w:val="34"/>
    <w:qFormat/>
    <w:rsid w:val="0063475B"/>
    <w:pPr>
      <w:ind w:left="720"/>
      <w:contextualSpacing/>
    </w:pPr>
  </w:style>
  <w:style w:type="character" w:styleId="Wyrnienieintensywne">
    <w:name w:val="Intense Emphasis"/>
    <w:basedOn w:val="Domylnaczcionkaakapitu"/>
    <w:uiPriority w:val="21"/>
    <w:qFormat/>
    <w:rsid w:val="0063475B"/>
    <w:rPr>
      <w:i/>
      <w:iCs/>
      <w:color w:val="0F4761" w:themeColor="accent1" w:themeShade="BF"/>
    </w:rPr>
  </w:style>
  <w:style w:type="paragraph" w:styleId="Cytatintensywny">
    <w:name w:val="Intense Quote"/>
    <w:basedOn w:val="Normalny"/>
    <w:next w:val="Normalny"/>
    <w:link w:val="CytatintensywnyZnak"/>
    <w:uiPriority w:val="30"/>
    <w:qFormat/>
    <w:rsid w:val="00634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3475B"/>
    <w:rPr>
      <w:i/>
      <w:iCs/>
      <w:color w:val="0F4761" w:themeColor="accent1" w:themeShade="BF"/>
    </w:rPr>
  </w:style>
  <w:style w:type="character" w:styleId="Odwoanieintensywne">
    <w:name w:val="Intense Reference"/>
    <w:basedOn w:val="Domylnaczcionkaakapitu"/>
    <w:uiPriority w:val="32"/>
    <w:qFormat/>
    <w:rsid w:val="0063475B"/>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63475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3475B"/>
    <w:rPr>
      <w:kern w:val="0"/>
      <w:sz w:val="20"/>
      <w:szCs w:val="20"/>
    </w:rPr>
  </w:style>
  <w:style w:type="character" w:styleId="Odwoanieprzypisudolnego">
    <w:name w:val="footnote reference"/>
    <w:basedOn w:val="Domylnaczcionkaakapitu"/>
    <w:uiPriority w:val="99"/>
    <w:semiHidden/>
    <w:unhideWhenUsed/>
    <w:rsid w:val="0063475B"/>
    <w:rPr>
      <w:vertAlign w:val="superscript"/>
    </w:rPr>
  </w:style>
  <w:style w:type="paragraph" w:styleId="Bezodstpw">
    <w:name w:val="No Spacing"/>
    <w:link w:val="BezodstpwZnak"/>
    <w:uiPriority w:val="1"/>
    <w:qFormat/>
    <w:rsid w:val="0063475B"/>
    <w:pPr>
      <w:spacing w:after="0" w:line="240" w:lineRule="auto"/>
    </w:pPr>
    <w:rPr>
      <w:kern w:val="0"/>
    </w:rPr>
  </w:style>
  <w:style w:type="character" w:styleId="Odwoaniedokomentarza">
    <w:name w:val="annotation reference"/>
    <w:basedOn w:val="Domylnaczcionkaakapitu"/>
    <w:uiPriority w:val="99"/>
    <w:semiHidden/>
    <w:unhideWhenUsed/>
    <w:rsid w:val="0063475B"/>
    <w:rPr>
      <w:sz w:val="16"/>
      <w:szCs w:val="16"/>
    </w:rPr>
  </w:style>
  <w:style w:type="paragraph" w:styleId="Tekstkomentarza">
    <w:name w:val="annotation text"/>
    <w:basedOn w:val="Normalny"/>
    <w:link w:val="TekstkomentarzaZnak"/>
    <w:uiPriority w:val="99"/>
    <w:unhideWhenUsed/>
    <w:rsid w:val="0063475B"/>
    <w:pPr>
      <w:spacing w:line="240" w:lineRule="auto"/>
    </w:pPr>
    <w:rPr>
      <w:sz w:val="20"/>
      <w:szCs w:val="20"/>
    </w:rPr>
  </w:style>
  <w:style w:type="character" w:customStyle="1" w:styleId="TekstkomentarzaZnak">
    <w:name w:val="Tekst komentarza Znak"/>
    <w:basedOn w:val="Domylnaczcionkaakapitu"/>
    <w:link w:val="Tekstkomentarza"/>
    <w:uiPriority w:val="99"/>
    <w:rsid w:val="0063475B"/>
    <w:rPr>
      <w:kern w:val="0"/>
      <w:sz w:val="20"/>
      <w:szCs w:val="20"/>
    </w:rPr>
  </w:style>
  <w:style w:type="character" w:styleId="Hipercze">
    <w:name w:val="Hyperlink"/>
    <w:basedOn w:val="Domylnaczcionkaakapitu"/>
    <w:uiPriority w:val="99"/>
    <w:unhideWhenUsed/>
    <w:rsid w:val="0063475B"/>
    <w:rPr>
      <w:color w:val="0000FF"/>
      <w:u w:val="single"/>
    </w:rPr>
  </w:style>
  <w:style w:type="character" w:customStyle="1" w:styleId="BezodstpwZnak">
    <w:name w:val="Bez odstępów Znak"/>
    <w:basedOn w:val="Domylnaczcionkaakapitu"/>
    <w:link w:val="Bezodstpw"/>
    <w:uiPriority w:val="1"/>
    <w:locked/>
    <w:rsid w:val="0063475B"/>
    <w:rPr>
      <w:kern w:val="0"/>
    </w:rPr>
  </w:style>
  <w:style w:type="character" w:customStyle="1" w:styleId="normaltextrun">
    <w:name w:val="normaltextrun"/>
    <w:basedOn w:val="Domylnaczcionkaakapitu"/>
    <w:rsid w:val="0063475B"/>
  </w:style>
  <w:style w:type="character" w:styleId="Pogrubienie">
    <w:name w:val="Strong"/>
    <w:basedOn w:val="Domylnaczcionkaakapitu"/>
    <w:uiPriority w:val="22"/>
    <w:qFormat/>
    <w:rsid w:val="0063475B"/>
    <w:rPr>
      <w:b/>
      <w:bCs/>
    </w:rPr>
  </w:style>
  <w:style w:type="character" w:styleId="Nierozpoznanawzmianka">
    <w:name w:val="Unresolved Mention"/>
    <w:basedOn w:val="Domylnaczcionkaakapitu"/>
    <w:uiPriority w:val="99"/>
    <w:semiHidden/>
    <w:unhideWhenUsed/>
    <w:rsid w:val="00B37071"/>
    <w:rPr>
      <w:color w:val="605E5C"/>
      <w:shd w:val="clear" w:color="auto" w:fill="E1DFDD"/>
    </w:rPr>
  </w:style>
  <w:style w:type="paragraph" w:styleId="Poprawka">
    <w:name w:val="Revision"/>
    <w:hidden/>
    <w:uiPriority w:val="99"/>
    <w:semiHidden/>
    <w:rsid w:val="002674E7"/>
    <w:pPr>
      <w:spacing w:after="0" w:line="240" w:lineRule="auto"/>
    </w:pPr>
    <w:rPr>
      <w:kern w:val="0"/>
    </w:rPr>
  </w:style>
  <w:style w:type="paragraph" w:customStyle="1" w:styleId="font8">
    <w:name w:val="font_8"/>
    <w:basedOn w:val="Normalny"/>
    <w:rsid w:val="00F23FE6"/>
    <w:pPr>
      <w:spacing w:before="100" w:beforeAutospacing="1" w:after="100" w:afterAutospacing="1" w:line="240" w:lineRule="auto"/>
    </w:pPr>
    <w:rPr>
      <w:rFonts w:ascii="Times New Roman" w:eastAsia="Times New Roman" w:hAnsi="Times New Roman" w:cs="Times New Roman"/>
      <w:sz w:val="24"/>
      <w:szCs w:val="24"/>
      <w:lang w:eastAsia="pl-PL"/>
      <w14:ligatures w14:val="none"/>
    </w:rPr>
  </w:style>
  <w:style w:type="character" w:customStyle="1" w:styleId="fc-color">
    <w:name w:val="fc-color"/>
    <w:basedOn w:val="Domylnaczcionkaakapitu"/>
    <w:rsid w:val="00F23FE6"/>
  </w:style>
  <w:style w:type="paragraph" w:styleId="Nagwek">
    <w:name w:val="header"/>
    <w:basedOn w:val="Normalny"/>
    <w:link w:val="NagwekZnak"/>
    <w:uiPriority w:val="99"/>
    <w:unhideWhenUsed/>
    <w:rsid w:val="00AB3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31C2"/>
    <w:rPr>
      <w:kern w:val="0"/>
    </w:rPr>
  </w:style>
  <w:style w:type="paragraph" w:styleId="Stopka">
    <w:name w:val="footer"/>
    <w:basedOn w:val="Normalny"/>
    <w:link w:val="StopkaZnak"/>
    <w:uiPriority w:val="99"/>
    <w:unhideWhenUsed/>
    <w:rsid w:val="00AB3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31C2"/>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08325">
      <w:bodyDiv w:val="1"/>
      <w:marLeft w:val="0"/>
      <w:marRight w:val="0"/>
      <w:marTop w:val="0"/>
      <w:marBottom w:val="0"/>
      <w:divBdr>
        <w:top w:val="none" w:sz="0" w:space="0" w:color="auto"/>
        <w:left w:val="none" w:sz="0" w:space="0" w:color="auto"/>
        <w:bottom w:val="none" w:sz="0" w:space="0" w:color="auto"/>
        <w:right w:val="none" w:sz="0" w:space="0" w:color="auto"/>
      </w:divBdr>
    </w:div>
    <w:div w:id="93370385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838574270">
      <w:bodyDiv w:val="1"/>
      <w:marLeft w:val="0"/>
      <w:marRight w:val="0"/>
      <w:marTop w:val="0"/>
      <w:marBottom w:val="0"/>
      <w:divBdr>
        <w:top w:val="none" w:sz="0" w:space="0" w:color="auto"/>
        <w:left w:val="none" w:sz="0" w:space="0" w:color="auto"/>
        <w:bottom w:val="none" w:sz="0" w:space="0" w:color="auto"/>
        <w:right w:val="none" w:sz="0" w:space="0" w:color="auto"/>
      </w:divBdr>
    </w:div>
    <w:div w:id="1891501087">
      <w:bodyDiv w:val="1"/>
      <w:marLeft w:val="0"/>
      <w:marRight w:val="0"/>
      <w:marTop w:val="0"/>
      <w:marBottom w:val="0"/>
      <w:divBdr>
        <w:top w:val="none" w:sz="0" w:space="0" w:color="auto"/>
        <w:left w:val="none" w:sz="0" w:space="0" w:color="auto"/>
        <w:bottom w:val="none" w:sz="0" w:space="0" w:color="auto"/>
        <w:right w:val="none" w:sz="0" w:space="0" w:color="auto"/>
      </w:divBdr>
    </w:div>
    <w:div w:id="1939823468">
      <w:bodyDiv w:val="1"/>
      <w:marLeft w:val="0"/>
      <w:marRight w:val="0"/>
      <w:marTop w:val="0"/>
      <w:marBottom w:val="0"/>
      <w:divBdr>
        <w:top w:val="none" w:sz="0" w:space="0" w:color="auto"/>
        <w:left w:val="none" w:sz="0" w:space="0" w:color="auto"/>
        <w:bottom w:val="none" w:sz="0" w:space="0" w:color="auto"/>
        <w:right w:val="none" w:sz="0" w:space="0" w:color="auto"/>
      </w:divBdr>
    </w:div>
    <w:div w:id="21052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hudoc.echr.coe.int/eng" TargetMode="External"/><Relationship Id="rId2" Type="http://schemas.openxmlformats.org/officeDocument/2006/relationships/hyperlink" Target="https://www.coe.int/en/web/european-social-charter/-/criteria-developed-by-the-european-committee-of-social-rights-relating-to-equal-pay-and-equal-opportunities-in-employment" TargetMode="External"/><Relationship Id="rId1" Type="http://schemas.openxmlformats.org/officeDocument/2006/relationships/hyperlink" Target="https://hudoc.echr.coe.int/" TargetMode="External"/><Relationship Id="rId5" Type="http://schemas.openxmlformats.org/officeDocument/2006/relationships/hyperlink" Target="https://hudoc.echr.coe.int/" TargetMode="External"/><Relationship Id="rId4" Type="http://schemas.openxmlformats.org/officeDocument/2006/relationships/hyperlink" Target="https://hudoc.echr.coe.in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70B1-BFC2-49F6-BEF5-C50C14FA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3963</Words>
  <Characters>26837</Characters>
  <Application>Microsoft Office Word</Application>
  <DocSecurity>0</DocSecurity>
  <Lines>383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Kurosz</dc:creator>
  <cp:keywords/>
  <dc:description/>
  <cp:lastModifiedBy>Natalia Walczak</cp:lastModifiedBy>
  <cp:revision>2</cp:revision>
  <cp:lastPrinted>2025-02-21T16:20:00Z</cp:lastPrinted>
  <dcterms:created xsi:type="dcterms:W3CDTF">2025-02-22T18:31:00Z</dcterms:created>
  <dcterms:modified xsi:type="dcterms:W3CDTF">2025-02-22T18:31:00Z</dcterms:modified>
</cp:coreProperties>
</file>