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FE7" w:rsidRPr="00F20579" w:rsidRDefault="00B61406" w:rsidP="00350FE7">
      <w:pPr>
        <w:pStyle w:val="NormalnyWeb"/>
        <w:spacing w:before="0" w:beforeAutospacing="0" w:after="0" w:afterAutospacing="0"/>
        <w:jc w:val="both"/>
        <w:rPr>
          <w:color w:val="000000" w:themeColor="text1"/>
        </w:rPr>
      </w:pPr>
      <w:r>
        <w:rPr>
          <w:rFonts w:ascii="Aptos" w:hAnsi="Aptos"/>
          <w:color w:val="000000" w:themeColor="text1"/>
        </w:rPr>
        <w:t xml:space="preserve">Dr hab. </w:t>
      </w:r>
      <w:r w:rsidR="00350FE7" w:rsidRPr="00F20579">
        <w:rPr>
          <w:rFonts w:ascii="Aptos" w:hAnsi="Aptos"/>
          <w:color w:val="000000" w:themeColor="text1"/>
        </w:rPr>
        <w:t xml:space="preserve">Szymon </w:t>
      </w:r>
      <w:proofErr w:type="spellStart"/>
      <w:r w:rsidR="00350FE7" w:rsidRPr="00F20579">
        <w:rPr>
          <w:rFonts w:ascii="Aptos" w:hAnsi="Aptos"/>
          <w:color w:val="000000" w:themeColor="text1"/>
        </w:rPr>
        <w:t>Byczko</w:t>
      </w:r>
      <w:proofErr w:type="spellEnd"/>
      <w:r>
        <w:rPr>
          <w:rFonts w:ascii="Aptos" w:hAnsi="Aptos"/>
          <w:color w:val="000000" w:themeColor="text1"/>
        </w:rPr>
        <w:t>, Prof. UŁ</w:t>
      </w:r>
    </w:p>
    <w:p w:rsidR="00350FE7" w:rsidRPr="00F20579" w:rsidRDefault="00350FE7" w:rsidP="00350FE7">
      <w:pPr>
        <w:pStyle w:val="NormalnyWeb"/>
        <w:spacing w:before="0" w:beforeAutospacing="0" w:after="0" w:afterAutospacing="0"/>
        <w:jc w:val="both"/>
        <w:rPr>
          <w:color w:val="000000" w:themeColor="text1"/>
        </w:rPr>
      </w:pPr>
      <w:r w:rsidRPr="00F20579">
        <w:rPr>
          <w:rFonts w:ascii="Aptos" w:hAnsi="Aptos"/>
          <w:color w:val="000000" w:themeColor="text1"/>
        </w:rPr>
        <w:t>Uniwersytet Łódzki</w:t>
      </w:r>
    </w:p>
    <w:p w:rsidR="00350FE7" w:rsidRPr="00F20579" w:rsidRDefault="00350FE7" w:rsidP="00350FE7">
      <w:pPr>
        <w:pStyle w:val="NormalnyWeb"/>
        <w:spacing w:before="0" w:beforeAutospacing="0" w:after="0" w:afterAutospacing="0"/>
        <w:jc w:val="both"/>
        <w:rPr>
          <w:color w:val="000000" w:themeColor="text1"/>
        </w:rPr>
      </w:pPr>
      <w:r w:rsidRPr="00F20579">
        <w:rPr>
          <w:rFonts w:ascii="Aptos" w:hAnsi="Aptos"/>
          <w:color w:val="000000" w:themeColor="text1"/>
        </w:rPr>
        <w:t>Wydział Prawa i Administracji</w:t>
      </w:r>
    </w:p>
    <w:p w:rsidR="00350FE7" w:rsidRPr="00F20579" w:rsidRDefault="00350FE7" w:rsidP="00350FE7">
      <w:pPr>
        <w:pStyle w:val="NormalnyWeb"/>
        <w:spacing w:before="0" w:beforeAutospacing="0" w:after="0" w:afterAutospacing="0"/>
        <w:jc w:val="both"/>
        <w:rPr>
          <w:color w:val="000000" w:themeColor="text1"/>
        </w:rPr>
      </w:pPr>
      <w:r w:rsidRPr="00F20579">
        <w:rPr>
          <w:rFonts w:ascii="Aptos" w:hAnsi="Aptos"/>
          <w:color w:val="000000" w:themeColor="text1"/>
        </w:rPr>
        <w:t>Katedra Prawa Handlowego, Ubezpieczeń i Własności Przemysłowej</w:t>
      </w:r>
    </w:p>
    <w:p w:rsidR="00350FE7" w:rsidRPr="00F20579" w:rsidRDefault="00350FE7" w:rsidP="00350FE7">
      <w:pPr>
        <w:pStyle w:val="NormalnyWeb"/>
        <w:spacing w:before="0" w:beforeAutospacing="0" w:after="0" w:afterAutospacing="0"/>
        <w:jc w:val="both"/>
        <w:rPr>
          <w:color w:val="000000" w:themeColor="text1"/>
        </w:rPr>
      </w:pPr>
      <w:r w:rsidRPr="00F20579">
        <w:rPr>
          <w:rFonts w:ascii="Aptos" w:hAnsi="Aptos"/>
          <w:color w:val="000000" w:themeColor="text1"/>
        </w:rPr>
        <w:t xml:space="preserve">ORCID: </w:t>
      </w:r>
      <w:r w:rsidRPr="00F20579">
        <w:rPr>
          <w:rFonts w:ascii="Aptos" w:hAnsi="Aptos"/>
          <w:color w:val="000000" w:themeColor="text1"/>
          <w:shd w:val="clear" w:color="auto" w:fill="FFFFFF"/>
        </w:rPr>
        <w:t>0000-0002-3754-439X</w:t>
      </w:r>
    </w:p>
    <w:p w:rsidR="00350FE7" w:rsidRPr="00F20579" w:rsidRDefault="00907264" w:rsidP="00350FE7">
      <w:pPr>
        <w:pStyle w:val="NormalnyWeb"/>
        <w:spacing w:before="0" w:beforeAutospacing="0" w:after="0" w:afterAutospacing="0"/>
        <w:jc w:val="both"/>
        <w:rPr>
          <w:color w:val="000000" w:themeColor="text1"/>
        </w:rPr>
      </w:pPr>
      <w:hyperlink r:id="rId6" w:history="1">
        <w:r w:rsidR="00350FE7" w:rsidRPr="00F20579">
          <w:rPr>
            <w:rStyle w:val="Hipercze"/>
            <w:rFonts w:ascii="Aptos" w:hAnsi="Aptos"/>
            <w:color w:val="000000" w:themeColor="text1"/>
            <w:shd w:val="clear" w:color="auto" w:fill="FFFFFF"/>
          </w:rPr>
          <w:t>sbyczko@wpia.uni.lodz.pl</w:t>
        </w:r>
      </w:hyperlink>
    </w:p>
    <w:p w:rsidR="00350FE7" w:rsidRPr="00F20579" w:rsidRDefault="00350FE7" w:rsidP="00703C40">
      <w:pPr>
        <w:spacing w:line="360" w:lineRule="auto"/>
        <w:jc w:val="both"/>
        <w:rPr>
          <w:color w:val="000000" w:themeColor="text1"/>
        </w:rPr>
      </w:pPr>
    </w:p>
    <w:p w:rsidR="00703C40" w:rsidRPr="00781304" w:rsidRDefault="00703C40" w:rsidP="00703C40">
      <w:pPr>
        <w:spacing w:line="360" w:lineRule="auto"/>
        <w:jc w:val="center"/>
        <w:rPr>
          <w:b/>
          <w:bCs/>
          <w:color w:val="000000" w:themeColor="text1"/>
        </w:rPr>
      </w:pPr>
    </w:p>
    <w:p w:rsidR="00703C40" w:rsidRPr="00781304" w:rsidRDefault="00703C40" w:rsidP="00703C40">
      <w:pPr>
        <w:spacing w:line="360" w:lineRule="auto"/>
        <w:jc w:val="center"/>
        <w:rPr>
          <w:b/>
          <w:bCs/>
          <w:color w:val="000000" w:themeColor="text1"/>
        </w:rPr>
      </w:pPr>
      <w:r w:rsidRPr="00781304">
        <w:rPr>
          <w:b/>
          <w:bCs/>
          <w:color w:val="000000" w:themeColor="text1"/>
        </w:rPr>
        <w:t xml:space="preserve">Przegląd orzecznictwa sądów powszechnych dotyczącego </w:t>
      </w:r>
      <w:proofErr w:type="spellStart"/>
      <w:r w:rsidRPr="00781304">
        <w:rPr>
          <w:b/>
          <w:bCs/>
          <w:color w:val="000000" w:themeColor="text1"/>
        </w:rPr>
        <w:t>misselingu</w:t>
      </w:r>
      <w:proofErr w:type="spellEnd"/>
      <w:r w:rsidRPr="00781304">
        <w:rPr>
          <w:b/>
          <w:bCs/>
          <w:color w:val="000000" w:themeColor="text1"/>
        </w:rPr>
        <w:t xml:space="preserve"> na rynku instrumentów finan</w:t>
      </w:r>
      <w:bookmarkStart w:id="0" w:name="_GoBack"/>
      <w:bookmarkEnd w:id="0"/>
      <w:r w:rsidRPr="00781304">
        <w:rPr>
          <w:b/>
          <w:bCs/>
          <w:color w:val="000000" w:themeColor="text1"/>
        </w:rPr>
        <w:t>sowych</w:t>
      </w:r>
    </w:p>
    <w:p w:rsidR="00781304" w:rsidRPr="00781304" w:rsidRDefault="00781304" w:rsidP="00703C40">
      <w:pPr>
        <w:spacing w:line="360" w:lineRule="auto"/>
        <w:jc w:val="center"/>
        <w:rPr>
          <w:b/>
          <w:bCs/>
          <w:color w:val="000000" w:themeColor="text1"/>
        </w:rPr>
      </w:pPr>
    </w:p>
    <w:p w:rsidR="00781304" w:rsidRPr="00781304" w:rsidRDefault="00781304" w:rsidP="00781304">
      <w:pPr>
        <w:spacing w:line="360" w:lineRule="auto"/>
        <w:jc w:val="center"/>
        <w:rPr>
          <w:color w:val="000000" w:themeColor="text1"/>
        </w:rPr>
      </w:pPr>
      <w:proofErr w:type="spellStart"/>
      <w:r w:rsidRPr="00781304">
        <w:rPr>
          <w:rFonts w:ascii="Calibri" w:hAnsi="Calibri" w:cs="Calibri"/>
          <w:b/>
          <w:bCs/>
          <w:color w:val="212121"/>
          <w:shd w:val="clear" w:color="auto" w:fill="FFFFFF"/>
        </w:rPr>
        <w:t>Review</w:t>
      </w:r>
      <w:proofErr w:type="spellEnd"/>
      <w:r w:rsidRPr="00781304">
        <w:rPr>
          <w:rFonts w:ascii="Calibri" w:hAnsi="Calibri" w:cs="Calibri"/>
          <w:b/>
          <w:bCs/>
          <w:color w:val="212121"/>
          <w:shd w:val="clear" w:color="auto" w:fill="FFFFFF"/>
        </w:rPr>
        <w:t xml:space="preserve"> of </w:t>
      </w:r>
      <w:proofErr w:type="spellStart"/>
      <w:r w:rsidRPr="00781304">
        <w:rPr>
          <w:rFonts w:ascii="Calibri" w:hAnsi="Calibri" w:cs="Calibri"/>
          <w:b/>
          <w:bCs/>
          <w:color w:val="212121"/>
          <w:shd w:val="clear" w:color="auto" w:fill="FFFFFF"/>
        </w:rPr>
        <w:t>case</w:t>
      </w:r>
      <w:proofErr w:type="spellEnd"/>
      <w:r w:rsidRPr="00781304">
        <w:rPr>
          <w:rFonts w:ascii="Calibri" w:hAnsi="Calibri" w:cs="Calibri"/>
          <w:b/>
          <w:bCs/>
          <w:color w:val="212121"/>
          <w:shd w:val="clear" w:color="auto" w:fill="FFFFFF"/>
        </w:rPr>
        <w:t xml:space="preserve">-law on </w:t>
      </w:r>
      <w:proofErr w:type="spellStart"/>
      <w:r w:rsidRPr="00781304">
        <w:rPr>
          <w:rFonts w:ascii="Calibri" w:hAnsi="Calibri" w:cs="Calibri"/>
          <w:b/>
          <w:bCs/>
          <w:color w:val="212121"/>
          <w:shd w:val="clear" w:color="auto" w:fill="FFFFFF"/>
        </w:rPr>
        <w:t>misseling</w:t>
      </w:r>
      <w:proofErr w:type="spellEnd"/>
    </w:p>
    <w:p w:rsidR="00781304" w:rsidRPr="00F20579" w:rsidRDefault="00781304" w:rsidP="00781304">
      <w:pPr>
        <w:spacing w:line="360" w:lineRule="auto"/>
        <w:jc w:val="both"/>
        <w:rPr>
          <w:color w:val="000000" w:themeColor="text1"/>
        </w:rPr>
      </w:pPr>
    </w:p>
    <w:p w:rsidR="00781304" w:rsidRPr="00F20579" w:rsidRDefault="00781304" w:rsidP="00781304">
      <w:pPr>
        <w:jc w:val="both"/>
        <w:rPr>
          <w:b/>
          <w:bCs/>
          <w:color w:val="000000" w:themeColor="text1"/>
        </w:rPr>
      </w:pPr>
      <w:r w:rsidRPr="00F20579">
        <w:rPr>
          <w:b/>
          <w:bCs/>
          <w:color w:val="000000" w:themeColor="text1"/>
        </w:rPr>
        <w:t>Streszczenie</w:t>
      </w:r>
    </w:p>
    <w:p w:rsidR="00781304" w:rsidRPr="00F20579" w:rsidRDefault="00781304" w:rsidP="00781304">
      <w:pPr>
        <w:jc w:val="both"/>
        <w:rPr>
          <w:color w:val="000000" w:themeColor="text1"/>
        </w:rPr>
      </w:pPr>
    </w:p>
    <w:p w:rsidR="00781304" w:rsidRPr="00F20579" w:rsidRDefault="00781304" w:rsidP="00781304">
      <w:pPr>
        <w:jc w:val="both"/>
        <w:rPr>
          <w:color w:val="000000" w:themeColor="text1"/>
        </w:rPr>
      </w:pPr>
      <w:r w:rsidRPr="00F20579">
        <w:rPr>
          <w:color w:val="000000" w:themeColor="text1"/>
        </w:rPr>
        <w:t xml:space="preserve">Wprowadzenie nowych zasad ochrony klientów rynku finansowego przed </w:t>
      </w:r>
      <w:proofErr w:type="spellStart"/>
      <w:r w:rsidRPr="00F20579">
        <w:rPr>
          <w:color w:val="000000" w:themeColor="text1"/>
        </w:rPr>
        <w:t>misselingiem</w:t>
      </w:r>
      <w:proofErr w:type="spellEnd"/>
      <w:r w:rsidRPr="00F20579">
        <w:rPr>
          <w:color w:val="000000" w:themeColor="text1"/>
        </w:rPr>
        <w:t xml:space="preserve"> przez dyrektywę MIFID II oraz implementujące ją akty prawne zderzyło się w czasie z tzw. aferą </w:t>
      </w:r>
      <w:proofErr w:type="spellStart"/>
      <w:r w:rsidRPr="00F20579">
        <w:rPr>
          <w:color w:val="000000" w:themeColor="text1"/>
        </w:rPr>
        <w:t>GetBack</w:t>
      </w:r>
      <w:proofErr w:type="spellEnd"/>
      <w:r w:rsidRPr="00F20579">
        <w:rPr>
          <w:color w:val="000000" w:themeColor="text1"/>
        </w:rPr>
        <w:t xml:space="preserve"> S. A. W wyniku naruszającej dobre obyczaje sprzedaży obligacji tej spółki pokrzywdzonych zostało wielu klientów banków, a okoliczności, w jakich nakłaniano ich do nabycia obligacji często były bulwersujące. Celem niniejszego opracowania jest prezentacja wybranych orzeczeń sądów powszechnych, które dotyczą właśnie problematyki </w:t>
      </w:r>
      <w:proofErr w:type="spellStart"/>
      <w:r w:rsidRPr="00F20579">
        <w:rPr>
          <w:color w:val="000000" w:themeColor="text1"/>
        </w:rPr>
        <w:t>misselingu</w:t>
      </w:r>
      <w:proofErr w:type="spellEnd"/>
      <w:r w:rsidRPr="00F20579">
        <w:rPr>
          <w:color w:val="000000" w:themeColor="text1"/>
        </w:rPr>
        <w:t>, często dotyczących wskazanych obligacji.</w:t>
      </w:r>
    </w:p>
    <w:p w:rsidR="00781304" w:rsidRPr="00F20579" w:rsidRDefault="00781304" w:rsidP="00781304">
      <w:pPr>
        <w:jc w:val="both"/>
        <w:rPr>
          <w:color w:val="000000" w:themeColor="text1"/>
        </w:rPr>
      </w:pPr>
      <w:r w:rsidRPr="00F20579">
        <w:rPr>
          <w:color w:val="000000" w:themeColor="text1"/>
        </w:rPr>
        <w:t xml:space="preserve">W pierwszej kolejności przedstawione są przykłady orzeczeń sądów okręgowych i apelacyjnych, z próbą systematycznej prezentacji przyjętych w nich mechanizmów prawnych. Pozwala to na ustalenie pewnej linii orzeczniczej, zwykle odwołującej się do nieważności umowy wywołanej </w:t>
      </w:r>
      <w:proofErr w:type="spellStart"/>
      <w:r w:rsidRPr="00F20579">
        <w:rPr>
          <w:color w:val="000000" w:themeColor="text1"/>
        </w:rPr>
        <w:t>misselingiem</w:t>
      </w:r>
      <w:proofErr w:type="spellEnd"/>
      <w:r w:rsidRPr="00F20579">
        <w:rPr>
          <w:color w:val="000000" w:themeColor="text1"/>
        </w:rPr>
        <w:t xml:space="preserve"> oraz do odpowiedzialności deliktowej banku oferującego klientom nieodpowiednie instrumenty finansowe.</w:t>
      </w:r>
    </w:p>
    <w:p w:rsidR="00781304" w:rsidRDefault="00781304" w:rsidP="00781304">
      <w:pPr>
        <w:jc w:val="both"/>
        <w:rPr>
          <w:color w:val="000000" w:themeColor="text1"/>
        </w:rPr>
      </w:pPr>
      <w:r w:rsidRPr="00F20579">
        <w:rPr>
          <w:color w:val="000000" w:themeColor="text1"/>
        </w:rPr>
        <w:t xml:space="preserve">Następnie, podjęta została próba wyciągnięcia pewnych ogólnych wniosków oraz krytyka doktrynalna przyjętego sposobu rozstrzygania sporów wywołanych praktykami </w:t>
      </w:r>
      <w:proofErr w:type="spellStart"/>
      <w:r w:rsidRPr="00F20579">
        <w:rPr>
          <w:color w:val="000000" w:themeColor="text1"/>
        </w:rPr>
        <w:t>misselingu</w:t>
      </w:r>
      <w:proofErr w:type="spellEnd"/>
      <w:r w:rsidRPr="00F20579">
        <w:rPr>
          <w:color w:val="000000" w:themeColor="text1"/>
        </w:rPr>
        <w:t>.</w:t>
      </w:r>
    </w:p>
    <w:p w:rsidR="00781304" w:rsidRDefault="00781304" w:rsidP="00781304">
      <w:pPr>
        <w:jc w:val="both"/>
        <w:rPr>
          <w:color w:val="000000" w:themeColor="text1"/>
        </w:rPr>
      </w:pPr>
    </w:p>
    <w:p w:rsidR="00781304" w:rsidRPr="00F20579" w:rsidRDefault="00781304" w:rsidP="00781304">
      <w:pPr>
        <w:spacing w:line="360" w:lineRule="auto"/>
        <w:jc w:val="both"/>
        <w:rPr>
          <w:color w:val="000000" w:themeColor="text1"/>
        </w:rPr>
      </w:pPr>
      <w:r w:rsidRPr="00F20579">
        <w:rPr>
          <w:b/>
          <w:color w:val="000000" w:themeColor="text1"/>
        </w:rPr>
        <w:t>słowa kluczowe</w:t>
      </w:r>
      <w:r w:rsidRPr="00F20579">
        <w:rPr>
          <w:color w:val="000000" w:themeColor="text1"/>
        </w:rPr>
        <w:t xml:space="preserve">: </w:t>
      </w:r>
      <w:proofErr w:type="spellStart"/>
      <w:r w:rsidRPr="00F20579">
        <w:rPr>
          <w:color w:val="000000" w:themeColor="text1"/>
        </w:rPr>
        <w:t>misseling</w:t>
      </w:r>
      <w:proofErr w:type="spellEnd"/>
      <w:r w:rsidRPr="00F20579">
        <w:rPr>
          <w:color w:val="000000" w:themeColor="text1"/>
        </w:rPr>
        <w:t>, obrót instrumentami finansowymi, obligacje, nieważność umowy, zbieg odpowiedzialności</w:t>
      </w:r>
    </w:p>
    <w:p w:rsidR="00781304" w:rsidRPr="00F20579" w:rsidRDefault="00781304" w:rsidP="00781304">
      <w:pPr>
        <w:jc w:val="both"/>
        <w:rPr>
          <w:color w:val="000000" w:themeColor="text1"/>
        </w:rPr>
      </w:pPr>
    </w:p>
    <w:p w:rsidR="00781304" w:rsidRPr="00F20579" w:rsidRDefault="00781304" w:rsidP="00781304">
      <w:pPr>
        <w:jc w:val="both"/>
        <w:rPr>
          <w:color w:val="000000" w:themeColor="text1"/>
        </w:rPr>
      </w:pPr>
    </w:p>
    <w:p w:rsidR="00781304" w:rsidRPr="00F20579" w:rsidRDefault="00781304" w:rsidP="00781304">
      <w:pPr>
        <w:jc w:val="both"/>
        <w:rPr>
          <w:b/>
          <w:bCs/>
          <w:color w:val="000000" w:themeColor="text1"/>
          <w:lang w:val="en-US"/>
        </w:rPr>
      </w:pPr>
      <w:r w:rsidRPr="00F20579">
        <w:rPr>
          <w:b/>
          <w:bCs/>
          <w:color w:val="000000" w:themeColor="text1"/>
          <w:lang w:val="en-US"/>
        </w:rPr>
        <w:t xml:space="preserve">Keywords: </w:t>
      </w:r>
      <w:proofErr w:type="spellStart"/>
      <w:r w:rsidRPr="00F20579">
        <w:rPr>
          <w:b/>
          <w:bCs/>
          <w:color w:val="000000" w:themeColor="text1"/>
          <w:lang w:val="en-US"/>
        </w:rPr>
        <w:t>misselling</w:t>
      </w:r>
      <w:proofErr w:type="spellEnd"/>
      <w:r w:rsidRPr="00F20579">
        <w:rPr>
          <w:b/>
          <w:bCs/>
          <w:color w:val="000000" w:themeColor="text1"/>
          <w:lang w:val="en-US"/>
        </w:rPr>
        <w:t>, financial instruments, bonds, invalidity of the contract, concurrence of liability</w:t>
      </w:r>
    </w:p>
    <w:p w:rsidR="00781304" w:rsidRPr="00F20579" w:rsidRDefault="00781304" w:rsidP="00781304">
      <w:pPr>
        <w:jc w:val="both"/>
        <w:rPr>
          <w:color w:val="000000" w:themeColor="text1"/>
        </w:rPr>
      </w:pPr>
    </w:p>
    <w:p w:rsidR="00781304" w:rsidRPr="00F20579" w:rsidRDefault="00781304" w:rsidP="00781304">
      <w:pPr>
        <w:jc w:val="both"/>
        <w:rPr>
          <w:b/>
          <w:bCs/>
          <w:color w:val="000000" w:themeColor="text1"/>
          <w:lang w:val="en-US"/>
        </w:rPr>
      </w:pPr>
      <w:r w:rsidRPr="00F20579">
        <w:rPr>
          <w:b/>
          <w:bCs/>
          <w:color w:val="000000" w:themeColor="text1"/>
          <w:lang w:val="en-US"/>
        </w:rPr>
        <w:t>Summary</w:t>
      </w:r>
    </w:p>
    <w:p w:rsidR="00781304" w:rsidRPr="00F20579" w:rsidRDefault="00781304" w:rsidP="00781304">
      <w:pPr>
        <w:jc w:val="both"/>
        <w:rPr>
          <w:color w:val="000000" w:themeColor="text1"/>
          <w:lang w:val="en-US"/>
        </w:rPr>
      </w:pPr>
    </w:p>
    <w:p w:rsidR="00781304" w:rsidRPr="00F20579" w:rsidRDefault="00781304" w:rsidP="00781304">
      <w:pPr>
        <w:jc w:val="both"/>
        <w:rPr>
          <w:color w:val="000000" w:themeColor="text1"/>
          <w:lang w:val="en-US"/>
        </w:rPr>
      </w:pPr>
      <w:r w:rsidRPr="00F20579">
        <w:rPr>
          <w:color w:val="000000" w:themeColor="text1"/>
          <w:lang w:val="en-US"/>
        </w:rPr>
        <w:t xml:space="preserve">The introduction of new rules for the protection of financial market customers against </w:t>
      </w:r>
      <w:proofErr w:type="spellStart"/>
      <w:r w:rsidRPr="00F20579">
        <w:rPr>
          <w:color w:val="000000" w:themeColor="text1"/>
          <w:lang w:val="en-US"/>
        </w:rPr>
        <w:t>misselling</w:t>
      </w:r>
      <w:proofErr w:type="spellEnd"/>
      <w:r w:rsidRPr="00F20579">
        <w:rPr>
          <w:color w:val="000000" w:themeColor="text1"/>
          <w:lang w:val="en-US"/>
        </w:rPr>
        <w:t xml:space="preserve"> by the MIFID II directive and the legal acts implementing it collided in time with the so-called </w:t>
      </w:r>
      <w:proofErr w:type="spellStart"/>
      <w:r w:rsidRPr="00F20579">
        <w:rPr>
          <w:color w:val="000000" w:themeColor="text1"/>
          <w:lang w:val="en-US"/>
        </w:rPr>
        <w:t>GetBack</w:t>
      </w:r>
      <w:proofErr w:type="spellEnd"/>
      <w:r w:rsidRPr="00F20579">
        <w:rPr>
          <w:color w:val="000000" w:themeColor="text1"/>
          <w:lang w:val="en-US"/>
        </w:rPr>
        <w:t xml:space="preserve"> S.A. scandal. The aim of this study is to present selected rulings of polish courts, which concern the issue of </w:t>
      </w:r>
      <w:proofErr w:type="spellStart"/>
      <w:r w:rsidRPr="00F20579">
        <w:rPr>
          <w:color w:val="000000" w:themeColor="text1"/>
          <w:lang w:val="en-US"/>
        </w:rPr>
        <w:t>misselling</w:t>
      </w:r>
      <w:proofErr w:type="spellEnd"/>
      <w:r w:rsidRPr="00F20579">
        <w:rPr>
          <w:color w:val="000000" w:themeColor="text1"/>
          <w:lang w:val="en-US"/>
        </w:rPr>
        <w:t>, often concerning the mentioned bonds.</w:t>
      </w:r>
    </w:p>
    <w:p w:rsidR="00781304" w:rsidRPr="00F20579" w:rsidRDefault="00781304" w:rsidP="00781304">
      <w:pPr>
        <w:jc w:val="both"/>
        <w:rPr>
          <w:color w:val="000000" w:themeColor="text1"/>
          <w:lang w:val="en-US"/>
        </w:rPr>
      </w:pPr>
      <w:r w:rsidRPr="00F20579">
        <w:rPr>
          <w:color w:val="000000" w:themeColor="text1"/>
          <w:lang w:val="en-US"/>
        </w:rPr>
        <w:lastRenderedPageBreak/>
        <w:t xml:space="preserve">In the first place, examples of rulings of selected courts are presented, with an attempt to systematically present the legal mechanisms adopted in them. This makes it possible to establish a certain line of case-law, usually referring to the invalidity of the agreement caused by </w:t>
      </w:r>
      <w:proofErr w:type="spellStart"/>
      <w:r w:rsidRPr="00F20579">
        <w:rPr>
          <w:color w:val="000000" w:themeColor="text1"/>
          <w:lang w:val="en-US"/>
        </w:rPr>
        <w:t>misselling</w:t>
      </w:r>
      <w:proofErr w:type="spellEnd"/>
      <w:r w:rsidRPr="00F20579">
        <w:rPr>
          <w:color w:val="000000" w:themeColor="text1"/>
          <w:lang w:val="en-US"/>
        </w:rPr>
        <w:t xml:space="preserve"> and to the tort liability of the bank offering inappropriate financial instruments to customers.</w:t>
      </w:r>
    </w:p>
    <w:p w:rsidR="00781304" w:rsidRPr="00F20579" w:rsidRDefault="00781304" w:rsidP="00781304">
      <w:pPr>
        <w:jc w:val="both"/>
        <w:rPr>
          <w:color w:val="000000" w:themeColor="text1"/>
          <w:lang w:val="en-US"/>
        </w:rPr>
      </w:pPr>
      <w:r w:rsidRPr="00F20579">
        <w:rPr>
          <w:color w:val="000000" w:themeColor="text1"/>
          <w:lang w:val="en-US"/>
        </w:rPr>
        <w:t xml:space="preserve">Then, an attempt was made to draw some general conclusions and doctrinal criticism of the adopted method of resolving disputes caused by </w:t>
      </w:r>
      <w:proofErr w:type="spellStart"/>
      <w:r w:rsidRPr="00F20579">
        <w:rPr>
          <w:color w:val="000000" w:themeColor="text1"/>
          <w:lang w:val="en-US"/>
        </w:rPr>
        <w:t>misselling</w:t>
      </w:r>
      <w:proofErr w:type="spellEnd"/>
      <w:r w:rsidRPr="00F20579">
        <w:rPr>
          <w:color w:val="000000" w:themeColor="text1"/>
          <w:lang w:val="en-US"/>
        </w:rPr>
        <w:t xml:space="preserve"> practices.</w:t>
      </w:r>
    </w:p>
    <w:p w:rsidR="00781304" w:rsidRPr="00F20579" w:rsidRDefault="00781304" w:rsidP="00703C40">
      <w:pPr>
        <w:spacing w:line="360" w:lineRule="auto"/>
        <w:jc w:val="center"/>
        <w:rPr>
          <w:b/>
          <w:bCs/>
          <w:color w:val="000000" w:themeColor="text1"/>
        </w:rPr>
      </w:pP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Wprowadzenie</w:t>
      </w:r>
    </w:p>
    <w:p w:rsidR="00703C40" w:rsidRPr="00F20579" w:rsidRDefault="00703C40" w:rsidP="00703C40">
      <w:pPr>
        <w:spacing w:line="360" w:lineRule="auto"/>
        <w:jc w:val="both"/>
        <w:rPr>
          <w:b/>
          <w:bCs/>
          <w:color w:val="000000" w:themeColor="text1"/>
        </w:rPr>
      </w:pP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Problematyka </w:t>
      </w:r>
      <w:proofErr w:type="spellStart"/>
      <w:r w:rsidRPr="00F20579">
        <w:rPr>
          <w:color w:val="000000" w:themeColor="text1"/>
        </w:rPr>
        <w:t>misselingu</w:t>
      </w:r>
      <w:proofErr w:type="spellEnd"/>
      <w:r w:rsidRPr="00F20579">
        <w:rPr>
          <w:color w:val="000000" w:themeColor="text1"/>
        </w:rPr>
        <w:t xml:space="preserve">, czyli oferowania produktów finansowych nieadekwatnych do potrzeb klienta, nabrała znaczenia praktycznego zwłaszcza po zapaści piramidy finansowej </w:t>
      </w:r>
      <w:proofErr w:type="spellStart"/>
      <w:r w:rsidRPr="00F20579">
        <w:rPr>
          <w:color w:val="000000" w:themeColor="text1"/>
        </w:rPr>
        <w:t>GetBack</w:t>
      </w:r>
      <w:proofErr w:type="spellEnd"/>
      <w:r w:rsidRPr="00F20579">
        <w:rPr>
          <w:color w:val="000000" w:themeColor="text1"/>
        </w:rPr>
        <w:t xml:space="preserve"> S.A. Obligacje tej spółki były oferowane, w znaczących ilościach, wielu inwestorom indywidualnym często w sposób natarczywy i wręcz nieuczciwy. Ogólny obraz tego procederu prezentuje raport Najwyższej Izby Kontroli</w:t>
      </w:r>
      <w:r w:rsidRPr="00F20579">
        <w:rPr>
          <w:rStyle w:val="Odwoanieprzypisudolnego"/>
          <w:color w:val="000000" w:themeColor="text1"/>
        </w:rPr>
        <w:footnoteReference w:id="1"/>
      </w:r>
      <w:r w:rsidRPr="00F20579">
        <w:rPr>
          <w:color w:val="000000" w:themeColor="text1"/>
        </w:rPr>
        <w:t>, z którego wynika stosowanie na masową skalę nieuczciwych praktyk rynkowych w przypadku tych instrumentów finansowych. Niniejsze opracowanie stanowi próbę weryfikacji, jak w praktyce orzeczniczej działa wzmożona ochrona klienta rynku instrumentów finansowych</w:t>
      </w:r>
      <w:r w:rsidRPr="00F20579">
        <w:rPr>
          <w:rStyle w:val="Odwoanieprzypisudolnego"/>
          <w:color w:val="000000" w:themeColor="text1"/>
        </w:rPr>
        <w:footnoteReference w:id="2"/>
      </w:r>
      <w:r w:rsidRPr="00F20579">
        <w:rPr>
          <w:color w:val="000000" w:themeColor="text1"/>
        </w:rPr>
        <w:t>, przewidziana w dyrektywie MIFID II</w:t>
      </w:r>
      <w:r w:rsidRPr="00F20579">
        <w:rPr>
          <w:rStyle w:val="Odwoanieprzypisudolnego"/>
          <w:color w:val="000000" w:themeColor="text1"/>
        </w:rPr>
        <w:footnoteReference w:id="3"/>
      </w:r>
      <w:r w:rsidRPr="00F20579">
        <w:rPr>
          <w:color w:val="000000" w:themeColor="text1"/>
        </w:rPr>
        <w:t xml:space="preserve"> i aktach prawnych, które przeniosły jej mechanizmy do polskiego porządku prawnego.</w:t>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Z natury rzeczy, orzecznictwo dotyczące osób pokrzywdzonych działaniami </w:t>
      </w:r>
      <w:proofErr w:type="spellStart"/>
      <w:r w:rsidRPr="00F20579">
        <w:rPr>
          <w:color w:val="000000" w:themeColor="text1"/>
        </w:rPr>
        <w:t>GetBack</w:t>
      </w:r>
      <w:proofErr w:type="spellEnd"/>
      <w:r w:rsidRPr="00F20579">
        <w:rPr>
          <w:color w:val="000000" w:themeColor="text1"/>
        </w:rPr>
        <w:t xml:space="preserve"> S. A. pojawia się dopiero w ostatnich latach, ale można już zauważyć kształtującą się w nim pewną generalną linię, która powinna być, co do zasady odebrana z satysfakcją. Poniżej zostanie przedstawione kilka orzeczeń, które pozwalają odtworzyć sposób, w jaki judykatura wykorzystuje silne i nowoczesne instrumenty ochrony przed </w:t>
      </w:r>
      <w:proofErr w:type="spellStart"/>
      <w:r w:rsidRPr="00F20579">
        <w:rPr>
          <w:color w:val="000000" w:themeColor="text1"/>
        </w:rPr>
        <w:t>misselingiem</w:t>
      </w:r>
      <w:proofErr w:type="spellEnd"/>
      <w:r w:rsidRPr="00F20579">
        <w:rPr>
          <w:color w:val="000000" w:themeColor="text1"/>
        </w:rPr>
        <w:t xml:space="preserve">. Nie wszystkie orzeczenia dotyczą obligacji wspomnianej wyżej spółki, ale pewien ponury schemat </w:t>
      </w:r>
      <w:proofErr w:type="spellStart"/>
      <w:r w:rsidRPr="00F20579">
        <w:rPr>
          <w:color w:val="000000" w:themeColor="text1"/>
        </w:rPr>
        <w:t>misselingu</w:t>
      </w:r>
      <w:proofErr w:type="spellEnd"/>
      <w:r w:rsidRPr="00F20579">
        <w:rPr>
          <w:color w:val="000000" w:themeColor="text1"/>
        </w:rPr>
        <w:t xml:space="preserve"> wszędzie jest bardzo podobny.</w:t>
      </w:r>
    </w:p>
    <w:p w:rsidR="00703C40" w:rsidRPr="00F20579" w:rsidRDefault="00703C40" w:rsidP="00703C40">
      <w:pPr>
        <w:spacing w:line="360" w:lineRule="auto"/>
        <w:ind w:firstLine="708"/>
        <w:jc w:val="both"/>
        <w:rPr>
          <w:color w:val="000000" w:themeColor="text1"/>
        </w:rPr>
      </w:pPr>
      <w:r w:rsidRPr="00F20579">
        <w:rPr>
          <w:color w:val="000000" w:themeColor="text1"/>
        </w:rPr>
        <w:lastRenderedPageBreak/>
        <w:t>Opracowanie koncentruje się na zagadnieniach dotyczących mechanizmów ochrony klienta detalicznego w rozumieniu art. 3 pkt. 39c ustawy o obrocie instrumentami finansowymi. Nie będą poruszane tu kwestie wzajemnych relacji pomiędzy pojęciami "klient detaliczny" a "konsument", które są przedmiotem innych opracowań</w:t>
      </w:r>
      <w:r w:rsidRPr="00F20579">
        <w:rPr>
          <w:rStyle w:val="Odwoanieprzypisudolnego"/>
          <w:color w:val="000000" w:themeColor="text1"/>
        </w:rPr>
        <w:footnoteReference w:id="4"/>
      </w:r>
      <w:r w:rsidRPr="00F20579">
        <w:rPr>
          <w:color w:val="000000" w:themeColor="text1"/>
        </w:rPr>
        <w:t>.</w:t>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Należy poczynić także pewną uwagę terminologiczną. W tekście używane jest określenie "bank" w celu opisania podmiotu odpowiedzialnego za </w:t>
      </w:r>
      <w:proofErr w:type="spellStart"/>
      <w:r w:rsidRPr="00F20579">
        <w:rPr>
          <w:color w:val="000000" w:themeColor="text1"/>
        </w:rPr>
        <w:t>misseling</w:t>
      </w:r>
      <w:proofErr w:type="spellEnd"/>
      <w:r w:rsidRPr="00F20579">
        <w:rPr>
          <w:color w:val="000000" w:themeColor="text1"/>
        </w:rPr>
        <w:t>. Wynika to z tego, że omawiane orzeczenia dotyczą właśnie banków, należy jednak pamiętać, że omawiane reguły dotyczą całej kategorii podmiotów rynku finansowego, opisanych zbiorczo jako "firma inwestycyjna" w art. 3 pkt. 33 ustawy o obrocie instrumentami finansowymi.</w:t>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Przegląd należy rozpocząć od orzecznictwa sądów okręgowych, które z natury rzeczy w dość szczegółowy sposób prezentują stany faktyczne rozstrzyganych sporów. W przypadku </w:t>
      </w:r>
      <w:proofErr w:type="spellStart"/>
      <w:r w:rsidRPr="00F20579">
        <w:rPr>
          <w:color w:val="000000" w:themeColor="text1"/>
        </w:rPr>
        <w:t>misselingu</w:t>
      </w:r>
      <w:proofErr w:type="spellEnd"/>
      <w:r w:rsidRPr="00F20579">
        <w:rPr>
          <w:color w:val="000000" w:themeColor="text1"/>
        </w:rPr>
        <w:t xml:space="preserve"> jest to o tyle istotne, że właśnie w ocenie działań związanych ze sprzedażą instrumentu finansowego tkwi odpowiedź na pytania dotyczące odpowiedzialności domu maklerskiego lub banku.</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1. Orzeczenia sądów okręgowych</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Orzeczenie Sądu Okręgowego w Warszawie w sprawie I C 646/23</w:t>
      </w:r>
      <w:r w:rsidRPr="00F20579">
        <w:rPr>
          <w:rStyle w:val="Odwoanieprzypisudolnego"/>
          <w:b/>
          <w:bCs/>
          <w:color w:val="000000" w:themeColor="text1"/>
        </w:rPr>
        <w:footnoteReference w:id="5"/>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Skomplikowane instrumenty finansowe były niejednokrotnie oferowane osobom, które w sposób ewidentny nie mogły zrozumieć i ocenić ich rzeczywistego charakteru. Omawiane tu orzeczenie opisuje typowy przykład tego patologicznego zjawiska. W chwili zawarcia umowy powód liczył ponad 90 lat. Mimo pełnej sprawności intelektualnej nie był jednak w stanie prawidłowo ocenić ryzyka a nawet ekonomicznego znaczenia dokonywanej transakcji zakupu jako osoba nieobeznana z nowoczesnym rynkiem finansowym. Powód był klientem pozwanego banku przez kilka lat. W swoich decyzjach opierał się na poradach, jakie otrzymywał od pracownicy banku, która zbudowała z nim silne i częste relacje, tak że pokładał w niej pełne zaufanie. Za jej radą zakupił 19 marca 2019 r. jednostki uczestnictwa w funduszach inwestycyjnych. Poniósł na tej operacji stratę w wysokości 76.739,83 zł. Oprócz wyrównania tej straty żądał w pozwie także zwrotu utraconych korzyści w kwocie 33.310,31 zł, które </w:t>
      </w:r>
      <w:r w:rsidRPr="00F20579">
        <w:rPr>
          <w:color w:val="000000" w:themeColor="text1"/>
        </w:rPr>
        <w:lastRenderedPageBreak/>
        <w:t>stanowiły równowartość odsetek, jakie uzyskałby, gdyby pozostawił swoje oszczędności na lokacie bankowej.</w:t>
      </w:r>
    </w:p>
    <w:p w:rsidR="00703C40" w:rsidRPr="00F20579" w:rsidRDefault="00703C40" w:rsidP="00703C40">
      <w:pPr>
        <w:spacing w:line="360" w:lineRule="auto"/>
        <w:ind w:firstLine="708"/>
        <w:jc w:val="both"/>
        <w:rPr>
          <w:color w:val="000000" w:themeColor="text1"/>
        </w:rPr>
      </w:pPr>
      <w:r w:rsidRPr="00F20579">
        <w:rPr>
          <w:color w:val="000000" w:themeColor="text1"/>
        </w:rPr>
        <w:t>W ocenie Sądu Okręgowego, nie ulegało wątpliwości, że powód nie ma pojęcia o rynku finansowym, a jego doświadczenie dotyczące inwestowania ogranicza się do czasów, w których jedyną dostępną metodą inwestowania były lokaty bankowe. Opierając się na poradach pracownicy pozwanego banku zainwestował jednak w fundusze inwestycyjne o dużym ryzyku, w tym w fundusze instrumentów dłużnych. W takim przypadku zachowanie pracowników banku wyczerpywało znamiona zachowania opisanego w art. 12. ust. 1 pkt 4 i art. 4 ust 1 ustawy o przeciwdziałaniu nieuczciwym praktykom rynkowym</w:t>
      </w:r>
      <w:r w:rsidRPr="00F20579">
        <w:rPr>
          <w:rStyle w:val="Odwoanieprzypisudolnego"/>
          <w:color w:val="000000" w:themeColor="text1"/>
        </w:rPr>
        <w:footnoteReference w:id="6"/>
      </w:r>
      <w:r w:rsidRPr="00F20579">
        <w:rPr>
          <w:color w:val="000000" w:themeColor="text1"/>
        </w:rPr>
        <w:t xml:space="preserve"> oraz art. 415 k.c. Wykorzystano niewiedzę klienta, wprowadzono go w błąd co do realnych obciążeń i </w:t>
      </w:r>
      <w:proofErr w:type="spellStart"/>
      <w:r w:rsidRPr="00F20579">
        <w:rPr>
          <w:color w:val="000000" w:themeColor="text1"/>
        </w:rPr>
        <w:t>ryzyk</w:t>
      </w:r>
      <w:proofErr w:type="spellEnd"/>
      <w:r w:rsidRPr="00F20579">
        <w:rPr>
          <w:color w:val="000000" w:themeColor="text1"/>
        </w:rPr>
        <w:t xml:space="preserve"> związanych z umową. Sąd wskazał także na naruszenie art. 24 ust. 2 pkt 4 ustawy o ochronie konkurencji i konsumentów</w:t>
      </w:r>
      <w:r w:rsidRPr="00F20579">
        <w:rPr>
          <w:rStyle w:val="Odwoanieprzypisudolnego"/>
          <w:color w:val="000000" w:themeColor="text1"/>
        </w:rPr>
        <w:footnoteReference w:id="7"/>
      </w:r>
      <w:r w:rsidRPr="00F20579">
        <w:rPr>
          <w:color w:val="000000" w:themeColor="text1"/>
        </w:rPr>
        <w:t xml:space="preserve">, poprzez zaoferowanie klientowi usługi finansowej nieodpowiadającej profilowi klienta, czyli </w:t>
      </w:r>
      <w:proofErr w:type="spellStart"/>
      <w:r w:rsidRPr="00F20579">
        <w:rPr>
          <w:color w:val="000000" w:themeColor="text1"/>
        </w:rPr>
        <w:t>misseling</w:t>
      </w:r>
      <w:proofErr w:type="spellEnd"/>
      <w:r w:rsidRPr="00F20579">
        <w:rPr>
          <w:color w:val="000000" w:themeColor="text1"/>
        </w:rPr>
        <w:t xml:space="preserve">. W konsekwencji Sąd uznał nieważność umowy nabycia certyfikatów na podstawie art. 58§1 i 2 k.c. i powstanie roszczenia odszkodowawczego opartego o art. 415 k.c. Jako podstawę nieważności wskazano zarówno sprzeczność z ustawą (naruszenie zakazu </w:t>
      </w:r>
      <w:proofErr w:type="spellStart"/>
      <w:r w:rsidRPr="00F20579">
        <w:rPr>
          <w:color w:val="000000" w:themeColor="text1"/>
        </w:rPr>
        <w:t>misselingu</w:t>
      </w:r>
      <w:proofErr w:type="spellEnd"/>
      <w:r w:rsidRPr="00F20579">
        <w:rPr>
          <w:color w:val="000000" w:themeColor="text1"/>
        </w:rPr>
        <w:t>) oraz z dobrymi obyczajami.</w:t>
      </w:r>
    </w:p>
    <w:p w:rsidR="00703C40" w:rsidRPr="00F20579" w:rsidRDefault="00703C40" w:rsidP="00703C40">
      <w:pPr>
        <w:spacing w:line="360" w:lineRule="auto"/>
        <w:ind w:firstLine="708"/>
        <w:jc w:val="both"/>
        <w:rPr>
          <w:color w:val="000000" w:themeColor="text1"/>
        </w:rPr>
      </w:pPr>
      <w:r w:rsidRPr="00F20579">
        <w:rPr>
          <w:color w:val="000000" w:themeColor="text1"/>
        </w:rPr>
        <w:t>Zasadnicza część żądania powoda dotyczyła utraconej inwestycji, ale Sąd Okręgowy uznał, że także żądanie w zakresie utraconych korzyści zasługuje na uwzględnienie. Doświadczenie życiowe i ocena wcześniejszego schematu oszczędzania wykorzystywanego przez powoda doprowadziły do wniosku, że utrzymanie przez niego środków na lokacie bankowej było na tyle prawdopodobne, że należy mu się odszkodowanie w wysokości nieuzyskanych dochodów z lokaty. Taki produkt odpowiadał jego potrzebom i powinien być mu zaoferowany.</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Orzeczenie Sądu Okręgowego w Warszawie w sprawie I C 2141/21</w:t>
      </w:r>
      <w:r w:rsidRPr="00F20579">
        <w:rPr>
          <w:rStyle w:val="Odwoanieprzypisudolnego"/>
          <w:b/>
          <w:bCs/>
          <w:color w:val="000000" w:themeColor="text1"/>
        </w:rPr>
        <w:footnoteReference w:id="8"/>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Omawiając to orzeczenie należy pominąć pewne komplikacje związane z dokonywaniem transakcji nabycia instrumentów finansowych przez pełnomocnika. Nie ma to znaczenia dla oceny rozstrzygnięcia pod kątem naruszenia zasad dokonywania transakcji z klientami na rynku papierów wartościowych. Stan faktyczny jest tu dość typowy. Klient, jak </w:t>
      </w:r>
      <w:r w:rsidRPr="00F20579">
        <w:rPr>
          <w:color w:val="000000" w:themeColor="text1"/>
        </w:rPr>
        <w:lastRenderedPageBreak/>
        <w:t>ustalono w toku postępowania spełniający także standardy konsumenta w rozumieniu art. 22</w:t>
      </w:r>
      <w:r w:rsidRPr="00F20579">
        <w:rPr>
          <w:color w:val="000000" w:themeColor="text1"/>
          <w:vertAlign w:val="superscript"/>
        </w:rPr>
        <w:t>1</w:t>
      </w:r>
      <w:r w:rsidRPr="00F20579">
        <w:rPr>
          <w:color w:val="000000" w:themeColor="text1"/>
        </w:rPr>
        <w:t xml:space="preserve"> k.c., poszukiwał właściwego sposobu zainwestowania oszczędności. Pracownik pozwanego banku zaproponował mu „fajny produkt przynoszący wysokie oprocentowanie”. Zapewniano go, że jest to produkt bezpieczny, co było zgodne z jego podstawowymi wymaganiami. Powód nie miał świadomości, że inwestowanie w obligacje i papiery dłużne obarczone jest znacznym ryzykiem, aż do całkowitej utraty kapitału. Brak jest informacji o metodach badania potrzeb klienta, jakie były zastosowane w przez pozwanego – ostatecznie określono klienta jako osobę akceptującą ryzyko nawet znacznych strat w kapitale. Taki profil powoda został jednak uznany przez sąd za niezgodny z rzeczywistością, jako że był on zainteresowany instrumentami finansowymi o bezpieczeństwie zbliżonym do lokaty bankowej.</w:t>
      </w:r>
    </w:p>
    <w:p w:rsidR="00703C40" w:rsidRPr="00F20579" w:rsidRDefault="00703C40" w:rsidP="00703C40">
      <w:pPr>
        <w:spacing w:line="360" w:lineRule="auto"/>
        <w:ind w:firstLine="708"/>
        <w:jc w:val="both"/>
        <w:rPr>
          <w:color w:val="000000" w:themeColor="text1"/>
        </w:rPr>
      </w:pPr>
      <w:r w:rsidRPr="00F20579">
        <w:rPr>
          <w:color w:val="000000" w:themeColor="text1"/>
        </w:rPr>
        <w:t>Inwestycja została dokonana w dniu 20 listopada 2014 r. i polegała na zakupie obligacji strukturyzowanych za kwoty 200.000 zł i 100.000 euro. Gdy wartość obligacji zaczęła gwałtownie spadać, dokonano ich sprzedaży (z tego tytułu bank wypłacił odpowiednio 124.848,24 zł i 55.007,34 euro). Wykup obligacji nastąpił 13 sierpnia 2019 r. Żądanie pozwu obejmowało jedynie zapłatę różnicy pomiędzy kwotami zainwestowanymi a tym, co udało się odzyskać ze sprzedaży obligacji.</w:t>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Sąd Okręgowy uznał, że w sprawie doszło do nieuczciwej praktyki rynkowej w postaci </w:t>
      </w:r>
      <w:proofErr w:type="spellStart"/>
      <w:r w:rsidRPr="00F20579">
        <w:rPr>
          <w:color w:val="000000" w:themeColor="text1"/>
        </w:rPr>
        <w:t>misselingu</w:t>
      </w:r>
      <w:proofErr w:type="spellEnd"/>
      <w:r w:rsidRPr="00F20579">
        <w:rPr>
          <w:color w:val="000000" w:themeColor="text1"/>
        </w:rPr>
        <w:t xml:space="preserve"> oraz niedochowania obowiązków rzetelnej i profesjonalnej informacji. Konsekwencją takich ustaleń jest uznanie nieważności umowy łączącej powoda z pozwanym bankiem, co prowadzi do wniosku, że powodowie mają prawo do odszkodowania z tytułu czynu niedozwolonego, którego dopuścił się bank, działający przez swojego pracownika. Czyn niedozwolony polegał na nierzetelnym i niedostatecznym poinformowaniu powoda o warunkach oferowanego instrumentu finansowego, zgodnie z art. 12 ust. 1 pkt 4 ustawy o przeciwdziałaniu nieuczciwym praktykom rynkowym. Powodowie poszukiwali bezpiecznego sposobu ulokowania swoich oszczędności, a nie znaczących korzyści – obarczonych jednocześnie dużym ryzykiem.</w:t>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Sąd Okręgowy oddalił jednocześnie powództwo w zakresie żądania zwrotu świadczenia z umowy zawartej z bankiem ze względu na jej nieważność – jako bezpodstawnego wzbogacenia (art. 405 k.c.). Uznano, że ta podstawa prawna jest o tyle niezasadna, że bank nie otrzymał świadczenia od powodów w wysokości wskazanej w pozwie – był jedynie dystrybutorem obligacji. Powoduje to brak nienależnego świadczenia polegającego zwrotowi </w:t>
      </w:r>
      <w:r w:rsidRPr="00F20579">
        <w:rPr>
          <w:color w:val="000000" w:themeColor="text1"/>
        </w:rPr>
        <w:lastRenderedPageBreak/>
        <w:t>ze strony banku, w grę wchodzi tu tylko świadczenie odszkodowawcze oparte na zasadach ogólnych odpowiedzialności deliktowej.</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Orzeczenie Sądu Okręgowego w Warszawie w sprawie XXIV C 2499/20</w:t>
      </w:r>
      <w:r w:rsidRPr="00F20579">
        <w:rPr>
          <w:rStyle w:val="Odwoanieprzypisudolnego"/>
          <w:b/>
          <w:bCs/>
          <w:color w:val="000000" w:themeColor="text1"/>
        </w:rPr>
        <w:footnoteReference w:id="9"/>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To orzeczenie jest o tyle interesujące, że Sąd Okręgowy dokonał analizy ewentualnych nieprawidłowości przy umowie nabycia w kontekście oceny wiedzy i doświadczenia klienta – powoda w sprawie. O ile sam wynik tej oceny można uznać (na tyle, na ile znamy materiał dowodowy z treści uzasadnienia) za dyskusyjny, to sam sposób dokonania oceny jest oczywiście zgodny z koncepcją ochrony klienta detalicznego na rynku usług finansowych. Przedmiotem transakcji były obligacje </w:t>
      </w:r>
      <w:proofErr w:type="spellStart"/>
      <w:r w:rsidRPr="00F20579">
        <w:rPr>
          <w:color w:val="000000" w:themeColor="text1"/>
        </w:rPr>
        <w:t>GetBack</w:t>
      </w:r>
      <w:proofErr w:type="spellEnd"/>
      <w:r w:rsidRPr="00F20579">
        <w:rPr>
          <w:color w:val="000000" w:themeColor="text1"/>
        </w:rPr>
        <w:t xml:space="preserve"> S. A., zakupione przez ojca powódki – jej pełnomocnika – 1 lutego 2018 r. Gdy powódka dowiedziała się o niewypłacalności emitenta zażądała wykupu obligacji, co oczywiście nie przyniosło skutku. Pozew obejmował żądanie zwrotu zainwestowanej kwoty. Kwestia żądanego zadośćuczynienia może tu być pominięta jako niezwiązana z omawianymi zagadnieniami.</w:t>
      </w:r>
    </w:p>
    <w:p w:rsidR="00703C40" w:rsidRPr="00F20579" w:rsidRDefault="00703C40" w:rsidP="00703C40">
      <w:pPr>
        <w:spacing w:line="360" w:lineRule="auto"/>
        <w:jc w:val="both"/>
        <w:rPr>
          <w:color w:val="000000" w:themeColor="text1"/>
        </w:rPr>
      </w:pPr>
      <w:r w:rsidRPr="00F20579">
        <w:rPr>
          <w:color w:val="000000" w:themeColor="text1"/>
        </w:rPr>
        <w:t xml:space="preserve">Sąd ocenił kompetencje klienta z perspektywy pełnomocnika, działającego w imieniu powódki. Sąd uznał, że brak jest podstaw do stwierdzenia </w:t>
      </w:r>
      <w:proofErr w:type="spellStart"/>
      <w:r w:rsidRPr="00F20579">
        <w:rPr>
          <w:color w:val="000000" w:themeColor="text1"/>
        </w:rPr>
        <w:t>misselingu</w:t>
      </w:r>
      <w:proofErr w:type="spellEnd"/>
      <w:r w:rsidRPr="00F20579">
        <w:rPr>
          <w:color w:val="000000" w:themeColor="text1"/>
        </w:rPr>
        <w:t xml:space="preserve"> w rozumieniu art. 24 ust. 2 pkt 4 ustawy o ochronie konkurencji i konsumentów. Swoje ustalenia Sąd Okręgowy oparł o dość zaskakujące rozumowanie. Otóż, jak wykazało postępowanie dowodowe w sprawie, pełnomocnik powódki otrzymał od pracownicy banku drogą mailową obszerne informacje dotyczące obligacji a ponadto miał trzy dni na podjęcie decyzji. Zdaniem Sądu bank w ten sposób wykonał swój obowiązek informacyjny a powódka i jej pełnomocnik mieli wystarczający czas na podjęcie samodzielnej decyzji. Sąd ocenił pełnomocnika powódki jako doświadczonego przedsiębiorcę, inwestora lokującego od wielu lat środki w różnych instrumentach finansowych, co pozwala przyjąć, że mógł samodzielnie dokonać prawidłowej oceny dokonywanej inwestycji.</w:t>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Sąd Okręgowy miał także zasadnicze wątpliwości co do wysokości podnoszonego roszczenia. Z jednej strony bowiem powódka może otrzymać 25% zainwestowanej kwoty w ramach układu zawartego z emitentem obligacji, z drugiej zaś otrzymała w trakcie trwania umowy część wynagrodzenia (około 5.000 zł). Nieporozumieniem zapewne jest powoływanie </w:t>
      </w:r>
      <w:r w:rsidRPr="00F20579">
        <w:rPr>
          <w:color w:val="000000" w:themeColor="text1"/>
        </w:rPr>
        <w:lastRenderedPageBreak/>
        <w:t xml:space="preserve">się przez Sąd w uzasadnieniu na gwarancje BFG – jako że bez wątpienia nie obejmują one obligacji </w:t>
      </w:r>
      <w:proofErr w:type="spellStart"/>
      <w:r w:rsidRPr="00F20579">
        <w:rPr>
          <w:color w:val="000000" w:themeColor="text1"/>
        </w:rPr>
        <w:t>GetBack</w:t>
      </w:r>
      <w:proofErr w:type="spellEnd"/>
      <w:r w:rsidRPr="00F20579">
        <w:rPr>
          <w:color w:val="000000" w:themeColor="text1"/>
        </w:rPr>
        <w:t xml:space="preserve"> S. A.</w:t>
      </w:r>
    </w:p>
    <w:p w:rsidR="00703C40" w:rsidRPr="00F20579" w:rsidRDefault="00703C40" w:rsidP="00703C40">
      <w:pPr>
        <w:spacing w:line="360" w:lineRule="auto"/>
        <w:ind w:firstLine="708"/>
        <w:jc w:val="both"/>
        <w:rPr>
          <w:color w:val="000000" w:themeColor="text1"/>
        </w:rPr>
      </w:pPr>
      <w:r w:rsidRPr="00F20579">
        <w:rPr>
          <w:color w:val="000000" w:themeColor="text1"/>
        </w:rPr>
        <w:t xml:space="preserve">Orzeczenie powyższe jest o tyle warte przytoczenia, że choć wydaje się błędne, to jednak wskazuje na mechanizm oceny sytuacji </w:t>
      </w:r>
      <w:proofErr w:type="spellStart"/>
      <w:r w:rsidRPr="00F20579">
        <w:rPr>
          <w:color w:val="000000" w:themeColor="text1"/>
        </w:rPr>
        <w:t>misselingu</w:t>
      </w:r>
      <w:proofErr w:type="spellEnd"/>
      <w:r w:rsidRPr="00F20579">
        <w:rPr>
          <w:color w:val="000000" w:themeColor="text1"/>
        </w:rPr>
        <w:t xml:space="preserve">. Rzeczywiście, jest możliwe uznanie, że klient, nawet nabywający bardzo ryzykowne instrumenty finansowe, działał w zgodzie ze swoimi potrzebami. Wynika to z tego, że ochrona klienta detalicznego jest pochodną oceny jego indywidualnych kompetencji, w odróżnieniu od ochrony konsumenckiej, która ma charakter abstrakcyjny, niezależny od cech szczególnych osoby sięgającej po taką ochronę. Problem w tym, że takie rozumowanie musi być oparte o dokonaną ocenę potrzeb klienta, wykonaną zgodnie z wymaganiami przewidzianymi w art. 83g i 83h ustawy o obrocie instrumentami finansowymi. Ciężar dowodu dokonania takiej oceny i wyciągnięcia z niej prawidłowych wniosków co do potrzeb klienta spoczywa na banku. Nie wystarcza do tego ustalony przez Sąd fakt, że pełnomocnik powódki jest „doświadczonym przedsiębiorcą”, od lat inwestującym środki finansowe i dysponującym znacznymi środkami. Jak trafnie zauważa się w literaturze, zakaz </w:t>
      </w:r>
      <w:proofErr w:type="spellStart"/>
      <w:r w:rsidRPr="00F20579">
        <w:rPr>
          <w:color w:val="000000" w:themeColor="text1"/>
        </w:rPr>
        <w:t>misselingu</w:t>
      </w:r>
      <w:proofErr w:type="spellEnd"/>
      <w:r w:rsidRPr="00F20579">
        <w:rPr>
          <w:color w:val="000000" w:themeColor="text1"/>
        </w:rPr>
        <w:t xml:space="preserve"> służy ochronie klientów – także przed nimi samymi i przed przecenianiem swoich kompetencji</w:t>
      </w:r>
      <w:r w:rsidRPr="00F20579">
        <w:rPr>
          <w:rStyle w:val="Odwoanieprzypisudolnego"/>
          <w:color w:val="000000" w:themeColor="text1"/>
        </w:rPr>
        <w:footnoteReference w:id="10"/>
      </w:r>
      <w:r w:rsidRPr="00F20579">
        <w:rPr>
          <w:color w:val="000000" w:themeColor="text1"/>
        </w:rPr>
        <w:t>.</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2. Orzeczenia sądów apelacyjnych</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ind w:firstLine="708"/>
        <w:jc w:val="both"/>
        <w:rPr>
          <w:color w:val="000000" w:themeColor="text1"/>
        </w:rPr>
      </w:pPr>
      <w:r w:rsidRPr="00F20579">
        <w:rPr>
          <w:color w:val="000000" w:themeColor="text1"/>
        </w:rPr>
        <w:t>Orzeczenia sądów apelacyjnych są skoncentrowane bardziej na ocenie prawidłowości rozumowania zawartego w uzasadnieniach sądów okręgowych, a więc w większym stopniu dotyczą oceny prawnej niż faktycznej. Czasami dochodzi tu do pewnej korekty uzasadnienia w warstwie prawnej, przy zachowaniu samego kierunku rozstrzygnięcia.</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 xml:space="preserve">Wyrok Sądu Apelacyjnego w Szczecinie I </w:t>
      </w:r>
      <w:proofErr w:type="spellStart"/>
      <w:r w:rsidRPr="00F20579">
        <w:rPr>
          <w:b/>
          <w:bCs/>
          <w:color w:val="000000" w:themeColor="text1"/>
        </w:rPr>
        <w:t>ACa</w:t>
      </w:r>
      <w:proofErr w:type="spellEnd"/>
      <w:r w:rsidRPr="00F20579">
        <w:rPr>
          <w:b/>
          <w:bCs/>
          <w:color w:val="000000" w:themeColor="text1"/>
        </w:rPr>
        <w:t xml:space="preserve"> 984/21</w:t>
      </w:r>
      <w:r w:rsidRPr="00F20579">
        <w:rPr>
          <w:rStyle w:val="Odwoanieprzypisudolnego"/>
          <w:b/>
          <w:bCs/>
          <w:color w:val="000000" w:themeColor="text1"/>
        </w:rPr>
        <w:footnoteReference w:id="11"/>
      </w:r>
    </w:p>
    <w:p w:rsidR="00703C40" w:rsidRPr="00F20579" w:rsidRDefault="00703C40" w:rsidP="00703C40">
      <w:pPr>
        <w:spacing w:line="360" w:lineRule="auto"/>
        <w:ind w:firstLine="708"/>
        <w:jc w:val="both"/>
        <w:rPr>
          <w:color w:val="000000" w:themeColor="text1"/>
        </w:rPr>
      </w:pPr>
      <w:r w:rsidRPr="00F20579">
        <w:rPr>
          <w:color w:val="000000" w:themeColor="text1"/>
        </w:rPr>
        <w:lastRenderedPageBreak/>
        <w:t xml:space="preserve">Przedmiotem oceny Sądu Apelacyjnego w tej sprawie było orzeczenie Sądu Okręgowego oddalające powództwo o zasądzenie kwoty, którą powód utracił wskutek błędnej inwestycji w obligacje </w:t>
      </w:r>
      <w:proofErr w:type="spellStart"/>
      <w:r w:rsidRPr="00F20579">
        <w:rPr>
          <w:color w:val="000000" w:themeColor="text1"/>
        </w:rPr>
        <w:t>GetBack</w:t>
      </w:r>
      <w:proofErr w:type="spellEnd"/>
      <w:r w:rsidRPr="00F20579">
        <w:rPr>
          <w:color w:val="000000" w:themeColor="text1"/>
        </w:rPr>
        <w:t xml:space="preserve"> S. A. Sąd Okręgowy uznał, że w sprawie nie doszło do </w:t>
      </w:r>
      <w:proofErr w:type="spellStart"/>
      <w:r w:rsidRPr="00F20579">
        <w:rPr>
          <w:color w:val="000000" w:themeColor="text1"/>
        </w:rPr>
        <w:t>misselingu</w:t>
      </w:r>
      <w:proofErr w:type="spellEnd"/>
      <w:r w:rsidRPr="00F20579">
        <w:rPr>
          <w:color w:val="000000" w:themeColor="text1"/>
        </w:rPr>
        <w:t xml:space="preserve"> ponieważ powód otrzymał od pracownicy banku, która namawiała go na nabycie tych obligacji, obfity materiał informacyjny (200 stron). Powód nie zapoznał się z tymi dokumentami a swoją decyzję podjął wyłącznie w oparciu o zaufanie do pracownicy banku. W opinii Sądu Okręgowego nie wykazał on więc żadnego zaniedbania ze strony banku – a utrata środków zainwestowanych w obligacje jest zwykłym ryzykiem inwestycyjnym.</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 xml:space="preserve">Zdaniem Sądu Apelacyjnego orzeczenie podlegało uchyleniu ze względu na nierozpoznanie istoty sprawy, co jednocześnie wykluczało wydanie wyroku </w:t>
      </w:r>
      <w:proofErr w:type="spellStart"/>
      <w:r w:rsidRPr="00F20579">
        <w:rPr>
          <w:rFonts w:asciiTheme="minorHAnsi" w:hAnsiTheme="minorHAnsi"/>
          <w:color w:val="000000" w:themeColor="text1"/>
          <w:sz w:val="24"/>
          <w:szCs w:val="24"/>
        </w:rPr>
        <w:t>reformatoryjnego</w:t>
      </w:r>
      <w:proofErr w:type="spellEnd"/>
      <w:r w:rsidRPr="00F20579">
        <w:rPr>
          <w:rFonts w:asciiTheme="minorHAnsi" w:hAnsiTheme="minorHAnsi"/>
          <w:color w:val="000000" w:themeColor="text1"/>
          <w:sz w:val="24"/>
          <w:szCs w:val="24"/>
        </w:rPr>
        <w:t>. W tym kontekście niezasadnie Sąd Okręgowy oczekiwał wykazania przez konsumenta przesłanek z art. 471 k.c. dla uzasadnienia żądania pozwu. W istocie bowiem odpowiedzialność odszkodowawcza wiązana jest przez ustawę z samym zastosowaniem przez przedsiębiorcę w stosunku do konsumenta praktyki nieuczciwej w rozumieniu art. 4 ust. 1 ustawy o zapobieganiu nieuczciwym praktykom rynkowym. Samo zastosowanie przez przedsiębiorcę praktyki określanej przez ustawę jako nieuczciwa względnie wypełniającej przesłanki z art. 4 ust. 1 jest więc zdarzeniem aktualizującym odpowiedzialność odszkodowawczą niezależnie od zaistnienia dalszych kodeksowych przesłanek odpowiedzialności deliktowej (art. 415 k.c.) czy też kontraktowej (art. 471 k.c.). Zdaniem Sądu Apelacyjnego stwierdzenie, że praktyka jest nieuczciwa, zwalnia z badania zaistnienia przesłanek subiektywnych z art. 415 i n. k.c. (winy przedsiębiorcy, istnienia odpowiedzialności za osoby, którymi się posługuje itp.), czy też przesłanek z art. 471 k.c. (istnienia zobowiązania i jego niewykonania lub nienależytego wykonania).</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 xml:space="preserve">W tym kontekście należy ocenić, czy stwierdzone przez Sąd Okręgowy zachęcanie pozwanego przez pracowników powoda do nabycia obligacji (w tym zwłaszcza chronologia udzielania informacji o ofercie, podkreślanie ograniczenia kręgu jej adresatów) nie miały charakteru sprzecznego z dobrymi obyczajami działania mającego wywołać u konsumenta poczucia wyjątkowości i „okazyjności” oferty (względnie „wyjątkowego traktowania klienta jako mającego w pierwszej kolejności dostęp do oferty „ekskluzywnej”), oraz przekonania o działaniu przez pracowników banku w najlepiej rozumianym interesie powoda a przez to podjęcia decyzji jedynie w oparciu na zaufaniu do kompetencji i rzetelności pracowników oferujących nabycie. Należy przy tym ocenić także kontekst sytuacyjny i informacyjny i to czy </w:t>
      </w:r>
      <w:r w:rsidRPr="00F20579">
        <w:rPr>
          <w:rFonts w:asciiTheme="minorHAnsi" w:hAnsiTheme="minorHAnsi"/>
          <w:color w:val="000000" w:themeColor="text1"/>
          <w:sz w:val="24"/>
          <w:szCs w:val="24"/>
        </w:rPr>
        <w:lastRenderedPageBreak/>
        <w:t>działania pracownicy banku mogą być zakwalifikowane jako zmierzające do zniekształcenia zachowania rynkowego konsumenta</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Decyzja sądu odwoławczego jest o tyle trafna, że sąd pierwszej instancji rzeczywiście pominął istotę ochrony klienta w świetle aktualnych regulacji prawnych. Szkoda jednak, że nie zauważono, że obecnie to podmiot oferujący instrumenty finansowe ma ocenić ich przydatność – a nie ograniczyć się jedynie do przekazania prawidłowych i wyczerpujących informacji</w:t>
      </w:r>
      <w:r w:rsidRPr="00F20579">
        <w:rPr>
          <w:rStyle w:val="Odwoanieprzypisudolnego"/>
          <w:rFonts w:asciiTheme="minorHAnsi" w:hAnsiTheme="minorHAnsi"/>
          <w:color w:val="000000" w:themeColor="text1"/>
          <w:sz w:val="24"/>
          <w:szCs w:val="24"/>
        </w:rPr>
        <w:footnoteReference w:id="12"/>
      </w:r>
      <w:r w:rsidRPr="00F20579">
        <w:rPr>
          <w:rFonts w:asciiTheme="minorHAnsi" w:hAnsiTheme="minorHAnsi"/>
          <w:color w:val="000000" w:themeColor="text1"/>
          <w:sz w:val="24"/>
          <w:szCs w:val="24"/>
        </w:rPr>
        <w:t>. Ze względu na przyczyny uchylenia orzeczenia sądu okręgowego nie zajmowano się kwestią wysokości szkody.</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 xml:space="preserve">Orzeczenie Sądu Apelacyjnego w Krakowie I </w:t>
      </w:r>
      <w:proofErr w:type="spellStart"/>
      <w:r w:rsidRPr="00F20579">
        <w:rPr>
          <w:b/>
          <w:bCs/>
          <w:color w:val="000000" w:themeColor="text1"/>
        </w:rPr>
        <w:t>ACa</w:t>
      </w:r>
      <w:proofErr w:type="spellEnd"/>
      <w:r w:rsidRPr="00F20579">
        <w:rPr>
          <w:b/>
          <w:bCs/>
          <w:color w:val="000000" w:themeColor="text1"/>
        </w:rPr>
        <w:t xml:space="preserve"> 10/22</w:t>
      </w:r>
      <w:r w:rsidRPr="00F20579">
        <w:rPr>
          <w:rStyle w:val="Odwoanieprzypisudolnego"/>
          <w:b/>
          <w:bCs/>
          <w:color w:val="000000" w:themeColor="text1"/>
        </w:rPr>
        <w:footnoteReference w:id="13"/>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 xml:space="preserve">Także i w tej sprawie powodowie domagali się zwrotu środków zainwestowanych w instrumenty finansowe, które ich zdaniem nie odpowiadały ich potrzebom i zostały im sprzedane w ramach </w:t>
      </w:r>
      <w:proofErr w:type="spellStart"/>
      <w:r w:rsidRPr="00F20579">
        <w:rPr>
          <w:rFonts w:asciiTheme="minorHAnsi" w:hAnsiTheme="minorHAnsi"/>
          <w:color w:val="000000" w:themeColor="text1"/>
          <w:sz w:val="24"/>
          <w:szCs w:val="24"/>
        </w:rPr>
        <w:t>misselingu</w:t>
      </w:r>
      <w:proofErr w:type="spellEnd"/>
      <w:r w:rsidRPr="00F20579">
        <w:rPr>
          <w:rFonts w:asciiTheme="minorHAnsi" w:hAnsiTheme="minorHAnsi"/>
          <w:color w:val="000000" w:themeColor="text1"/>
          <w:sz w:val="24"/>
          <w:szCs w:val="24"/>
        </w:rPr>
        <w:t xml:space="preserve"> (tym razem chodziło o obligacje tzw. „leśne”</w:t>
      </w:r>
      <w:r w:rsidRPr="00F20579">
        <w:rPr>
          <w:rStyle w:val="Odwoanieprzypisudolnego"/>
          <w:rFonts w:asciiTheme="minorHAnsi" w:hAnsiTheme="minorHAnsi"/>
          <w:color w:val="000000" w:themeColor="text1"/>
          <w:sz w:val="24"/>
          <w:szCs w:val="24"/>
        </w:rPr>
        <w:footnoteReference w:id="14"/>
      </w:r>
      <w:r w:rsidRPr="00F20579">
        <w:rPr>
          <w:rFonts w:asciiTheme="minorHAnsi" w:hAnsiTheme="minorHAnsi"/>
          <w:color w:val="000000" w:themeColor="text1"/>
          <w:sz w:val="24"/>
          <w:szCs w:val="24"/>
        </w:rPr>
        <w:t>). Jak ustalono, pierwotnie lokowali oni pieniądze wyłącznie w lokaty bankowe. Pod koniec terminu jednej z kolejnych lokat do powodów zadzwoniła pracownica banku, która wskazała małżonkom, że ma nowy produkt, który jest prawie tak samo bezpieczny, jak lokata terminowa, zainwestowane pieniądze będą mogli odzyskać po 2 latach, natomiast zysk jest wyższy, niż na lokacie terminowej. Wspomniała przy tym, że inwestycja wiąże się z pewnym ryzykiem utraty środków. Powodowie podkreślili wówczas, że nie akceptują żadnego ryzyka związanego z utratą inwestowanych środków. Poinformowano ich, że ryzyko jest niewielkie, gdyż fundusz inwestuje w nieruchomości leśne, inwestycja jest bezpieczna, jest to nowy produkt, inwestują w niego ludzie zamożni, w większości środowisko bankowe (w tym dyrektor oddziału banku). Pracownica banku poinformowała również, że powód musi szybko podjąć decyzję, gdyż przyjmowanie zapisów na certyfikaty zakończy się za kilka dni, a możliwość zakupu certyfikatów uwarunkowana jest jedoczesnym ulokowaniem części środków na lokacie terminowej. Powodowie zrozumieli to w ten sposób, że wypłacone im zostaną zainwestowane pieniądze oraz ewentualny zysk.</w:t>
      </w:r>
    </w:p>
    <w:p w:rsidR="00703C40" w:rsidRPr="00F20579" w:rsidRDefault="00703C40" w:rsidP="00703C40">
      <w:pPr>
        <w:spacing w:before="25" w:line="360" w:lineRule="auto"/>
        <w:jc w:val="both"/>
        <w:rPr>
          <w:color w:val="000000" w:themeColor="text1"/>
        </w:rPr>
      </w:pPr>
      <w:r w:rsidRPr="00F20579">
        <w:rPr>
          <w:color w:val="000000" w:themeColor="text1"/>
        </w:rPr>
        <w:lastRenderedPageBreak/>
        <w:tab/>
        <w:t>W dniu zakupu przeprowadzono badanie profilu inwestycyjnego klienta w celu określenia kompetencji powoda i zarekomendowania mu optymalnego rozwiązania inwestycyjnego; w treści formularza znalazła się przy tym adnotacja, że wynik badania to tylko propozycja Banku, a ostateczna decyzja zawsze należy do klienta. Powód nie wypełniał własnoręcznie formularza; jego wypełnienie odbyło się w ten sposób, że pracownica banku zadawała powodowi pytania i zaznaczała udzielone przez powoda odpowiedzi w formularzu edytowanym na komputerze. System dwukrotnie odrzucił powoda jako klienta, który może zainwestować w proponowane certyfikaty z uwagi na fakt, że z odpowiedzi powoda wynikało, że nie akceptuje on utraty jakiejkolwiek części środków oraz nigdy wcześniej nie inwestował w podobne produkty i nie miał żadnego doświadczenia z inwestycjami wiążącymi się z ryzykiem. Pracownica banku korygowała wówczas odpowiedzi, jakie zostały zaznaczone w badaniu profilu inwestycyjnego klienta.</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Sąd Okręgowy uznał zasadność żądań powodów na podstawie art. 76 ustawy o instrumentach finansowych, art. 4 ust. 1 pkt 4 dyrektywy 2004/39/WE z dnia 21 kwietnia 2004 r. (</w:t>
      </w:r>
      <w:proofErr w:type="spellStart"/>
      <w:r w:rsidRPr="00F20579">
        <w:rPr>
          <w:rFonts w:asciiTheme="minorHAnsi" w:hAnsiTheme="minorHAnsi"/>
          <w:color w:val="000000" w:themeColor="text1"/>
          <w:sz w:val="24"/>
          <w:szCs w:val="24"/>
        </w:rPr>
        <w:t>MiFID</w:t>
      </w:r>
      <w:proofErr w:type="spellEnd"/>
      <w:r w:rsidRPr="00F20579">
        <w:rPr>
          <w:rFonts w:asciiTheme="minorHAnsi" w:hAnsiTheme="minorHAnsi"/>
          <w:color w:val="000000" w:themeColor="text1"/>
          <w:sz w:val="24"/>
          <w:szCs w:val="24"/>
        </w:rPr>
        <w:t xml:space="preserve"> I) i art. 52 dyrektywy Komisji 2006/73/WE z dnia 10 sierpnia 2006 r. Ponadto Sąd stwierdził, że działanie banku wypełnia przesłanki odpowiedzialności z art. 471 i 415 k.c.</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 xml:space="preserve">Od wyroku złożył apelację pozwany bank. Apelacja została oddalona, chociaż Sąd Apelacyjny nie podzielił argumentacji prawnej sądu pierwszej instancji. </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Sąd Apelacyjny uznał, że cały proces zawierania spornej umowy z dnia 24 lutego 2016 r. był sprzeczny z zasadami współżycia społecznego, co powoduje jej nieważność (na podstawie art. 353</w:t>
      </w:r>
      <w:r w:rsidRPr="00F20579">
        <w:rPr>
          <w:rFonts w:asciiTheme="minorHAnsi" w:hAnsiTheme="minorHAnsi"/>
          <w:color w:val="000000" w:themeColor="text1"/>
          <w:sz w:val="24"/>
          <w:szCs w:val="24"/>
          <w:vertAlign w:val="superscript"/>
        </w:rPr>
        <w:t>1</w:t>
      </w:r>
      <w:r w:rsidRPr="00F20579">
        <w:rPr>
          <w:rFonts w:asciiTheme="minorHAnsi" w:hAnsiTheme="minorHAnsi"/>
          <w:color w:val="000000" w:themeColor="text1"/>
          <w:sz w:val="24"/>
          <w:szCs w:val="24"/>
        </w:rPr>
        <w:t xml:space="preserve"> § 1 k.c. w zw. z art. 58 § 2 k.c.). Zasądzenie zainwestowanej kwoty i opłaty manipulacyjnej za wydanie certyfikatów było zatem zasadne, ale jako zwrotu bezpodstawnego wzbogacenia, czyli w oparciu o art. 405 k.c.</w:t>
      </w:r>
    </w:p>
    <w:p w:rsidR="00703C40" w:rsidRPr="00F20579" w:rsidRDefault="00703C40" w:rsidP="00703C40">
      <w:pPr>
        <w:spacing w:before="25" w:line="360" w:lineRule="auto"/>
        <w:jc w:val="both"/>
        <w:rPr>
          <w:color w:val="000000" w:themeColor="text1"/>
        </w:rPr>
      </w:pPr>
      <w:r w:rsidRPr="00F20579">
        <w:rPr>
          <w:color w:val="000000" w:themeColor="text1"/>
        </w:rPr>
        <w:tab/>
        <w:t xml:space="preserve">Wartością tego orzeczenia jest zwłaszcza bardzo precyzyjne opisanie czynności prowadzących do </w:t>
      </w:r>
      <w:proofErr w:type="spellStart"/>
      <w:r w:rsidRPr="00F20579">
        <w:rPr>
          <w:color w:val="000000" w:themeColor="text1"/>
        </w:rPr>
        <w:t>misselingu</w:t>
      </w:r>
      <w:proofErr w:type="spellEnd"/>
      <w:r w:rsidRPr="00F20579">
        <w:rPr>
          <w:color w:val="000000" w:themeColor="text1"/>
        </w:rPr>
        <w:t>. Praktyka zbierania danych od klienta i ich modyfikowania – aż do uzyskania odpowiedzi pozwalającej na zaoferowanie mu ryzykownego produktu budzi najwyższy niepokój co do świadomości prawnej pracowników instytucji finansowych.</w:t>
      </w:r>
    </w:p>
    <w:p w:rsidR="00703C40" w:rsidRPr="00F20579" w:rsidRDefault="00703C40" w:rsidP="00703C40">
      <w:pPr>
        <w:spacing w:before="25" w:line="360" w:lineRule="auto"/>
        <w:jc w:val="both"/>
        <w:rPr>
          <w:color w:val="000000" w:themeColor="text1"/>
        </w:rPr>
      </w:pPr>
      <w:r w:rsidRPr="00F20579">
        <w:rPr>
          <w:color w:val="000000" w:themeColor="text1"/>
        </w:rPr>
        <w:tab/>
        <w:t xml:space="preserve">Zaskakująca jest jednak podstawa prawna przyjęta przez Sąd Apelacyjny. Wydaje się, że konsekwencją </w:t>
      </w:r>
      <w:proofErr w:type="spellStart"/>
      <w:r w:rsidRPr="00F20579">
        <w:rPr>
          <w:color w:val="000000" w:themeColor="text1"/>
        </w:rPr>
        <w:t>misselingu</w:t>
      </w:r>
      <w:proofErr w:type="spellEnd"/>
      <w:r w:rsidRPr="00F20579">
        <w:rPr>
          <w:color w:val="000000" w:themeColor="text1"/>
        </w:rPr>
        <w:t xml:space="preserve"> jest przede wszystkim czyn niedozwolony i odpowiedzialność oparta o art. 415 k c. Przyjęta podstawa z art. 405 k.c. budzi poważne wątpliwości, zwłaszcza ze względu na to, że bank przecież nie jest emitentem obligacji, a jedynie pośrednikiem, który je </w:t>
      </w:r>
      <w:r w:rsidRPr="00F20579">
        <w:rPr>
          <w:color w:val="000000" w:themeColor="text1"/>
        </w:rPr>
        <w:lastRenderedPageBreak/>
        <w:t>oferuje. Podobnie jak w pozostałych orzeczeniach można mieć także wątpliwość co do dość łatwego uznania nieważności całej umowy.</w:t>
      </w:r>
    </w:p>
    <w:p w:rsidR="00703C40" w:rsidRPr="00F20579" w:rsidRDefault="00703C40" w:rsidP="00703C40">
      <w:pPr>
        <w:pStyle w:val="p1"/>
        <w:spacing w:line="360" w:lineRule="auto"/>
        <w:jc w:val="both"/>
        <w:rPr>
          <w:rFonts w:asciiTheme="minorHAnsi" w:hAnsiTheme="minorHAnsi"/>
          <w:color w:val="000000" w:themeColor="text1"/>
          <w:sz w:val="24"/>
          <w:szCs w:val="24"/>
        </w:rPr>
      </w:pP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 xml:space="preserve">Orzeczenie Sądu Apelacyjnego w Poznaniu I </w:t>
      </w:r>
      <w:proofErr w:type="spellStart"/>
      <w:r w:rsidRPr="00F20579">
        <w:rPr>
          <w:b/>
          <w:bCs/>
          <w:color w:val="000000" w:themeColor="text1"/>
        </w:rPr>
        <w:t>ACa</w:t>
      </w:r>
      <w:proofErr w:type="spellEnd"/>
      <w:r w:rsidRPr="00F20579">
        <w:rPr>
          <w:b/>
          <w:bCs/>
          <w:color w:val="000000" w:themeColor="text1"/>
        </w:rPr>
        <w:t xml:space="preserve"> 860/21</w:t>
      </w:r>
      <w:r w:rsidRPr="00F20579">
        <w:rPr>
          <w:rStyle w:val="Odwoanieprzypisudolnego"/>
          <w:b/>
          <w:bCs/>
          <w:color w:val="000000" w:themeColor="text1"/>
        </w:rPr>
        <w:footnoteReference w:id="15"/>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 xml:space="preserve">W tej sprawie powódka dochodziła zwrotu kwot zainwestowanych za namową pracownicy banku w obligacje </w:t>
      </w:r>
      <w:proofErr w:type="spellStart"/>
      <w:r w:rsidRPr="00F20579">
        <w:rPr>
          <w:rFonts w:asciiTheme="minorHAnsi" w:hAnsiTheme="minorHAnsi"/>
          <w:color w:val="000000" w:themeColor="text1"/>
          <w:sz w:val="24"/>
          <w:szCs w:val="24"/>
        </w:rPr>
        <w:t>GetBack</w:t>
      </w:r>
      <w:proofErr w:type="spellEnd"/>
      <w:r w:rsidRPr="00F20579">
        <w:rPr>
          <w:rFonts w:asciiTheme="minorHAnsi" w:hAnsiTheme="minorHAnsi"/>
          <w:color w:val="000000" w:themeColor="text1"/>
          <w:sz w:val="24"/>
          <w:szCs w:val="24"/>
        </w:rPr>
        <w:t xml:space="preserve"> S. A., wraz z utraconymi korzyściami w postaci nieuzyskanych zysków kapitałowych z zainwestowanych środków. W trakcie spotkania w banku zaproponowano jej nabycie obligacji spółki </w:t>
      </w:r>
      <w:proofErr w:type="spellStart"/>
      <w:r w:rsidRPr="00F20579">
        <w:rPr>
          <w:rFonts w:asciiTheme="minorHAnsi" w:hAnsiTheme="minorHAnsi"/>
          <w:color w:val="000000" w:themeColor="text1"/>
          <w:sz w:val="24"/>
          <w:szCs w:val="24"/>
        </w:rPr>
        <w:t>GetBack</w:t>
      </w:r>
      <w:proofErr w:type="spellEnd"/>
      <w:r w:rsidRPr="00F20579">
        <w:rPr>
          <w:rFonts w:asciiTheme="minorHAnsi" w:hAnsiTheme="minorHAnsi"/>
          <w:color w:val="000000" w:themeColor="text1"/>
          <w:sz w:val="24"/>
          <w:szCs w:val="24"/>
        </w:rPr>
        <w:t xml:space="preserve"> S.A. wskazując, że jest to bezpieczne przedsięwzięcie i nie zachodzi ryzyko utraty ulokowanego kapitału, w związku z czym powódka podjęła decyzję o nabyciu obligacji. Powódce nie zostały też przedłożone do podpisu dokumenty związane z nabyciem obligacji. 2 marca 2018 r. zarząd emitenta przydzielił powódce 11 sztuk obligacji o wartości 110.000 zł. Dopiero po pewnym czasie z doniesień medialnych dowiedziała się, że o tzw. aferze </w:t>
      </w:r>
      <w:proofErr w:type="spellStart"/>
      <w:r w:rsidRPr="00F20579">
        <w:rPr>
          <w:rFonts w:asciiTheme="minorHAnsi" w:hAnsiTheme="minorHAnsi"/>
          <w:color w:val="000000" w:themeColor="text1"/>
          <w:sz w:val="24"/>
          <w:szCs w:val="24"/>
        </w:rPr>
        <w:t>GetBack</w:t>
      </w:r>
      <w:proofErr w:type="spellEnd"/>
      <w:r w:rsidRPr="00F20579">
        <w:rPr>
          <w:rFonts w:asciiTheme="minorHAnsi" w:hAnsiTheme="minorHAnsi"/>
          <w:color w:val="000000" w:themeColor="text1"/>
          <w:sz w:val="24"/>
          <w:szCs w:val="24"/>
        </w:rPr>
        <w:t>.</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 xml:space="preserve">Powódka wskazała, że nie ma wątpliwości, że została wprowadzona w błąd, w szczególności z uwagi na to, że przedstawiciel banku nie poinformował jej, że nabywa obligacje korporacyjne, posiadające rating na poziomie </w:t>
      </w:r>
      <w:proofErr w:type="spellStart"/>
      <w:r w:rsidRPr="00F20579">
        <w:rPr>
          <w:rFonts w:asciiTheme="minorHAnsi" w:hAnsiTheme="minorHAnsi"/>
          <w:color w:val="000000" w:themeColor="text1"/>
          <w:sz w:val="24"/>
          <w:szCs w:val="24"/>
        </w:rPr>
        <w:t>nieinwestycyjnym</w:t>
      </w:r>
      <w:proofErr w:type="spellEnd"/>
      <w:r w:rsidRPr="00F20579">
        <w:rPr>
          <w:rFonts w:asciiTheme="minorHAnsi" w:hAnsiTheme="minorHAnsi"/>
          <w:color w:val="000000" w:themeColor="text1"/>
          <w:sz w:val="24"/>
          <w:szCs w:val="24"/>
        </w:rPr>
        <w:t>, spekulacyjnym, w związku z czym cechują się one dużym ryzykiem. Podkreśliła, że w trakcie spotkania w banku nie została przeprowadzona żadna ankieta, ani analiza finansów osobistych powódki.</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Sąd Okręgowy odwołując się do treści art. 42 ust. 1 ustawy z dnia 15 stycznia 2015 r. o obligacjach</w:t>
      </w:r>
      <w:r w:rsidRPr="00F20579">
        <w:rPr>
          <w:rStyle w:val="Odwoanieprzypisudolnego"/>
          <w:rFonts w:asciiTheme="minorHAnsi" w:hAnsiTheme="minorHAnsi"/>
          <w:color w:val="000000" w:themeColor="text1"/>
          <w:sz w:val="24"/>
          <w:szCs w:val="24"/>
        </w:rPr>
        <w:footnoteReference w:id="16"/>
      </w:r>
      <w:r w:rsidRPr="00F20579">
        <w:rPr>
          <w:rFonts w:asciiTheme="minorHAnsi" w:hAnsiTheme="minorHAnsi"/>
          <w:color w:val="000000" w:themeColor="text1"/>
          <w:sz w:val="24"/>
          <w:szCs w:val="24"/>
        </w:rPr>
        <w:t xml:space="preserve"> uznał, że umowa nie została skutecznie zawarta bowiem zaniechano zachowania formy pisemnej. Ponadto, wskazano na jej nieważność na podstawie art. 58 k.c. z uwagi na sprzeczność z prawem a w szczególności z artykułem 35 ust. 1 ustawy o obligacjach (poprzez nieudzielenie wymaganych przez ten przepis informacji) jak również z zasadami współżycia społecznego – w tym przypadku dobrymi obyczajami, jakimi winien kierować się przedsiębiorca profesjonalnie zajmujący się sprzedażą instrumentów finansowych w stosunku do konsumenta.</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 xml:space="preserve">Sąd I instancji uznał, że nieważność umowy skutkuje zgodnie z art. 410 § 2 k.c. obowiązkiem zwrotu świadczeń wzajemnych. Pozwany bank był jednak jedynie firmą inwestycyjną, która – na podstawie umowy zawartej z emitentem zobowiązała się do </w:t>
      </w:r>
      <w:r w:rsidRPr="00F20579">
        <w:rPr>
          <w:rFonts w:asciiTheme="minorHAnsi" w:hAnsiTheme="minorHAnsi"/>
          <w:color w:val="000000" w:themeColor="text1"/>
          <w:sz w:val="24"/>
          <w:szCs w:val="24"/>
        </w:rPr>
        <w:lastRenderedPageBreak/>
        <w:t>nabywania lub zbywania instrumentów finansowych. Zainwestowane kwoty nie stanowiły więc świadczenia na rzecz pozwanego – lecz emitenta obligacji, co powoduje, że po stronie banku brak jest świadczenia podlegającego zwrotowi.</w:t>
      </w:r>
    </w:p>
    <w:p w:rsidR="00703C40" w:rsidRPr="00F20579" w:rsidRDefault="00703C40" w:rsidP="00703C40">
      <w:pPr>
        <w:spacing w:line="360" w:lineRule="auto"/>
        <w:jc w:val="both"/>
        <w:rPr>
          <w:color w:val="000000" w:themeColor="text1"/>
        </w:rPr>
      </w:pPr>
      <w:r w:rsidRPr="00F20579">
        <w:rPr>
          <w:color w:val="000000" w:themeColor="text1"/>
        </w:rPr>
        <w:tab/>
        <w:t>Niezależnie od powyższego, Sąd I instancji wskazał, że pozwany bank stosował nieuczciwe praktyki rynkowe w rozumieniu art. 4 ust. 1 i 2 ustawy o przeciwdziałaniu nieuczciwym praktykom rynkowym. Działał sprzecznie z dobrymi obyczajami: wykorzystał niewiedzę i brak doświadczenia powódki jako konsumenta, wprowadzając ją w błąd za pomocą nierzetelnych informacji o proponowanym produkcie. W konsekwencji wskazanych wyżej rozważań, Sąd Okręgowy uznał, że pomiędzy powódka a pozwanym nie doszło do ważnego nawiązania stosunków umownych, ale pozwany ponosi więc wobec powódki odpowiedzialność deliktową.</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 xml:space="preserve">W ocenie Sądu Okręgowego, powódka wykazała, że na skutek bezprawnych działań pozwanych poniosła stratę. Na skutek tych działań, zainwestowała bowiem w sporne obligacje kwotę 110.000 zł, której - wobec niewypłacalności emitenta - nie może w całości odzyskać. Szkoda powódki, za którą odpowiedzialność ponoszą pozwani, zdaniem Sądu Okręgowego, ogranicza się jednak do kwoty 82.500 zł (75% z 110.000 zł). Jak wynika z ustaleń sądu, postanowieniem z dnia 6 czerwca 2019 r., wydanym w sprawie do sygn. akt VIII </w:t>
      </w:r>
      <w:proofErr w:type="spellStart"/>
      <w:r w:rsidRPr="00F20579">
        <w:rPr>
          <w:rFonts w:asciiTheme="minorHAnsi" w:hAnsiTheme="minorHAnsi"/>
          <w:color w:val="000000" w:themeColor="text1"/>
          <w:sz w:val="24"/>
          <w:szCs w:val="24"/>
        </w:rPr>
        <w:t>GRp</w:t>
      </w:r>
      <w:proofErr w:type="spellEnd"/>
      <w:r w:rsidRPr="00F20579">
        <w:rPr>
          <w:rFonts w:asciiTheme="minorHAnsi" w:hAnsiTheme="minorHAnsi"/>
          <w:color w:val="000000" w:themeColor="text1"/>
          <w:sz w:val="24"/>
          <w:szCs w:val="24"/>
        </w:rPr>
        <w:t xml:space="preserve"> 4/18, Sąd Rejonowy dla Wrocławia-Fabrycznej we Wrocławiu, Wydział VIII Gospodarczy do spraw Upadłościowych i Restrukturyzacyjnych, zatwierdził układ przyjęty na zgromadzeniu wierzycieli, zgodnie z którym spółka </w:t>
      </w:r>
      <w:proofErr w:type="spellStart"/>
      <w:r w:rsidRPr="00F20579">
        <w:rPr>
          <w:rFonts w:asciiTheme="minorHAnsi" w:hAnsiTheme="minorHAnsi"/>
          <w:color w:val="000000" w:themeColor="text1"/>
          <w:sz w:val="24"/>
          <w:szCs w:val="24"/>
        </w:rPr>
        <w:t>GetBack</w:t>
      </w:r>
      <w:proofErr w:type="spellEnd"/>
      <w:r w:rsidRPr="00F20579">
        <w:rPr>
          <w:rFonts w:asciiTheme="minorHAnsi" w:hAnsiTheme="minorHAnsi"/>
          <w:color w:val="000000" w:themeColor="text1"/>
          <w:sz w:val="24"/>
          <w:szCs w:val="24"/>
        </w:rPr>
        <w:t xml:space="preserve"> S.A. w restrukturyzacji spełni świadczenia pieniężne z tytułu wykupu obligacji wobec wierzycieli będącym obligatariuszami, a więc także wobec powódki, poprzez spłatę należności głównej (a więc zainwestowanego w obligacje kapitału) w 25% w terminie 8 lat.</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Powódka domagała się również zapłaty od pozwanych kwoty 9.398,20 zł tytułem utraconych korzyści, nie otrzymała bowiem przewidzianego umową wynagrodzenia. Sąd uznał jednak, że nie może ona dochodzić odszkodowania w wysokości wynagrodzenia z nieważnej umowy. Powódka niewątpliwie zainwestowałaby kwotę 110.000 zł w kolejną lokatę bankową i osiągnęłaby dochód w postaci odsetek. Byłaby to jednak kwota z pewnością znacznie niższa od przewidywanego oprocentowania obligacji.</w:t>
      </w:r>
    </w:p>
    <w:p w:rsidR="00703C40" w:rsidRPr="00F20579" w:rsidRDefault="00703C40" w:rsidP="00703C40">
      <w:pPr>
        <w:pStyle w:val="p1"/>
        <w:spacing w:line="360" w:lineRule="auto"/>
        <w:jc w:val="both"/>
        <w:rPr>
          <w:rFonts w:asciiTheme="minorHAnsi" w:hAnsiTheme="minorHAnsi"/>
          <w:color w:val="000000" w:themeColor="text1"/>
          <w:sz w:val="24"/>
          <w:szCs w:val="24"/>
        </w:rPr>
      </w:pPr>
      <w:r w:rsidRPr="00F20579">
        <w:rPr>
          <w:rFonts w:asciiTheme="minorHAnsi" w:hAnsiTheme="minorHAnsi"/>
          <w:color w:val="000000" w:themeColor="text1"/>
          <w:sz w:val="24"/>
          <w:szCs w:val="24"/>
        </w:rPr>
        <w:tab/>
        <w:t>Powódka zaskarżyła wyrok w zakresie pomniejszenia odszkodowania o kwoty z układu oraz co do utraconych korzyści.</w:t>
      </w:r>
    </w:p>
    <w:p w:rsidR="00703C40" w:rsidRPr="00F20579" w:rsidRDefault="00703C40" w:rsidP="00703C40">
      <w:pPr>
        <w:spacing w:line="360" w:lineRule="auto"/>
        <w:jc w:val="both"/>
        <w:rPr>
          <w:color w:val="000000" w:themeColor="text1"/>
        </w:rPr>
      </w:pPr>
      <w:r w:rsidRPr="00F20579">
        <w:rPr>
          <w:color w:val="000000" w:themeColor="text1"/>
        </w:rPr>
        <w:lastRenderedPageBreak/>
        <w:tab/>
        <w:t xml:space="preserve">Sąd Apelacyjny uznał, że realizację układu przez </w:t>
      </w:r>
      <w:proofErr w:type="spellStart"/>
      <w:r w:rsidRPr="00F20579">
        <w:rPr>
          <w:color w:val="000000" w:themeColor="text1"/>
        </w:rPr>
        <w:t>GetBack</w:t>
      </w:r>
      <w:proofErr w:type="spellEnd"/>
      <w:r w:rsidRPr="00F20579">
        <w:rPr>
          <w:color w:val="000000" w:themeColor="text1"/>
        </w:rPr>
        <w:t xml:space="preserve"> S.A. w restrukturyzacji należy uznać jedynie za zdarzenie przyszłe i niepewne. Podkreślono, że samo zawarcie układu przez dłużnika i wierzycieli oraz jego zatwierdzenie przez sąd, w żadnym wypadku nie gwarantuje, że układ ten zostanie zrealizowany. Nie może także zostać ocenione jako wyrównanie szkody, które już nastąpiło. Zdaniem Sądu Apelacyjnego, dopiero fakt rzeczywistego spełnienia świadczenia wobec powódki na podstawie układu mógłby stanowić podstawę do odpowiedniego pomniejszenia odszkodowania dochodzonego przez powódkę. W dniu orzekania brak jest jednak podstaw do uznania, że doszło do umniejszenia szkody, która powstała w majątku powódki na skutek dokonania zakupu obligacji. Zgodnie z art. 316 k.p.c. sąd zobowiązany był do brania pod uwagę aktualnego na dzień wyrokowania stanu rzeczy, czyli powinien pominąć ewentualne przyszłe świadczenia z układu.</w:t>
      </w:r>
    </w:p>
    <w:p w:rsidR="00703C40" w:rsidRPr="00F20579" w:rsidRDefault="00703C40" w:rsidP="00703C40">
      <w:pPr>
        <w:spacing w:line="360" w:lineRule="auto"/>
        <w:jc w:val="both"/>
        <w:rPr>
          <w:color w:val="000000" w:themeColor="text1"/>
        </w:rPr>
      </w:pPr>
      <w:r w:rsidRPr="00F20579">
        <w:rPr>
          <w:color w:val="000000" w:themeColor="text1"/>
        </w:rPr>
        <w:tab/>
        <w:t>Kwestia powództwa w zakresie utraconych korzyści jest o tyle mniej istotna dla niniejszego opracowania, że sądy obu instancji uznały roszczenia powódki w tym zakresie za po prostu nieudowodnione. Być może, gdyby przedstawiła ona bardziej przekonujące twierdzenia w tym zakresie wydano by inne orzeczenie.</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 xml:space="preserve">3. Wnioski – kształtująca się linia orzecznicza co do </w:t>
      </w:r>
      <w:proofErr w:type="spellStart"/>
      <w:r w:rsidRPr="00F20579">
        <w:rPr>
          <w:b/>
          <w:bCs/>
          <w:color w:val="000000" w:themeColor="text1"/>
        </w:rPr>
        <w:t>misselingu</w:t>
      </w:r>
      <w:proofErr w:type="spellEnd"/>
      <w:r w:rsidRPr="00F20579">
        <w:rPr>
          <w:b/>
          <w:bCs/>
          <w:color w:val="000000" w:themeColor="text1"/>
        </w:rPr>
        <w:t xml:space="preserve"> na rynku instrumentów finansowych</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color w:val="000000" w:themeColor="text1"/>
        </w:rPr>
      </w:pPr>
      <w:r w:rsidRPr="00F20579">
        <w:rPr>
          <w:color w:val="000000" w:themeColor="text1"/>
        </w:rPr>
        <w:tab/>
        <w:t>Wnioski płynące z dokonanego przeglądu są umiarkowanie optymistyczne. Co do zasady, w orzecznictwie dość restrykcyjnie podchodzi się do problemu ochrony klientów detalicznych firm inwestycyjnych. Praktyki mające na celu sprzedaż instrumentów finansowych wbrew potrzebom klienta, przy prezentowaniu mu nieprawdziwych informacji lub wadliwe metody zbierania informacji o kliencie są wychwytywane i negatywnie oceniane pod kątem prawnym. Trafnie ocenia się rynek instrumentów finansowych jako dość zachowawczy a klientów najczęściej jako mało doświadczonych i bardzo ostrożnych.</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 xml:space="preserve">3.1. Istota </w:t>
      </w:r>
      <w:proofErr w:type="spellStart"/>
      <w:r w:rsidRPr="00F20579">
        <w:rPr>
          <w:b/>
          <w:bCs/>
          <w:color w:val="000000" w:themeColor="text1"/>
        </w:rPr>
        <w:t>misselingu</w:t>
      </w:r>
      <w:proofErr w:type="spellEnd"/>
    </w:p>
    <w:p w:rsidR="00703C40" w:rsidRPr="00F20579" w:rsidRDefault="00703C40" w:rsidP="00703C40">
      <w:pPr>
        <w:spacing w:line="360" w:lineRule="auto"/>
        <w:jc w:val="both"/>
        <w:rPr>
          <w:color w:val="000000" w:themeColor="text1"/>
        </w:rPr>
      </w:pPr>
      <w:r w:rsidRPr="00F20579">
        <w:rPr>
          <w:color w:val="000000" w:themeColor="text1"/>
        </w:rPr>
        <w:lastRenderedPageBreak/>
        <w:tab/>
        <w:t xml:space="preserve">Martwi to, że sądy nie do końca akceptują istotę </w:t>
      </w:r>
      <w:proofErr w:type="spellStart"/>
      <w:r w:rsidRPr="00F20579">
        <w:rPr>
          <w:color w:val="000000" w:themeColor="text1"/>
        </w:rPr>
        <w:t>misselingu</w:t>
      </w:r>
      <w:proofErr w:type="spellEnd"/>
      <w:r w:rsidRPr="00F20579">
        <w:rPr>
          <w:color w:val="000000" w:themeColor="text1"/>
        </w:rPr>
        <w:t>, a zwłaszcza nie odwołują się w tym zakresie do ustawy o obrocie instrumentami finansowymi</w:t>
      </w:r>
      <w:r w:rsidRPr="00F20579">
        <w:rPr>
          <w:rStyle w:val="Odwoanieprzypisudolnego"/>
          <w:color w:val="000000" w:themeColor="text1"/>
        </w:rPr>
        <w:footnoteReference w:id="17"/>
      </w:r>
      <w:r w:rsidRPr="00F20579">
        <w:rPr>
          <w:color w:val="000000" w:themeColor="text1"/>
        </w:rPr>
        <w:t>. Wskazanie na art. 24 ustawy o ochronie konkurencji i konsumentów jest w takiej sytuacji o tyle niekompletne, że przepis ten, dla odtworzenia pełnej treści zawartej w nim normy, wymaga konfrontacji z art. 83g i 83h ustawy o obrocie instrumentami finansowymi</w:t>
      </w:r>
      <w:r w:rsidRPr="00F20579">
        <w:rPr>
          <w:rStyle w:val="Odwoanieprzypisudolnego"/>
          <w:color w:val="000000" w:themeColor="text1"/>
        </w:rPr>
        <w:footnoteReference w:id="18"/>
      </w:r>
      <w:r w:rsidRPr="00F20579">
        <w:rPr>
          <w:color w:val="000000" w:themeColor="text1"/>
        </w:rPr>
        <w:t xml:space="preserve">. Dopiero łącznie przepisy te pozwalają na zbudowanie pełnego zakresu obowiązków banku (lub innego podmiotu oferującego instrumenty finansowe), których zaniechanie stanowi o </w:t>
      </w:r>
      <w:proofErr w:type="spellStart"/>
      <w:r w:rsidRPr="00F20579">
        <w:rPr>
          <w:color w:val="000000" w:themeColor="text1"/>
        </w:rPr>
        <w:t>misselingu</w:t>
      </w:r>
      <w:proofErr w:type="spellEnd"/>
      <w:r w:rsidRPr="00F20579">
        <w:rPr>
          <w:color w:val="000000" w:themeColor="text1"/>
        </w:rPr>
        <w:t xml:space="preserve">. Bank ma bowiem obowiązek dokonać badania potrzeb klienta, w oparciu o zgromadzone przez siebie informacje i następnie wyciągnąć z tego badania poprawne wnioski co do charakterystyki instrumentu finansowego, który powinien on nabyć. Istotą deliktu, który przewija się przez wszystkie analizowane orzeczenia nie jest – jakby wynikało z uzasadnień niektórych wyroków – brak dostatecznych informacji przekazanych klientowi, lecz zaniechanie zbadania jego potrzeb w kontekście posiadanych przez niego kompetencji. Ustalenie pełnej treści normy określającej delikt </w:t>
      </w:r>
      <w:proofErr w:type="spellStart"/>
      <w:r w:rsidRPr="00F20579">
        <w:rPr>
          <w:color w:val="000000" w:themeColor="text1"/>
        </w:rPr>
        <w:t>misselingu</w:t>
      </w:r>
      <w:proofErr w:type="spellEnd"/>
      <w:r w:rsidRPr="00F20579">
        <w:rPr>
          <w:color w:val="000000" w:themeColor="text1"/>
        </w:rPr>
        <w:t xml:space="preserve"> oszczędziłoby pracy orzecznictwu: złamanie zasad wymaganych przez prawo co do zbadania profilu klienta wypełnia przesłankę bezprawności. Pozwala to na oparcie odpowiedzialności pozwanych o delikt, bez konieczności analizowania ewentualnych przesłanek odpowiedzialności kontraktowej. Dodatkowym ułatwieniem dla poszkodowanych jest tu art. 13 ustawy o przeciwdziałaniu nieuczciwym praktykom rynkowym, zgodnie z którym ustalenie nieuczciwej praktyki rynkowej przenosi ciężar dowodu na pozwanego przedsiębiorcę.</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 xml:space="preserve">3.2. </w:t>
      </w:r>
      <w:proofErr w:type="spellStart"/>
      <w:r w:rsidRPr="00F20579">
        <w:rPr>
          <w:b/>
          <w:bCs/>
          <w:color w:val="000000" w:themeColor="text1"/>
        </w:rPr>
        <w:t>Misseling</w:t>
      </w:r>
      <w:proofErr w:type="spellEnd"/>
      <w:r w:rsidRPr="00F20579">
        <w:rPr>
          <w:b/>
          <w:bCs/>
          <w:color w:val="000000" w:themeColor="text1"/>
        </w:rPr>
        <w:t xml:space="preserve"> jako przyczyna nieważności umowy</w:t>
      </w:r>
    </w:p>
    <w:p w:rsidR="00703C40" w:rsidRPr="00F20579" w:rsidRDefault="00703C40" w:rsidP="00703C40">
      <w:pPr>
        <w:spacing w:line="360" w:lineRule="auto"/>
        <w:jc w:val="both"/>
        <w:rPr>
          <w:color w:val="000000" w:themeColor="text1"/>
        </w:rPr>
      </w:pPr>
      <w:r w:rsidRPr="00F20579">
        <w:rPr>
          <w:color w:val="000000" w:themeColor="text1"/>
        </w:rPr>
        <w:tab/>
        <w:t xml:space="preserve">Dość jednolicie uznaje się, że ujawniona praktyka </w:t>
      </w:r>
      <w:proofErr w:type="spellStart"/>
      <w:r w:rsidRPr="00F20579">
        <w:rPr>
          <w:color w:val="000000" w:themeColor="text1"/>
        </w:rPr>
        <w:t>misselingu</w:t>
      </w:r>
      <w:proofErr w:type="spellEnd"/>
      <w:r w:rsidRPr="00F20579">
        <w:rPr>
          <w:color w:val="000000" w:themeColor="text1"/>
        </w:rPr>
        <w:t xml:space="preserve"> prowadzi do nieważności umowy i powstania obowiązku zwrotu świadczenia na rzecz inwestora. Można tu mieć jednak pewne wątpliwości. Po pierwsze, nie do końca jest pewne to, czy w świetle wskazywanego art. 58§1 k.c. rzeczywiście zaniechanie badania potrzeb klienta, zaoferowanie mu produktu nieadekwatnego do jego potrzeb, a nawet wprowadzenie błąd co do cech i bezpieczeństwa produktu prowadzi do nieważności umowy. Ani ustawa o przeciwdziałaniu nieuczciwym </w:t>
      </w:r>
      <w:r w:rsidRPr="00F20579">
        <w:rPr>
          <w:color w:val="000000" w:themeColor="text1"/>
        </w:rPr>
        <w:lastRenderedPageBreak/>
        <w:t>praktykom rynkowym, ani ustawa o ochronie konkurencji i konsumentów nie przewiduje automatycznej nieważności umowy w przypadku tego typu naruszeń.</w:t>
      </w:r>
    </w:p>
    <w:p w:rsidR="00703C40" w:rsidRPr="00F20579" w:rsidRDefault="00703C40" w:rsidP="00703C40">
      <w:pPr>
        <w:spacing w:line="360" w:lineRule="auto"/>
        <w:jc w:val="both"/>
        <w:rPr>
          <w:color w:val="000000" w:themeColor="text1"/>
        </w:rPr>
      </w:pPr>
      <w:r w:rsidRPr="00F20579">
        <w:rPr>
          <w:color w:val="000000" w:themeColor="text1"/>
        </w:rPr>
        <w:tab/>
        <w:t>Trzeba zauważyć, że sprzeczność z prawem niektórych postanowień umowy prowadzi do ich nieważności, co niekoniecznie musi oznaczać nieważność całej umowy, co wynika z art. 58§3 k.c. Brak jest zwłaszcza analizy tego, czy po ustaleniu, że doszło do naruszenia zasad dotyczących oceny potrzeb klienta oraz ewentualnie naruszenia obowiązków informacyjnych, można uznać ważność umowy w pozostałej części</w:t>
      </w:r>
      <w:r w:rsidRPr="00F20579">
        <w:rPr>
          <w:rStyle w:val="Odwoanieprzypisudolnego"/>
          <w:color w:val="000000" w:themeColor="text1"/>
        </w:rPr>
        <w:footnoteReference w:id="19"/>
      </w:r>
      <w:r w:rsidRPr="00F20579">
        <w:rPr>
          <w:color w:val="000000" w:themeColor="text1"/>
        </w:rPr>
        <w:t>. Nie przekreśla to przecież odpowiedzialności banku za delikt i nienależyte wykonanie zobowiązania. W praktyce, uznanie, że umowa o nabycie instrumentu finansowego jest ważna, mimo wadliwego trybu badania potrzeb klienta, może być korzystne dla klienta. Daje to bowiem możliwość skorzystania z instrumentów odpowiedzialności kontraktowej.</w:t>
      </w:r>
    </w:p>
    <w:p w:rsidR="00703C40" w:rsidRPr="00F20579" w:rsidRDefault="00703C40" w:rsidP="00703C40">
      <w:pPr>
        <w:spacing w:line="360" w:lineRule="auto"/>
        <w:jc w:val="both"/>
        <w:rPr>
          <w:color w:val="000000" w:themeColor="text1"/>
        </w:rPr>
      </w:pPr>
      <w:r w:rsidRPr="00F20579">
        <w:rPr>
          <w:color w:val="000000" w:themeColor="text1"/>
        </w:rPr>
        <w:tab/>
        <w:t xml:space="preserve">Stwierdzenie nieważności umowy wpływa także negatywnie na zakres świadczeń, które przysługują klientom. Uznanie nieważności umowy o nabyciu obligacji oznacza, że klient nie nabył instrumentu finansowego. To powoduje, że nie może oczekiwać jego wykupu – np. w ramach ugody zawartej z </w:t>
      </w:r>
      <w:proofErr w:type="spellStart"/>
      <w:r w:rsidRPr="00F20579">
        <w:rPr>
          <w:color w:val="000000" w:themeColor="text1"/>
        </w:rPr>
        <w:t>GetBack</w:t>
      </w:r>
      <w:proofErr w:type="spellEnd"/>
      <w:r w:rsidRPr="00F20579">
        <w:rPr>
          <w:color w:val="000000" w:themeColor="text1"/>
        </w:rPr>
        <w:t xml:space="preserve"> S. A. Takich konsekwencji stwierdzenia nieważności umowy sądy wydają się nie zauważać.</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3.3. Deliktowa podstawa roszczeń klienta</w:t>
      </w:r>
    </w:p>
    <w:p w:rsidR="00703C40" w:rsidRPr="00F20579" w:rsidRDefault="00703C40" w:rsidP="00703C40">
      <w:pPr>
        <w:spacing w:line="360" w:lineRule="auto"/>
        <w:jc w:val="both"/>
        <w:rPr>
          <w:color w:val="000000" w:themeColor="text1"/>
        </w:rPr>
      </w:pPr>
      <w:r w:rsidRPr="00F20579">
        <w:rPr>
          <w:color w:val="000000" w:themeColor="text1"/>
        </w:rPr>
        <w:tab/>
        <w:t xml:space="preserve">Podstawą prawną zasądzanego odszkodowania jest zwykle delikt, wynikający ze stwierdzonej praktyki </w:t>
      </w:r>
      <w:proofErr w:type="spellStart"/>
      <w:r w:rsidRPr="00F20579">
        <w:rPr>
          <w:color w:val="000000" w:themeColor="text1"/>
        </w:rPr>
        <w:t>misselingu</w:t>
      </w:r>
      <w:proofErr w:type="spellEnd"/>
      <w:r w:rsidRPr="00F20579">
        <w:rPr>
          <w:color w:val="000000" w:themeColor="text1"/>
        </w:rPr>
        <w:t>. Jako podstawę prawną wskazuje się art. 415, przesłankę bezprawności przesądza naruszenie przepisów ustaw przeciwdziałaniu nieuczciwym praktykom rynkowy oraz ustawy o ochronie konkurencji i konsumentów. Ta pierwsza ustawa zapewnia także przeniesienie ciężaru dowodu na pozwany bank, co powoduje, że poszkodowany nie musi już udowadniać winy pracowników pozwanego w naruszeniu zasad obrotu instrumentami finansowymi. Brakiem wydaje się pomijanie wymagań ustawy o obrocie instrumentami finansowymi, która dokładnie precyzuje, na czym ma polegać badanie potrzeb klienta.</w:t>
      </w:r>
    </w:p>
    <w:p w:rsidR="00703C40" w:rsidRPr="00F20579" w:rsidRDefault="00703C40" w:rsidP="00703C40">
      <w:pPr>
        <w:spacing w:line="360" w:lineRule="auto"/>
        <w:jc w:val="both"/>
        <w:rPr>
          <w:color w:val="000000" w:themeColor="text1"/>
        </w:rPr>
      </w:pPr>
      <w:r w:rsidRPr="00F20579">
        <w:rPr>
          <w:color w:val="000000" w:themeColor="text1"/>
        </w:rPr>
        <w:tab/>
        <w:t xml:space="preserve">Nieporozumieniem jest natomiast traktowanie roszczeń z tytułu bezpodstawnego wzbogacenia (jako pochodnych stwierdzonej nieważności umowy) jako wyłączających roszczenia deliktowe. Wydaje się, że wynika to z pominięcia reguł dotyczących zbiegu </w:t>
      </w:r>
      <w:r w:rsidRPr="00F20579">
        <w:rPr>
          <w:color w:val="000000" w:themeColor="text1"/>
        </w:rPr>
        <w:lastRenderedPageBreak/>
        <w:t>odpowiedzialności</w:t>
      </w:r>
      <w:r w:rsidRPr="00F20579">
        <w:rPr>
          <w:rStyle w:val="Odwoanieprzypisudolnego"/>
          <w:color w:val="000000" w:themeColor="text1"/>
        </w:rPr>
        <w:footnoteReference w:id="20"/>
      </w:r>
      <w:r w:rsidRPr="00F20579">
        <w:rPr>
          <w:color w:val="000000" w:themeColor="text1"/>
        </w:rPr>
        <w:t>, a zwłaszcza art. 414 k.c., który wprost przewiduje możliwość wyboru pomiędzy roszczeniami z tytułu bezpodstawnego wzbogacenia a roszczeniami z tytułu odpowiedzialności deliktowej. Pozostawienie poszkodowanemu do dyspozycji wyłącznie roszczeń z art. 405 k.c. osłabia jego pozycję, choćby ze względu na zakres roszczeń oraz terminy ich przedawnienia.</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3.4. Wysokość odszkodowania</w:t>
      </w:r>
    </w:p>
    <w:p w:rsidR="00703C40" w:rsidRPr="00F20579" w:rsidRDefault="00703C40" w:rsidP="00703C40">
      <w:pPr>
        <w:spacing w:line="360" w:lineRule="auto"/>
        <w:jc w:val="both"/>
        <w:rPr>
          <w:color w:val="000000" w:themeColor="text1"/>
        </w:rPr>
      </w:pPr>
      <w:r w:rsidRPr="00F20579">
        <w:rPr>
          <w:color w:val="000000" w:themeColor="text1"/>
        </w:rPr>
        <w:tab/>
        <w:t>Wysokość odszkodowania jest w omawianych sprawach kwestią dyskusyjną. Pojawiają się tu dwa zagadnienia: zwrot utraconych korzyści, jaki inwestor otrzymałby w przypadku innego ulokowania środków oraz wpływ ugody zawartej przez emitenta obligacji z wierzycielami na wysokość szkody.</w:t>
      </w:r>
    </w:p>
    <w:p w:rsidR="00703C40" w:rsidRPr="00F20579" w:rsidRDefault="00703C40" w:rsidP="00703C40">
      <w:pPr>
        <w:spacing w:line="360" w:lineRule="auto"/>
        <w:jc w:val="both"/>
        <w:rPr>
          <w:color w:val="000000" w:themeColor="text1"/>
        </w:rPr>
      </w:pPr>
      <w:r w:rsidRPr="00F20579">
        <w:rPr>
          <w:color w:val="000000" w:themeColor="text1"/>
        </w:rPr>
        <w:tab/>
        <w:t>W tym pierwszym przypadku sądy trzymają się dość utrwalonego poglądu o hipotetycznym charakterze takich szkód. Wymaga się od powodów wykazania prawdopodobieństwa uzyskania korzyści w sposób niebudzący wątpliwości. Jest to możliwe choćby poprzez badanie dotychczasowego zachowania klienta, jego praktyki i nawyków w zakresie lokowania oszczędności</w:t>
      </w:r>
      <w:r w:rsidRPr="00F20579">
        <w:rPr>
          <w:rStyle w:val="Odwoanieprzypisudolnego"/>
          <w:color w:val="000000" w:themeColor="text1"/>
        </w:rPr>
        <w:footnoteReference w:id="21"/>
      </w:r>
      <w:r w:rsidRPr="00F20579">
        <w:rPr>
          <w:color w:val="000000" w:themeColor="text1"/>
        </w:rPr>
        <w:t>.</w:t>
      </w:r>
    </w:p>
    <w:p w:rsidR="00703C40" w:rsidRPr="00F20579" w:rsidRDefault="00703C40" w:rsidP="00703C40">
      <w:pPr>
        <w:spacing w:line="360" w:lineRule="auto"/>
        <w:jc w:val="both"/>
        <w:rPr>
          <w:color w:val="000000" w:themeColor="text1"/>
        </w:rPr>
      </w:pPr>
      <w:r w:rsidRPr="00F20579">
        <w:rPr>
          <w:color w:val="000000" w:themeColor="text1"/>
        </w:rPr>
        <w:tab/>
        <w:t>Jeśli chodzi o wpływ zawartej przez emitenta obligacji ugody co do częściowego spłacenia zadłużenia, na wysokość szkody są prezentowane dwa stanowiska. Można uznać, że odszkodowanie winno być zmniejszone o kwotę wynikającą z ugody lub też uznać, że odliczeniu podlegają wyłącznie sumy rzeczywiście w ramach ugody wypłacone. Prawidłowe wydaje się to pierwsze stanowisko, zawarta ugoda powoduje przecież powstanie po stronie inwestora wierzytelności. Dopiero niewykonanie ugody prowadzi do powstania nowego roszczenia odszkodowawczego. Układ kreuje realną wartość majątkową w postaci roszczenia o jego wykonanie. Wbrew twierdzeniom pojawiającym się w niektórych orzeczeniach, nie są to kwoty hipotetyczne i niepewne. Wszak układ jest zaakceptowany przez właściwy sąd i jest wynikiem oceny realnych możliwości finansowych dłużnika</w:t>
      </w:r>
      <w:r w:rsidRPr="00F20579">
        <w:rPr>
          <w:rStyle w:val="Odwoanieprzypisudolnego"/>
          <w:color w:val="000000" w:themeColor="text1"/>
        </w:rPr>
        <w:footnoteReference w:id="22"/>
      </w:r>
      <w:r w:rsidRPr="00F20579">
        <w:rPr>
          <w:color w:val="000000" w:themeColor="text1"/>
        </w:rPr>
        <w:t xml:space="preserve">. Dopiero jego niewykonanie może </w:t>
      </w:r>
      <w:r w:rsidRPr="00F20579">
        <w:rPr>
          <w:color w:val="000000" w:themeColor="text1"/>
        </w:rPr>
        <w:lastRenderedPageBreak/>
        <w:t>spowodować powstanie dalszych roszczeń odszkodowawczych. Ze względu na treść art. 442</w:t>
      </w:r>
      <w:r w:rsidRPr="00F20579">
        <w:rPr>
          <w:color w:val="000000" w:themeColor="text1"/>
          <w:vertAlign w:val="superscript"/>
        </w:rPr>
        <w:t>1</w:t>
      </w:r>
      <w:r w:rsidRPr="00F20579">
        <w:rPr>
          <w:color w:val="000000" w:themeColor="text1"/>
        </w:rPr>
        <w:t>§1 k.c. nie istnieje tu zagrożenie przedawnieniem roszczeń.</w:t>
      </w:r>
    </w:p>
    <w:p w:rsidR="00703C40" w:rsidRPr="00F20579" w:rsidRDefault="00703C40" w:rsidP="00703C40">
      <w:pPr>
        <w:spacing w:line="360" w:lineRule="auto"/>
        <w:jc w:val="both"/>
        <w:rPr>
          <w:color w:val="000000" w:themeColor="text1"/>
        </w:rPr>
      </w:pPr>
      <w:r w:rsidRPr="00F20579">
        <w:rPr>
          <w:color w:val="000000" w:themeColor="text1"/>
        </w:rPr>
        <w:tab/>
        <w:t>Należy jednak zaznaczyć, że kwestia wzajemnej zależności pomiędzy roszczeniami odszkodowawczymi przeciwko pośrednikom na podstawie art. 415 k.c. a kwotami należnymi z układu zawartego z emitentem papieru wartościowego jest skomplikowana i wymaga odrębnej analizy.</w:t>
      </w:r>
    </w:p>
    <w:p w:rsidR="00703C40" w:rsidRPr="00F20579" w:rsidRDefault="00703C40" w:rsidP="00703C40">
      <w:pPr>
        <w:spacing w:line="360" w:lineRule="auto"/>
        <w:jc w:val="both"/>
        <w:rPr>
          <w:color w:val="000000" w:themeColor="text1"/>
        </w:rPr>
      </w:pPr>
    </w:p>
    <w:p w:rsidR="00703C40" w:rsidRPr="00F20579" w:rsidRDefault="00703C40" w:rsidP="00703C40">
      <w:pPr>
        <w:spacing w:line="360" w:lineRule="auto"/>
        <w:jc w:val="both"/>
        <w:rPr>
          <w:b/>
          <w:bCs/>
          <w:color w:val="000000" w:themeColor="text1"/>
        </w:rPr>
      </w:pPr>
      <w:r w:rsidRPr="00F20579">
        <w:rPr>
          <w:b/>
          <w:bCs/>
          <w:color w:val="000000" w:themeColor="text1"/>
        </w:rPr>
        <w:t>4. Podsumowanie</w:t>
      </w:r>
    </w:p>
    <w:p w:rsidR="00703C40" w:rsidRPr="00F20579" w:rsidRDefault="00703C40" w:rsidP="00703C40">
      <w:pPr>
        <w:spacing w:line="360" w:lineRule="auto"/>
        <w:jc w:val="both"/>
        <w:rPr>
          <w:color w:val="000000" w:themeColor="text1"/>
        </w:rPr>
      </w:pPr>
      <w:r w:rsidRPr="00F20579">
        <w:rPr>
          <w:color w:val="000000" w:themeColor="text1"/>
        </w:rPr>
        <w:tab/>
        <w:t xml:space="preserve">Wprowadzenie szczególnej regulacji dotyczącej </w:t>
      </w:r>
      <w:proofErr w:type="spellStart"/>
      <w:r w:rsidRPr="00F20579">
        <w:rPr>
          <w:color w:val="000000" w:themeColor="text1"/>
        </w:rPr>
        <w:t>misselingu</w:t>
      </w:r>
      <w:proofErr w:type="spellEnd"/>
      <w:r w:rsidRPr="00F20579">
        <w:rPr>
          <w:color w:val="000000" w:themeColor="text1"/>
        </w:rPr>
        <w:t xml:space="preserve"> było ważnym krokiem, którego celem było wzmocnienie pozycji klienta detalicznego na rynku finansowym i ubezpieczeniowym. Obecna regulacja w dużym stopniu przerzuca ryzyko związane z nabywaniem skomplikowanych i niebezpiecznych instrumentów finansowych na wszelkiego rodzaju firmy inwestycyjne, co w praktyce oznacza najczęściej banki. To one są odpowiedzialne za zbadanie kompetencji klientów i doprowadzenie do transakcji odpowiadających ich potrzebom. Jak wskazuje przedstawiona powyżej analiza, praktyka orzecznicza w przeważającej większości dostrzega nowe narzędzia prawne i korzysta z nich zgodnie z intencjami ustawodawcy europejskiego. Pojawiające się niekiedy słabości (wynikające także z pewnego rozproszenia materiału normatywnego pomiędzy kilka ustaw) zostaną bez wątpienia z biegiem czasu przezwyciężone w kształtującej się linii orzeczniczej. Dotyczy to choćby kwestii deliktowej podstawy odpowiedzialności oraz wysokości należnego klientowi indywidualnemu odszkodowania.</w:t>
      </w:r>
    </w:p>
    <w:p w:rsidR="00703C40" w:rsidRPr="00F20579" w:rsidRDefault="00703C40" w:rsidP="00703C40">
      <w:pPr>
        <w:spacing w:line="360" w:lineRule="auto"/>
        <w:jc w:val="both"/>
        <w:rPr>
          <w:color w:val="000000" w:themeColor="text1"/>
        </w:rPr>
      </w:pPr>
    </w:p>
    <w:p w:rsidR="00703C40" w:rsidRPr="00F20579" w:rsidRDefault="00703C40" w:rsidP="00703C40">
      <w:pPr>
        <w:jc w:val="both"/>
        <w:rPr>
          <w:color w:val="000000" w:themeColor="text1"/>
          <w:lang w:val="en-US"/>
        </w:rPr>
      </w:pPr>
    </w:p>
    <w:p w:rsidR="00703C40" w:rsidRPr="00F20579" w:rsidRDefault="00703C40" w:rsidP="00703C40">
      <w:pPr>
        <w:jc w:val="both"/>
        <w:rPr>
          <w:color w:val="000000" w:themeColor="text1"/>
          <w:lang w:val="en-US"/>
        </w:rPr>
      </w:pPr>
    </w:p>
    <w:p w:rsidR="00703C40" w:rsidRPr="00F20579" w:rsidRDefault="00703C40" w:rsidP="00703C40">
      <w:pPr>
        <w:jc w:val="both"/>
        <w:rPr>
          <w:color w:val="000000" w:themeColor="text1"/>
          <w:lang w:val="en-US"/>
        </w:rPr>
      </w:pPr>
    </w:p>
    <w:p w:rsidR="00703C40" w:rsidRPr="00F20579" w:rsidRDefault="00703C40" w:rsidP="00703C40">
      <w:pPr>
        <w:pStyle w:val="Tekstprzypisudolnego"/>
        <w:jc w:val="both"/>
        <w:rPr>
          <w:rFonts w:cstheme="minorHAnsi"/>
          <w:color w:val="000000" w:themeColor="text1"/>
        </w:rPr>
      </w:pPr>
      <w:r w:rsidRPr="00F20579">
        <w:rPr>
          <w:rFonts w:cstheme="minorHAnsi"/>
          <w:color w:val="000000" w:themeColor="text1"/>
        </w:rPr>
        <w:t>Literatura</w:t>
      </w:r>
    </w:p>
    <w:p w:rsidR="00703C40" w:rsidRPr="00F20579" w:rsidRDefault="00703C40" w:rsidP="00703C40">
      <w:pPr>
        <w:pStyle w:val="Tekstprzypisudolnego"/>
        <w:jc w:val="both"/>
        <w:rPr>
          <w:rFonts w:cstheme="minorHAnsi"/>
          <w:color w:val="000000" w:themeColor="text1"/>
        </w:rPr>
      </w:pPr>
    </w:p>
    <w:p w:rsidR="00703C40" w:rsidRPr="00F20579" w:rsidRDefault="00703C40" w:rsidP="00703C40">
      <w:pPr>
        <w:pStyle w:val="Tekstprzypisudolnego"/>
        <w:jc w:val="both"/>
        <w:rPr>
          <w:color w:val="000000" w:themeColor="text1"/>
        </w:rPr>
      </w:pPr>
      <w:r w:rsidRPr="00F20579">
        <w:rPr>
          <w:color w:val="000000" w:themeColor="text1"/>
        </w:rPr>
        <w:t xml:space="preserve">J. Bereźnicki, Nowy </w:t>
      </w:r>
      <w:proofErr w:type="spellStart"/>
      <w:r w:rsidRPr="00F20579">
        <w:rPr>
          <w:color w:val="000000" w:themeColor="text1"/>
        </w:rPr>
        <w:t>Amber</w:t>
      </w:r>
      <w:proofErr w:type="spellEnd"/>
      <w:r w:rsidRPr="00F20579">
        <w:rPr>
          <w:color w:val="000000" w:themeColor="text1"/>
        </w:rPr>
        <w:t xml:space="preserve"> Gold? Inwestorzy stracili pół miliarda złotych na funduszach rolnych i leśnych, Money.pl z 25.10.2017, https://www.money.pl/gospodarka/wiadomosci/artykul/fundusze-inwestycyjne-pol-miliarda,245,0,2381045.html, stan na: 15.04.2025.</w:t>
      </w:r>
    </w:p>
    <w:p w:rsidR="00703C40" w:rsidRPr="00F20579" w:rsidRDefault="00703C40" w:rsidP="00703C40">
      <w:pPr>
        <w:pStyle w:val="Tekstprzypisudolnego"/>
        <w:jc w:val="both"/>
        <w:rPr>
          <w:rFonts w:cstheme="minorHAnsi"/>
          <w:color w:val="000000" w:themeColor="text1"/>
        </w:rPr>
      </w:pPr>
      <w:r w:rsidRPr="00F20579">
        <w:rPr>
          <w:rFonts w:cstheme="minorHAnsi"/>
          <w:color w:val="000000" w:themeColor="text1"/>
        </w:rPr>
        <w:t xml:space="preserve">Informacja o wynikach kontroli. Działalność organów i instytucji państwowych oraz podmiotów organizujących rynek finansowy wobec spółki </w:t>
      </w:r>
      <w:proofErr w:type="spellStart"/>
      <w:r w:rsidRPr="00F20579">
        <w:rPr>
          <w:rFonts w:cstheme="minorHAnsi"/>
          <w:color w:val="000000" w:themeColor="text1"/>
        </w:rPr>
        <w:t>GetBack</w:t>
      </w:r>
      <w:proofErr w:type="spellEnd"/>
      <w:r w:rsidRPr="00F20579">
        <w:rPr>
          <w:rFonts w:cstheme="minorHAnsi"/>
          <w:color w:val="000000" w:themeColor="text1"/>
        </w:rPr>
        <w:t xml:space="preserve"> S.A., podmiotów oferujących jej papiery wartościowe oraz ją audytujących: https://www.nik.gov.pl/plik/id,21685,vp,24335.pdf.</w:t>
      </w:r>
    </w:p>
    <w:p w:rsidR="00703C40" w:rsidRPr="00F20579" w:rsidRDefault="00703C40" w:rsidP="00703C40">
      <w:pPr>
        <w:pStyle w:val="Tekstprzypisudolnego"/>
        <w:jc w:val="both"/>
        <w:rPr>
          <w:color w:val="000000" w:themeColor="text1"/>
        </w:rPr>
      </w:pPr>
      <w:r w:rsidRPr="00F20579">
        <w:rPr>
          <w:color w:val="000000" w:themeColor="text1"/>
        </w:rPr>
        <w:t xml:space="preserve">B. Kucharski: Ewolucja odpowiedzialności za niedostosowanie umowy ubezpieczenia do wymagań i potrzeb </w:t>
      </w:r>
      <w:proofErr w:type="spellStart"/>
      <w:r w:rsidRPr="00F20579">
        <w:rPr>
          <w:color w:val="000000" w:themeColor="text1"/>
        </w:rPr>
        <w:t>klinta</w:t>
      </w:r>
      <w:proofErr w:type="spellEnd"/>
      <w:r w:rsidRPr="00F20579">
        <w:rPr>
          <w:color w:val="000000" w:themeColor="text1"/>
        </w:rPr>
        <w:t xml:space="preserve"> w orzecznictwie sądowym, Radca Prawny 2023 z. 3, s. 11.</w:t>
      </w:r>
    </w:p>
    <w:p w:rsidR="00703C40" w:rsidRPr="00F20579" w:rsidRDefault="00703C40" w:rsidP="00703C40">
      <w:pPr>
        <w:pStyle w:val="Tekstprzypisudolnego"/>
        <w:jc w:val="both"/>
        <w:rPr>
          <w:color w:val="000000" w:themeColor="text1"/>
        </w:rPr>
      </w:pPr>
      <w:r w:rsidRPr="00F20579">
        <w:rPr>
          <w:color w:val="000000" w:themeColor="text1"/>
        </w:rPr>
        <w:t>E. Łętowska, Zbieg reżimów bezpodstawnego wzbogacenia i odpowiedzialności odszkodowawczej (art. 414 k.c.) w: System Prawa Prywatnego, t. 1, red. M. Safjan, Warszawa 2007, s. 551 i nast.</w:t>
      </w:r>
    </w:p>
    <w:p w:rsidR="00703C40" w:rsidRPr="00F20579" w:rsidRDefault="00703C40" w:rsidP="00703C40">
      <w:pPr>
        <w:pStyle w:val="Tekstprzypisudolnego"/>
        <w:jc w:val="both"/>
        <w:rPr>
          <w:rFonts w:cstheme="minorHAnsi"/>
          <w:color w:val="000000" w:themeColor="text1"/>
        </w:rPr>
      </w:pPr>
      <w:r w:rsidRPr="00F20579">
        <w:rPr>
          <w:rFonts w:cstheme="minorHAnsi"/>
          <w:color w:val="000000" w:themeColor="text1"/>
        </w:rPr>
        <w:t xml:space="preserve">K. </w:t>
      </w:r>
      <w:proofErr w:type="spellStart"/>
      <w:r w:rsidRPr="00F20579">
        <w:rPr>
          <w:rFonts w:cstheme="minorHAnsi"/>
          <w:color w:val="000000" w:themeColor="text1"/>
        </w:rPr>
        <w:t>Osajda</w:t>
      </w:r>
      <w:proofErr w:type="spellEnd"/>
      <w:r w:rsidRPr="00F20579">
        <w:rPr>
          <w:rFonts w:cstheme="minorHAnsi"/>
          <w:color w:val="000000" w:themeColor="text1"/>
        </w:rPr>
        <w:t>, Granice statusu konsumenta w prawie cywilnym – perspektywa temporalna oraz kwestia niedokonania czynności prawnej, Przegląd Sądowy 2022/11-12.</w:t>
      </w:r>
    </w:p>
    <w:p w:rsidR="00703C40" w:rsidRPr="00F20579" w:rsidRDefault="00703C40" w:rsidP="00703C40">
      <w:pPr>
        <w:pStyle w:val="Tekstprzypisudolnego"/>
        <w:jc w:val="both"/>
        <w:rPr>
          <w:color w:val="000000" w:themeColor="text1"/>
        </w:rPr>
      </w:pPr>
      <w:r w:rsidRPr="00F20579">
        <w:rPr>
          <w:rFonts w:cstheme="minorHAnsi"/>
          <w:color w:val="000000" w:themeColor="text1"/>
        </w:rPr>
        <w:lastRenderedPageBreak/>
        <w:t xml:space="preserve">K. </w:t>
      </w:r>
      <w:proofErr w:type="spellStart"/>
      <w:r w:rsidRPr="00F20579">
        <w:rPr>
          <w:rFonts w:cstheme="minorHAnsi"/>
          <w:color w:val="000000" w:themeColor="text1"/>
        </w:rPr>
        <w:t>Osajda</w:t>
      </w:r>
      <w:proofErr w:type="spellEnd"/>
      <w:r w:rsidRPr="00F20579">
        <w:rPr>
          <w:rFonts w:cstheme="minorHAnsi"/>
          <w:color w:val="000000" w:themeColor="text1"/>
        </w:rPr>
        <w:t>, Ochrona inwestora - konsumenta na rynku instrumentów finansowych (rynku kapitałowym) Państwo i Prawo 2021 z. 4 s. 22.</w:t>
      </w:r>
    </w:p>
    <w:p w:rsidR="00703C40" w:rsidRPr="00F20579" w:rsidRDefault="00703C40" w:rsidP="00703C40">
      <w:pPr>
        <w:pStyle w:val="Tekstprzypisudolnego"/>
        <w:jc w:val="both"/>
        <w:rPr>
          <w:color w:val="000000" w:themeColor="text1"/>
        </w:rPr>
      </w:pPr>
      <w:r w:rsidRPr="00F20579">
        <w:rPr>
          <w:color w:val="000000" w:themeColor="text1"/>
        </w:rPr>
        <w:t>Z. Radwański, Części składowe czynności prawnej, w: System Prawa Prywatnego, t. 2, Prawo cywilne. Część ogólna, red. Z. Radwański, Warszawa 2002, s. 264 i nast.</w:t>
      </w:r>
    </w:p>
    <w:p w:rsidR="00703C40" w:rsidRPr="00F20579" w:rsidRDefault="00703C40" w:rsidP="00703C40">
      <w:pPr>
        <w:pStyle w:val="Tekstprzypisudolnego"/>
        <w:jc w:val="both"/>
        <w:rPr>
          <w:rFonts w:cstheme="minorHAnsi"/>
          <w:color w:val="000000" w:themeColor="text1"/>
        </w:rPr>
      </w:pPr>
      <w:r w:rsidRPr="00F20579">
        <w:rPr>
          <w:rFonts w:cstheme="minorHAnsi"/>
          <w:color w:val="000000" w:themeColor="text1"/>
        </w:rPr>
        <w:t xml:space="preserve">K. </w:t>
      </w:r>
      <w:proofErr w:type="spellStart"/>
      <w:r w:rsidRPr="00F20579">
        <w:rPr>
          <w:rFonts w:cstheme="minorHAnsi"/>
          <w:color w:val="000000" w:themeColor="text1"/>
        </w:rPr>
        <w:t>Zacharzewski</w:t>
      </w:r>
      <w:proofErr w:type="spellEnd"/>
      <w:r w:rsidRPr="00F20579">
        <w:rPr>
          <w:rFonts w:cstheme="minorHAnsi"/>
          <w:color w:val="000000" w:themeColor="text1"/>
        </w:rPr>
        <w:t xml:space="preserve">, w: Ustawa o obrocie instrumentami finansowymi. Komentarz, red. M. Wierzbowski, Warszawa 2023, LEGALIS, komentarz do art. 83 g. </w:t>
      </w:r>
    </w:p>
    <w:p w:rsidR="00703C40" w:rsidRPr="00F20579" w:rsidRDefault="00703C40" w:rsidP="00703C40">
      <w:pPr>
        <w:pStyle w:val="Tekstprzypisudolnego"/>
        <w:jc w:val="both"/>
        <w:rPr>
          <w:color w:val="000000" w:themeColor="text1"/>
        </w:rPr>
      </w:pPr>
    </w:p>
    <w:p w:rsidR="00703C40" w:rsidRPr="00F20579" w:rsidRDefault="00703C40" w:rsidP="00703C40">
      <w:pPr>
        <w:pStyle w:val="Tekstprzypisudolnego"/>
        <w:jc w:val="both"/>
        <w:rPr>
          <w:color w:val="000000" w:themeColor="text1"/>
        </w:rPr>
      </w:pPr>
    </w:p>
    <w:p w:rsidR="00703C40" w:rsidRPr="00F20579" w:rsidRDefault="00703C40" w:rsidP="00703C40">
      <w:pPr>
        <w:pStyle w:val="Tekstprzypisudolnego"/>
        <w:jc w:val="both"/>
        <w:rPr>
          <w:color w:val="000000" w:themeColor="text1"/>
        </w:rPr>
      </w:pPr>
      <w:r w:rsidRPr="00F20579">
        <w:rPr>
          <w:color w:val="000000" w:themeColor="text1"/>
        </w:rPr>
        <w:t>Orzeczenia</w:t>
      </w:r>
    </w:p>
    <w:p w:rsidR="00703C40" w:rsidRPr="00F20579" w:rsidRDefault="00703C40" w:rsidP="00703C40">
      <w:pPr>
        <w:pStyle w:val="Tekstprzypisudolnego"/>
        <w:jc w:val="both"/>
        <w:rPr>
          <w:color w:val="000000" w:themeColor="text1"/>
        </w:rPr>
      </w:pPr>
    </w:p>
    <w:p w:rsidR="00703C40" w:rsidRPr="00F20579" w:rsidRDefault="00703C40" w:rsidP="00703C40">
      <w:pPr>
        <w:pStyle w:val="Tekstprzypisudolnego"/>
        <w:jc w:val="both"/>
        <w:rPr>
          <w:color w:val="000000" w:themeColor="text1"/>
        </w:rPr>
      </w:pPr>
      <w:r w:rsidRPr="00F20579">
        <w:rPr>
          <w:color w:val="000000" w:themeColor="text1"/>
        </w:rPr>
        <w:t>Wyrok S. O. w Warszawie z 21.03.2024, I C 646/23.</w:t>
      </w:r>
    </w:p>
    <w:p w:rsidR="00703C40" w:rsidRPr="00F20579" w:rsidRDefault="00703C40" w:rsidP="00703C40">
      <w:pPr>
        <w:pStyle w:val="Tekstprzypisudolnego"/>
        <w:jc w:val="both"/>
        <w:rPr>
          <w:color w:val="000000" w:themeColor="text1"/>
        </w:rPr>
      </w:pPr>
      <w:r w:rsidRPr="00F20579">
        <w:rPr>
          <w:color w:val="000000" w:themeColor="text1"/>
        </w:rPr>
        <w:t>Wyrok S. O. w Warszawie z 31.10.2024 r., I C 2141/21.</w:t>
      </w:r>
    </w:p>
    <w:p w:rsidR="00703C40" w:rsidRPr="00F20579" w:rsidRDefault="00703C40" w:rsidP="00703C40">
      <w:pPr>
        <w:pStyle w:val="Tekstprzypisudolnego"/>
        <w:jc w:val="both"/>
        <w:rPr>
          <w:color w:val="000000" w:themeColor="text1"/>
        </w:rPr>
      </w:pPr>
      <w:r w:rsidRPr="00F20579">
        <w:rPr>
          <w:color w:val="000000" w:themeColor="text1"/>
        </w:rPr>
        <w:t>Wyrok S. O. w Warszawie z 17.03.2023 r., sygn. akt XXIV C 2499/20</w:t>
      </w:r>
    </w:p>
    <w:p w:rsidR="00703C40" w:rsidRPr="00F20579" w:rsidRDefault="00703C40" w:rsidP="00703C40">
      <w:pPr>
        <w:pStyle w:val="Tekstprzypisudolnego"/>
        <w:jc w:val="both"/>
        <w:rPr>
          <w:color w:val="000000" w:themeColor="text1"/>
        </w:rPr>
      </w:pPr>
      <w:r w:rsidRPr="00F20579">
        <w:rPr>
          <w:color w:val="000000" w:themeColor="text1"/>
        </w:rPr>
        <w:t xml:space="preserve">Wyrok S. A. w Szczecinie z 20.09.2022 r., sygn. akt: I </w:t>
      </w:r>
      <w:proofErr w:type="spellStart"/>
      <w:r w:rsidRPr="00F20579">
        <w:rPr>
          <w:color w:val="000000" w:themeColor="text1"/>
        </w:rPr>
        <w:t>ACa</w:t>
      </w:r>
      <w:proofErr w:type="spellEnd"/>
      <w:r w:rsidRPr="00F20579">
        <w:rPr>
          <w:color w:val="000000" w:themeColor="text1"/>
        </w:rPr>
        <w:t xml:space="preserve"> 984/21</w:t>
      </w:r>
    </w:p>
    <w:p w:rsidR="00703C40" w:rsidRPr="00F20579" w:rsidRDefault="00703C40" w:rsidP="00703C40">
      <w:pPr>
        <w:pStyle w:val="Tekstprzypisudolnego"/>
        <w:jc w:val="both"/>
        <w:rPr>
          <w:color w:val="000000" w:themeColor="text1"/>
        </w:rPr>
      </w:pPr>
      <w:r w:rsidRPr="00F20579">
        <w:rPr>
          <w:color w:val="000000" w:themeColor="text1"/>
        </w:rPr>
        <w:t xml:space="preserve">Wyrok S. A. w Krakowie z 11.08.2022, I </w:t>
      </w:r>
      <w:proofErr w:type="spellStart"/>
      <w:r w:rsidRPr="00F20579">
        <w:rPr>
          <w:color w:val="000000" w:themeColor="text1"/>
        </w:rPr>
        <w:t>ACa</w:t>
      </w:r>
      <w:proofErr w:type="spellEnd"/>
      <w:r w:rsidRPr="00F20579">
        <w:rPr>
          <w:color w:val="000000" w:themeColor="text1"/>
        </w:rPr>
        <w:t xml:space="preserve"> 10/22</w:t>
      </w:r>
    </w:p>
    <w:p w:rsidR="00703C40" w:rsidRPr="00F20579" w:rsidRDefault="00703C40" w:rsidP="00703C40">
      <w:pPr>
        <w:pStyle w:val="Tekstprzypisudolnego"/>
        <w:jc w:val="both"/>
        <w:rPr>
          <w:color w:val="000000" w:themeColor="text1"/>
        </w:rPr>
      </w:pPr>
      <w:r w:rsidRPr="00F20579">
        <w:rPr>
          <w:color w:val="000000" w:themeColor="text1"/>
        </w:rPr>
        <w:t xml:space="preserve">Wyrok S. A. w Poznaniu z 24.02.2023, I </w:t>
      </w:r>
      <w:proofErr w:type="spellStart"/>
      <w:r w:rsidRPr="00F20579">
        <w:rPr>
          <w:color w:val="000000" w:themeColor="text1"/>
        </w:rPr>
        <w:t>ACa</w:t>
      </w:r>
      <w:proofErr w:type="spellEnd"/>
      <w:r w:rsidRPr="00F20579">
        <w:rPr>
          <w:color w:val="000000" w:themeColor="text1"/>
        </w:rPr>
        <w:t xml:space="preserve"> 860/21.</w:t>
      </w:r>
    </w:p>
    <w:p w:rsidR="00703C40" w:rsidRPr="00F20579" w:rsidRDefault="00703C40" w:rsidP="00703C40">
      <w:pPr>
        <w:pStyle w:val="Tekstprzypisudolnego"/>
        <w:jc w:val="both"/>
        <w:rPr>
          <w:rFonts w:cstheme="minorHAnsi"/>
          <w:color w:val="000000" w:themeColor="text1"/>
        </w:rPr>
      </w:pPr>
      <w:r w:rsidRPr="00F20579">
        <w:rPr>
          <w:rFonts w:cstheme="minorHAnsi"/>
          <w:color w:val="000000" w:themeColor="text1"/>
        </w:rPr>
        <w:t>Wyrok SN z 8.09.2017 r., II CSK 845/16, LEX 2350002.</w:t>
      </w:r>
    </w:p>
    <w:p w:rsidR="00703C40" w:rsidRPr="00F20579" w:rsidRDefault="00703C40" w:rsidP="00703C40">
      <w:pPr>
        <w:pStyle w:val="Tekstprzypisudolnego"/>
        <w:jc w:val="both"/>
        <w:rPr>
          <w:color w:val="000000" w:themeColor="text1"/>
        </w:rPr>
      </w:pPr>
      <w:r w:rsidRPr="00F20579">
        <w:rPr>
          <w:color w:val="000000" w:themeColor="text1"/>
        </w:rPr>
        <w:t>Wyrok SN z 20.09.2004, IV CK 612/03, LEX 122870.</w:t>
      </w:r>
    </w:p>
    <w:p w:rsidR="00703C40" w:rsidRPr="00F20579" w:rsidRDefault="00703C40" w:rsidP="00703C40">
      <w:pPr>
        <w:pStyle w:val="Tekstprzypisudolnego"/>
        <w:jc w:val="both"/>
        <w:rPr>
          <w:color w:val="000000" w:themeColor="text1"/>
        </w:rPr>
      </w:pPr>
    </w:p>
    <w:p w:rsidR="00703C40" w:rsidRPr="00F20579" w:rsidRDefault="00703C40" w:rsidP="00703C40">
      <w:pPr>
        <w:pStyle w:val="Tekstprzypisudolnego"/>
        <w:jc w:val="both"/>
        <w:rPr>
          <w:color w:val="000000" w:themeColor="text1"/>
        </w:rPr>
      </w:pPr>
    </w:p>
    <w:p w:rsidR="00703C40" w:rsidRPr="00F20579" w:rsidRDefault="00703C40" w:rsidP="00703C40">
      <w:pPr>
        <w:pStyle w:val="Tekstprzypisudolnego"/>
        <w:jc w:val="both"/>
        <w:rPr>
          <w:color w:val="000000" w:themeColor="text1"/>
        </w:rPr>
      </w:pPr>
    </w:p>
    <w:p w:rsidR="00703C40" w:rsidRPr="00F20579" w:rsidRDefault="00703C40" w:rsidP="00703C40">
      <w:pPr>
        <w:pStyle w:val="Tekstprzypisudolnego"/>
        <w:jc w:val="both"/>
        <w:rPr>
          <w:color w:val="000000" w:themeColor="text1"/>
        </w:rPr>
      </w:pPr>
    </w:p>
    <w:p w:rsidR="00703C40" w:rsidRPr="00F20579" w:rsidRDefault="00703C40" w:rsidP="00703C40">
      <w:pPr>
        <w:rPr>
          <w:color w:val="000000" w:themeColor="text1"/>
        </w:rPr>
      </w:pPr>
    </w:p>
    <w:p w:rsidR="00703C40" w:rsidRPr="00F20579" w:rsidRDefault="00703C40" w:rsidP="00703C40">
      <w:pPr>
        <w:jc w:val="both"/>
        <w:rPr>
          <w:color w:val="000000" w:themeColor="text1"/>
          <w:lang w:val="en-US"/>
        </w:rPr>
      </w:pPr>
    </w:p>
    <w:p w:rsidR="00703C40" w:rsidRDefault="00703C40"/>
    <w:sectPr w:rsidR="00703C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264" w:rsidRDefault="00907264" w:rsidP="00703C40">
      <w:r>
        <w:separator/>
      </w:r>
    </w:p>
  </w:endnote>
  <w:endnote w:type="continuationSeparator" w:id="0">
    <w:p w:rsidR="00907264" w:rsidRDefault="00907264" w:rsidP="0070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264" w:rsidRDefault="00907264" w:rsidP="00703C40">
      <w:r>
        <w:separator/>
      </w:r>
    </w:p>
  </w:footnote>
  <w:footnote w:type="continuationSeparator" w:id="0">
    <w:p w:rsidR="00907264" w:rsidRDefault="00907264" w:rsidP="00703C40">
      <w:r>
        <w:continuationSeparator/>
      </w:r>
    </w:p>
  </w:footnote>
  <w:footnote w:id="1">
    <w:p w:rsidR="00703C40" w:rsidRDefault="00703C40" w:rsidP="00703C40">
      <w:pPr>
        <w:pStyle w:val="Tekstprzypisudolnego"/>
        <w:jc w:val="both"/>
      </w:pPr>
      <w:r>
        <w:rPr>
          <w:rStyle w:val="Odwoanieprzypisudolnego"/>
        </w:rPr>
        <w:footnoteRef/>
      </w:r>
      <w:r>
        <w:t xml:space="preserve"> </w:t>
      </w:r>
      <w:r w:rsidRPr="007343ED">
        <w:rPr>
          <w:rFonts w:cstheme="minorHAnsi"/>
          <w:color w:val="000000" w:themeColor="text1"/>
        </w:rPr>
        <w:t xml:space="preserve">Informacja o wynikach kontroli. Działalność organów i instytucji państwowych oraz podmiotów organizujących rynek finansowy wobec spółki </w:t>
      </w:r>
      <w:proofErr w:type="spellStart"/>
      <w:r w:rsidRPr="007343ED">
        <w:rPr>
          <w:rFonts w:cstheme="minorHAnsi"/>
          <w:color w:val="000000" w:themeColor="text1"/>
        </w:rPr>
        <w:t>GetBack</w:t>
      </w:r>
      <w:proofErr w:type="spellEnd"/>
      <w:r w:rsidRPr="007343ED">
        <w:rPr>
          <w:rFonts w:cstheme="minorHAnsi"/>
          <w:color w:val="000000" w:themeColor="text1"/>
        </w:rPr>
        <w:t xml:space="preserve"> S.A., podmiotów oferujących jej papiery wartościowe oraz ją audytujących: https://www.nik.gov.pl/plik/id,21685,vp,24335.pdf.</w:t>
      </w:r>
    </w:p>
  </w:footnote>
  <w:footnote w:id="2">
    <w:p w:rsidR="00703C40" w:rsidRDefault="00703C40" w:rsidP="00703C40">
      <w:pPr>
        <w:pStyle w:val="Tekstprzypisudolnego"/>
        <w:jc w:val="both"/>
      </w:pPr>
      <w:r>
        <w:rPr>
          <w:rStyle w:val="Odwoanieprzypisudolnego"/>
        </w:rPr>
        <w:footnoteRef/>
      </w:r>
      <w:r>
        <w:t xml:space="preserve"> Opracowanie pomija kwestie dotyczące ochrony klienta na rynku ubezpieczeń, wynikającą z art. 8 ustawy z 15.12.2007 r. o dystrybucji ubezpieczeń (Dz. U. 2024 poz. 1214), por. np. B. Kucharski: Ewolucja odpowiedzialności za niedostosowanie umowy ubezpieczenia do wymagań i potrzeb </w:t>
      </w:r>
      <w:proofErr w:type="spellStart"/>
      <w:r>
        <w:t>klinta</w:t>
      </w:r>
      <w:proofErr w:type="spellEnd"/>
      <w:r>
        <w:t xml:space="preserve"> w orzecznictwie sądowym, Radca Prawny 2023 z. 3, s. 11.</w:t>
      </w:r>
    </w:p>
  </w:footnote>
  <w:footnote w:id="3">
    <w:p w:rsidR="00703C40" w:rsidRDefault="00703C40" w:rsidP="00703C40">
      <w:pPr>
        <w:pStyle w:val="Tekstprzypisudolnego"/>
        <w:jc w:val="both"/>
      </w:pPr>
      <w:r>
        <w:rPr>
          <w:rStyle w:val="Odwoanieprzypisudolnego"/>
        </w:rPr>
        <w:footnoteRef/>
      </w:r>
      <w:r>
        <w:t xml:space="preserve"> </w:t>
      </w:r>
      <w:r w:rsidRPr="007343ED">
        <w:rPr>
          <w:rFonts w:cstheme="minorHAnsi"/>
          <w:color w:val="000000" w:themeColor="text1"/>
        </w:rPr>
        <w:t>Dyrektywa Parlamentu Europejskiego i Rady 2014/65/UE z 15.05.2014 r. w sprawie rynków instrumentów finansowych oraz zmieniająca dyrektywę 2002/92/WE i dyrektywę 2011/61/UE, Dz. U. UE.L2014.173.349.</w:t>
      </w:r>
      <w:r>
        <w:rPr>
          <w:rFonts w:cstheme="minorHAnsi"/>
          <w:color w:val="000000" w:themeColor="text1"/>
        </w:rPr>
        <w:t xml:space="preserve"> Implementowana w ustawie z 29.07.2005 o obrocie instrumentami finansowymi, t. j. Dz. U. 2024 poz.722 i ustawie z 15.12.2017 o dystrybucji ubezpieczeń, t. j. Dz. U. 2024 poz. 12.14.</w:t>
      </w:r>
    </w:p>
  </w:footnote>
  <w:footnote w:id="4">
    <w:p w:rsidR="00703C40" w:rsidRDefault="00703C40" w:rsidP="00703C40">
      <w:pPr>
        <w:pStyle w:val="Tekstprzypisudolnego"/>
      </w:pPr>
      <w:r>
        <w:rPr>
          <w:rStyle w:val="Odwoanieprzypisudolnego"/>
        </w:rPr>
        <w:footnoteRef/>
      </w:r>
      <w:r>
        <w:t xml:space="preserve"> Por. np. K. </w:t>
      </w:r>
      <w:proofErr w:type="spellStart"/>
      <w:r>
        <w:t>Osajda</w:t>
      </w:r>
      <w:proofErr w:type="spellEnd"/>
      <w:r>
        <w:t xml:space="preserve">, Ochrona inwestora - konsumenta na rynku instrumentów finansowych (rynku kapitałowym), </w:t>
      </w:r>
      <w:proofErr w:type="spellStart"/>
      <w:r>
        <w:t>PiP</w:t>
      </w:r>
      <w:proofErr w:type="spellEnd"/>
      <w:r>
        <w:t xml:space="preserve"> 2021 nr 4 s. 22.</w:t>
      </w:r>
    </w:p>
  </w:footnote>
  <w:footnote w:id="5">
    <w:p w:rsidR="00703C40" w:rsidRDefault="00703C40" w:rsidP="00703C40">
      <w:pPr>
        <w:pStyle w:val="Tekstprzypisudolnego"/>
        <w:jc w:val="both"/>
      </w:pPr>
      <w:r>
        <w:rPr>
          <w:rStyle w:val="Odwoanieprzypisudolnego"/>
        </w:rPr>
        <w:footnoteRef/>
      </w:r>
      <w:r>
        <w:t xml:space="preserve"> Wyrok S. O. w Warszawie z 21.03.2024, I C 646/23.</w:t>
      </w:r>
    </w:p>
  </w:footnote>
  <w:footnote w:id="6">
    <w:p w:rsidR="00703C40" w:rsidRDefault="00703C40" w:rsidP="00703C40">
      <w:pPr>
        <w:pStyle w:val="Tekstprzypisudolnego"/>
        <w:jc w:val="both"/>
      </w:pPr>
      <w:r>
        <w:rPr>
          <w:rStyle w:val="Odwoanieprzypisudolnego"/>
        </w:rPr>
        <w:footnoteRef/>
      </w:r>
      <w:r>
        <w:t xml:space="preserve"> Ustawa z 23.08.2007 o przeciwdziałaniu nieuczciwym praktykom rynkowym, t. j. Dz. U. 2023 poz. 845.</w:t>
      </w:r>
    </w:p>
  </w:footnote>
  <w:footnote w:id="7">
    <w:p w:rsidR="00703C40" w:rsidRDefault="00703C40" w:rsidP="00703C40">
      <w:pPr>
        <w:pStyle w:val="Tekstprzypisudolnego"/>
        <w:jc w:val="both"/>
      </w:pPr>
      <w:r>
        <w:rPr>
          <w:rStyle w:val="Odwoanieprzypisudolnego"/>
        </w:rPr>
        <w:footnoteRef/>
      </w:r>
      <w:r>
        <w:t xml:space="preserve"> Ustawa z 16.02.2007 r. o ochronie konkurencji i konsumentów, t. j. Dz. U. 2024 poz. 1616.</w:t>
      </w:r>
    </w:p>
  </w:footnote>
  <w:footnote w:id="8">
    <w:p w:rsidR="00703C40" w:rsidRDefault="00703C40" w:rsidP="00703C40">
      <w:pPr>
        <w:pStyle w:val="Tekstprzypisudolnego"/>
        <w:jc w:val="both"/>
      </w:pPr>
      <w:r>
        <w:rPr>
          <w:rStyle w:val="Odwoanieprzypisudolnego"/>
        </w:rPr>
        <w:footnoteRef/>
      </w:r>
      <w:r>
        <w:t xml:space="preserve"> Wyrok S. O. w Warszawie z 31.10.2024 r., I C 2141/21.</w:t>
      </w:r>
    </w:p>
  </w:footnote>
  <w:footnote w:id="9">
    <w:p w:rsidR="00703C40" w:rsidRDefault="00703C40" w:rsidP="00703C40">
      <w:pPr>
        <w:pStyle w:val="Tekstprzypisudolnego"/>
        <w:jc w:val="both"/>
      </w:pPr>
      <w:r>
        <w:rPr>
          <w:rStyle w:val="Odwoanieprzypisudolnego"/>
        </w:rPr>
        <w:footnoteRef/>
      </w:r>
      <w:r>
        <w:t xml:space="preserve"> Wyrok S. O. w Warszawie z 17.03.2023 r., sygn. akt XXIV C 2499/20.</w:t>
      </w:r>
    </w:p>
  </w:footnote>
  <w:footnote w:id="10">
    <w:p w:rsidR="00703C40" w:rsidRDefault="00703C40" w:rsidP="00703C40">
      <w:pPr>
        <w:pStyle w:val="Tekstprzypisudolnego"/>
        <w:jc w:val="both"/>
      </w:pPr>
      <w:r>
        <w:rPr>
          <w:rStyle w:val="Odwoanieprzypisudolnego"/>
        </w:rPr>
        <w:footnoteRef/>
      </w:r>
      <w:r>
        <w:t xml:space="preserve"> Jak określa to K. </w:t>
      </w:r>
      <w:proofErr w:type="spellStart"/>
      <w:r>
        <w:t>Zacharzewski</w:t>
      </w:r>
      <w:proofErr w:type="spellEnd"/>
      <w:r>
        <w:t xml:space="preserve">, wprowadzone mechanizmy mają na celu ochronę klienta przed nim samym, jego ryzykownymi lub przekraczającymi kompetencje decyzjami: </w:t>
      </w:r>
      <w:r w:rsidRPr="007343ED">
        <w:rPr>
          <w:rFonts w:cstheme="minorHAnsi"/>
          <w:color w:val="000000" w:themeColor="text1"/>
        </w:rPr>
        <w:t xml:space="preserve">K. </w:t>
      </w:r>
      <w:proofErr w:type="spellStart"/>
      <w:r w:rsidRPr="007343ED">
        <w:rPr>
          <w:rFonts w:cstheme="minorHAnsi"/>
          <w:color w:val="000000" w:themeColor="text1"/>
        </w:rPr>
        <w:t>Zacharzewski</w:t>
      </w:r>
      <w:proofErr w:type="spellEnd"/>
      <w:r w:rsidRPr="007343ED">
        <w:rPr>
          <w:rFonts w:cstheme="minorHAnsi"/>
          <w:color w:val="000000" w:themeColor="text1"/>
        </w:rPr>
        <w:t>, w: Ustawa o obrocie instrumentami finansowymi. Komentarz, red. M. Wierzbowski, Warszawa 2023</w:t>
      </w:r>
      <w:r>
        <w:rPr>
          <w:rFonts w:cstheme="minorHAnsi"/>
          <w:color w:val="000000" w:themeColor="text1"/>
        </w:rPr>
        <w:t>, LEGALIS, komentarz do art. 83 g. Podobnie:</w:t>
      </w:r>
      <w:r w:rsidRPr="007343ED">
        <w:rPr>
          <w:rFonts w:cstheme="minorHAnsi"/>
          <w:color w:val="000000" w:themeColor="text1"/>
        </w:rPr>
        <w:t xml:space="preserve"> K. </w:t>
      </w:r>
      <w:proofErr w:type="spellStart"/>
      <w:r w:rsidRPr="007343ED">
        <w:rPr>
          <w:rFonts w:cstheme="minorHAnsi"/>
          <w:color w:val="000000" w:themeColor="text1"/>
        </w:rPr>
        <w:t>Osajda</w:t>
      </w:r>
      <w:proofErr w:type="spellEnd"/>
      <w:r w:rsidRPr="007343ED">
        <w:rPr>
          <w:rFonts w:cstheme="minorHAnsi"/>
          <w:color w:val="000000" w:themeColor="text1"/>
        </w:rPr>
        <w:t xml:space="preserve">, Granice statusu konsumenta w prawie cywilnym – perspektywa temporalna oraz kwestia niedokonania czynności prawnej, Przegląd </w:t>
      </w:r>
      <w:r>
        <w:rPr>
          <w:rFonts w:cstheme="minorHAnsi"/>
          <w:color w:val="000000" w:themeColor="text1"/>
        </w:rPr>
        <w:t>S</w:t>
      </w:r>
      <w:r w:rsidRPr="007343ED">
        <w:rPr>
          <w:rFonts w:cstheme="minorHAnsi"/>
          <w:color w:val="000000" w:themeColor="text1"/>
        </w:rPr>
        <w:t>ądowy 2022/11-12</w:t>
      </w:r>
      <w:r>
        <w:rPr>
          <w:rFonts w:cstheme="minorHAnsi"/>
          <w:color w:val="000000" w:themeColor="text1"/>
        </w:rPr>
        <w:t>.</w:t>
      </w:r>
    </w:p>
  </w:footnote>
  <w:footnote w:id="11">
    <w:p w:rsidR="00703C40" w:rsidRDefault="00703C40" w:rsidP="00703C40">
      <w:pPr>
        <w:pStyle w:val="Tekstprzypisudolnego"/>
        <w:jc w:val="both"/>
      </w:pPr>
      <w:r>
        <w:rPr>
          <w:rStyle w:val="Odwoanieprzypisudolnego"/>
        </w:rPr>
        <w:footnoteRef/>
      </w:r>
      <w:r>
        <w:t xml:space="preserve"> Wyrok S. A. w Szczecinie z 20.09.2022 r., sygn. akt: I </w:t>
      </w:r>
      <w:proofErr w:type="spellStart"/>
      <w:r>
        <w:t>ACa</w:t>
      </w:r>
      <w:proofErr w:type="spellEnd"/>
      <w:r>
        <w:t xml:space="preserve"> 984/21</w:t>
      </w:r>
    </w:p>
  </w:footnote>
  <w:footnote w:id="12">
    <w:p w:rsidR="00703C40" w:rsidRDefault="00703C40" w:rsidP="00703C40">
      <w:pPr>
        <w:pStyle w:val="Tekstprzypisudolnego"/>
        <w:jc w:val="both"/>
      </w:pPr>
      <w:r>
        <w:rPr>
          <w:rStyle w:val="Odwoanieprzypisudolnego"/>
        </w:rPr>
        <w:footnoteRef/>
      </w:r>
      <w:r>
        <w:t xml:space="preserve"> Tak trafnie: K. </w:t>
      </w:r>
      <w:proofErr w:type="spellStart"/>
      <w:r>
        <w:t>Osajda</w:t>
      </w:r>
      <w:proofErr w:type="spellEnd"/>
      <w:r>
        <w:t>, op. cit.</w:t>
      </w:r>
    </w:p>
  </w:footnote>
  <w:footnote w:id="13">
    <w:p w:rsidR="00703C40" w:rsidRDefault="00703C40" w:rsidP="00703C40">
      <w:pPr>
        <w:pStyle w:val="Tekstprzypisudolnego"/>
        <w:jc w:val="both"/>
      </w:pPr>
      <w:r>
        <w:rPr>
          <w:rStyle w:val="Odwoanieprzypisudolnego"/>
        </w:rPr>
        <w:footnoteRef/>
      </w:r>
      <w:r>
        <w:t xml:space="preserve"> Wyrok S. A. w Krakowie z 11.08.2022, I </w:t>
      </w:r>
      <w:proofErr w:type="spellStart"/>
      <w:r>
        <w:t>ACa</w:t>
      </w:r>
      <w:proofErr w:type="spellEnd"/>
      <w:r>
        <w:t xml:space="preserve"> 10/22.</w:t>
      </w:r>
    </w:p>
  </w:footnote>
  <w:footnote w:id="14">
    <w:p w:rsidR="00703C40" w:rsidRDefault="00703C40" w:rsidP="00703C40">
      <w:pPr>
        <w:pStyle w:val="Tekstprzypisudolnego"/>
        <w:jc w:val="both"/>
      </w:pPr>
      <w:r>
        <w:rPr>
          <w:rStyle w:val="Odwoanieprzypisudolnego"/>
        </w:rPr>
        <w:footnoteRef/>
      </w:r>
      <w:r>
        <w:t xml:space="preserve"> Więcej: J. Bereźnicki, Nowy </w:t>
      </w:r>
      <w:proofErr w:type="spellStart"/>
      <w:r>
        <w:t>Amber</w:t>
      </w:r>
      <w:proofErr w:type="spellEnd"/>
      <w:r>
        <w:t xml:space="preserve"> Gold? Inwestorzy stracili pół miliarda złotych na funduszach rolnych i leśnych, Money.pl z 25.10.2017, </w:t>
      </w:r>
      <w:r w:rsidRPr="001F7B94">
        <w:t>https://www.money.pl/gospodarka/wiadomosci/artykul/fundusze-inwestycyjne-pol-miliarda,245,0,2381045.html</w:t>
      </w:r>
      <w:r>
        <w:t>, stan na: 15.04.2025.</w:t>
      </w:r>
    </w:p>
  </w:footnote>
  <w:footnote w:id="15">
    <w:p w:rsidR="00703C40" w:rsidRDefault="00703C40" w:rsidP="00703C40">
      <w:pPr>
        <w:pStyle w:val="Tekstprzypisudolnego"/>
        <w:jc w:val="both"/>
      </w:pPr>
      <w:r>
        <w:rPr>
          <w:rStyle w:val="Odwoanieprzypisudolnego"/>
        </w:rPr>
        <w:footnoteRef/>
      </w:r>
      <w:r>
        <w:t xml:space="preserve"> Wyrok S. A. w Poznaniu z 24.02.2023, I </w:t>
      </w:r>
      <w:proofErr w:type="spellStart"/>
      <w:r>
        <w:t>ACa</w:t>
      </w:r>
      <w:proofErr w:type="spellEnd"/>
      <w:r>
        <w:t xml:space="preserve"> 860/21.</w:t>
      </w:r>
    </w:p>
  </w:footnote>
  <w:footnote w:id="16">
    <w:p w:rsidR="00703C40" w:rsidRDefault="00703C40" w:rsidP="00703C40">
      <w:pPr>
        <w:pStyle w:val="Tekstprzypisudolnego"/>
        <w:jc w:val="both"/>
      </w:pPr>
      <w:r>
        <w:rPr>
          <w:rStyle w:val="Odwoanieprzypisudolnego"/>
        </w:rPr>
        <w:footnoteRef/>
      </w:r>
      <w:r>
        <w:t xml:space="preserve"> Ustawa z 15.01.2015 r. o obligacjach, t. j. Dz. U. 2024 poz. 708.</w:t>
      </w:r>
    </w:p>
  </w:footnote>
  <w:footnote w:id="17">
    <w:p w:rsidR="00703C40" w:rsidRDefault="00703C40" w:rsidP="00703C40">
      <w:pPr>
        <w:pStyle w:val="Tekstprzypisudolnego"/>
        <w:jc w:val="both"/>
      </w:pPr>
      <w:r>
        <w:rPr>
          <w:rStyle w:val="Odwoanieprzypisudolnego"/>
        </w:rPr>
        <w:footnoteRef/>
      </w:r>
      <w:r>
        <w:t xml:space="preserve"> Dyrektywa MIFID II obowiązuje od 2.07.2014 r. Ze względu na zasadę bezpośredniego stosowania prawa UE fakt opóźnionej implementacji (zmiana ustawy o obrocie instrumentami finansowymi weszła w życie dopiero 21.04.2018 r.) nie ma znaczenia dla oceny prawnej transakcji dokonywanych w analizowanych orzeczeniach, tak </w:t>
      </w:r>
      <w:r>
        <w:rPr>
          <w:rFonts w:cstheme="minorHAnsi"/>
          <w:color w:val="000000" w:themeColor="text1"/>
        </w:rPr>
        <w:t xml:space="preserve">SN w wyroku z 8.09.2017 r., </w:t>
      </w:r>
      <w:r w:rsidRPr="007343ED">
        <w:rPr>
          <w:rFonts w:cstheme="minorHAnsi"/>
          <w:color w:val="000000" w:themeColor="text1"/>
        </w:rPr>
        <w:t>II CSK 845/16</w:t>
      </w:r>
      <w:r>
        <w:rPr>
          <w:rFonts w:cstheme="minorHAnsi"/>
          <w:color w:val="000000" w:themeColor="text1"/>
        </w:rPr>
        <w:t>, LEX 2350002.</w:t>
      </w:r>
    </w:p>
  </w:footnote>
  <w:footnote w:id="18">
    <w:p w:rsidR="00703C40" w:rsidRDefault="00703C40" w:rsidP="00703C40">
      <w:pPr>
        <w:pStyle w:val="Tekstprzypisudolnego"/>
        <w:jc w:val="both"/>
      </w:pPr>
      <w:r>
        <w:rPr>
          <w:rStyle w:val="Odwoanieprzypisudolnego"/>
        </w:rPr>
        <w:footnoteRef/>
      </w:r>
      <w:r>
        <w:t xml:space="preserve"> W przypadku ubezpieczeń – por. art. Ustawy o dystrybucji ubezpieczeń.</w:t>
      </w:r>
    </w:p>
  </w:footnote>
  <w:footnote w:id="19">
    <w:p w:rsidR="00703C40" w:rsidRDefault="00703C40" w:rsidP="00703C40">
      <w:pPr>
        <w:pStyle w:val="Tekstprzypisudolnego"/>
        <w:jc w:val="both"/>
      </w:pPr>
      <w:r>
        <w:rPr>
          <w:rStyle w:val="Odwoanieprzypisudolnego"/>
        </w:rPr>
        <w:footnoteRef/>
      </w:r>
      <w:r>
        <w:t xml:space="preserve"> Szerzej o stosowaniu art. 58§3: Z. Radwański, Części składowe czynności prawnej, w: System Prawa Prywatnego, t. 2, Prawo cywilne. Część ogólna, red. Z. Radwański, Warszawa 2002, s. 264 i nast.</w:t>
      </w:r>
    </w:p>
  </w:footnote>
  <w:footnote w:id="20">
    <w:p w:rsidR="00703C40" w:rsidRDefault="00703C40" w:rsidP="00703C40">
      <w:pPr>
        <w:pStyle w:val="Tekstprzypisudolnego"/>
        <w:jc w:val="both"/>
      </w:pPr>
      <w:r>
        <w:rPr>
          <w:rStyle w:val="Odwoanieprzypisudolnego"/>
        </w:rPr>
        <w:footnoteRef/>
      </w:r>
      <w:r>
        <w:t xml:space="preserve"> Szerzej: E. Łętowska, Zbieg reżimów bezpodstawnego wzbogacenia i odpowiedzialności odszkodowawczej (art. 414 k.c.) w: System Prawa Prywatnego, t. 1, red. M. Safjan, Warszawa 2007, s. 551 i nast.</w:t>
      </w:r>
    </w:p>
  </w:footnote>
  <w:footnote w:id="21">
    <w:p w:rsidR="00703C40" w:rsidRDefault="00703C40" w:rsidP="00703C40">
      <w:pPr>
        <w:pStyle w:val="Tekstprzypisudolnego"/>
        <w:jc w:val="both"/>
      </w:pPr>
      <w:r>
        <w:rPr>
          <w:rStyle w:val="Odwoanieprzypisudolnego"/>
        </w:rPr>
        <w:footnoteRef/>
      </w:r>
      <w:r>
        <w:t xml:space="preserve"> Mechanizm ustalania tego typu szkód por. np. OSN z 20.09.2004, IV CK 612/03, LEX 122870.</w:t>
      </w:r>
    </w:p>
  </w:footnote>
  <w:footnote w:id="22">
    <w:p w:rsidR="00703C40" w:rsidRDefault="00703C40" w:rsidP="00703C40">
      <w:pPr>
        <w:pStyle w:val="Tekstprzypisudolnego"/>
        <w:jc w:val="both"/>
      </w:pPr>
      <w:r>
        <w:rPr>
          <w:rStyle w:val="Odwoanieprzypisudolnego"/>
        </w:rPr>
        <w:footnoteRef/>
      </w:r>
      <w:r>
        <w:t xml:space="preserve"> Zgodnie z art. 166 ustawy z Prawo restrukturyzacyjne (t. j. Dz. U. 2024 poz. 1428) układ wiąże wierzycieli, których wierzytelności są objęte układem, chociażby nie zostały umieszczone w spisie wierzytelności. Już chociażby ta regulacja powoduje, że trudno jest pomijać przy ustaleniu odszkodowania z tytułu </w:t>
      </w:r>
      <w:proofErr w:type="spellStart"/>
      <w:r>
        <w:t>misselingu</w:t>
      </w:r>
      <w:proofErr w:type="spellEnd"/>
      <w:r>
        <w:t xml:space="preserve"> skutki zawarcia układu z emitentem obligacji.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40"/>
    <w:rsid w:val="00127E73"/>
    <w:rsid w:val="00177FAC"/>
    <w:rsid w:val="00350FE7"/>
    <w:rsid w:val="00594CF4"/>
    <w:rsid w:val="00606C20"/>
    <w:rsid w:val="00703C40"/>
    <w:rsid w:val="00781304"/>
    <w:rsid w:val="00907264"/>
    <w:rsid w:val="00B61406"/>
    <w:rsid w:val="00CC61CB"/>
    <w:rsid w:val="00F20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A5FA"/>
  <w15:chartTrackingRefBased/>
  <w15:docId w15:val="{D68B257A-76EB-4019-8A83-6AC3A98C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3C40"/>
    <w:pPr>
      <w:spacing w:after="0" w:line="240" w:lineRule="auto"/>
    </w:pPr>
    <w:rPr>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1">
    <w:name w:val="p1"/>
    <w:basedOn w:val="Normalny"/>
    <w:rsid w:val="00703C40"/>
    <w:rPr>
      <w:rFonts w:ascii="Times New Roman" w:eastAsia="Times New Roman" w:hAnsi="Times New Roman" w:cs="Times New Roman"/>
      <w:color w:val="000000"/>
      <w:kern w:val="0"/>
      <w:sz w:val="15"/>
      <w:szCs w:val="15"/>
      <w:lang w:eastAsia="pl-PL"/>
      <w14:ligatures w14:val="none"/>
    </w:rPr>
  </w:style>
  <w:style w:type="paragraph" w:styleId="Tekstprzypisudolnego">
    <w:name w:val="footnote text"/>
    <w:basedOn w:val="Normalny"/>
    <w:link w:val="TekstprzypisudolnegoZnak"/>
    <w:uiPriority w:val="99"/>
    <w:semiHidden/>
    <w:unhideWhenUsed/>
    <w:rsid w:val="00703C40"/>
    <w:rPr>
      <w:sz w:val="20"/>
      <w:szCs w:val="20"/>
    </w:rPr>
  </w:style>
  <w:style w:type="character" w:customStyle="1" w:styleId="TekstprzypisudolnegoZnak">
    <w:name w:val="Tekst przypisu dolnego Znak"/>
    <w:basedOn w:val="Domylnaczcionkaakapitu"/>
    <w:link w:val="Tekstprzypisudolnego"/>
    <w:uiPriority w:val="99"/>
    <w:semiHidden/>
    <w:rsid w:val="00703C40"/>
    <w:rPr>
      <w:kern w:val="2"/>
      <w:sz w:val="20"/>
      <w:szCs w:val="20"/>
      <w14:ligatures w14:val="standardContextual"/>
    </w:rPr>
  </w:style>
  <w:style w:type="character" w:styleId="Odwoanieprzypisudolnego">
    <w:name w:val="footnote reference"/>
    <w:basedOn w:val="Domylnaczcionkaakapitu"/>
    <w:uiPriority w:val="99"/>
    <w:semiHidden/>
    <w:unhideWhenUsed/>
    <w:rsid w:val="00703C40"/>
    <w:rPr>
      <w:vertAlign w:val="superscript"/>
    </w:rPr>
  </w:style>
  <w:style w:type="paragraph" w:styleId="NormalnyWeb">
    <w:name w:val="Normal (Web)"/>
    <w:basedOn w:val="Normalny"/>
    <w:uiPriority w:val="99"/>
    <w:semiHidden/>
    <w:unhideWhenUsed/>
    <w:rsid w:val="00350FE7"/>
    <w:pPr>
      <w:spacing w:before="100" w:beforeAutospacing="1" w:after="100" w:afterAutospacing="1"/>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semiHidden/>
    <w:unhideWhenUsed/>
    <w:rsid w:val="00350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byczko@wpia.uni.lodz.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5493</Words>
  <Characters>32964</Characters>
  <Application>Microsoft Office Word</Application>
  <DocSecurity>0</DocSecurity>
  <Lines>274</Lines>
  <Paragraphs>76</Paragraphs>
  <ScaleCrop>false</ScaleCrop>
  <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6</cp:revision>
  <dcterms:created xsi:type="dcterms:W3CDTF">2025-09-03T06:56:00Z</dcterms:created>
  <dcterms:modified xsi:type="dcterms:W3CDTF">2025-10-20T07:04:00Z</dcterms:modified>
</cp:coreProperties>
</file>