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509AA5" w14:textId="77777777" w:rsidR="00D71A77" w:rsidRPr="0055382D" w:rsidRDefault="00D71A77" w:rsidP="00D71A77">
      <w:pPr>
        <w:spacing w:after="120" w:line="360" w:lineRule="auto"/>
        <w:jc w:val="both"/>
        <w:rPr>
          <w:rFonts w:cs="Times New Roman"/>
          <w:szCs w:val="24"/>
          <w:lang w:val="pl-PL"/>
        </w:rPr>
      </w:pPr>
      <w:r w:rsidRPr="0055382D">
        <w:rPr>
          <w:rFonts w:cs="Times New Roman"/>
          <w:b/>
          <w:szCs w:val="24"/>
          <w:lang w:val="pl-PL"/>
        </w:rPr>
        <w:t xml:space="preserve">dr Krzysztof </w:t>
      </w:r>
      <w:proofErr w:type="spellStart"/>
      <w:r w:rsidRPr="0055382D">
        <w:rPr>
          <w:rFonts w:cs="Times New Roman"/>
          <w:b/>
          <w:szCs w:val="24"/>
          <w:lang w:val="pl-PL"/>
        </w:rPr>
        <w:t>Kurosz</w:t>
      </w:r>
      <w:proofErr w:type="spellEnd"/>
    </w:p>
    <w:p w14:paraId="5C496230" w14:textId="77777777" w:rsidR="00D71A77" w:rsidRPr="0055382D" w:rsidRDefault="00D71A77" w:rsidP="00D71A77">
      <w:pPr>
        <w:spacing w:after="120" w:line="360" w:lineRule="auto"/>
        <w:jc w:val="both"/>
        <w:rPr>
          <w:rFonts w:cs="Times New Roman"/>
          <w:szCs w:val="24"/>
          <w:lang w:val="pl-PL"/>
        </w:rPr>
      </w:pPr>
      <w:r w:rsidRPr="0055382D">
        <w:rPr>
          <w:rFonts w:cs="Times New Roman"/>
          <w:szCs w:val="24"/>
          <w:lang w:val="pl-PL"/>
        </w:rPr>
        <w:t>Katedra Prawa Cywilnego, Wydział Prawa i Administracji, Uniwersytet Łódzki</w:t>
      </w:r>
    </w:p>
    <w:p w14:paraId="0648B8C3" w14:textId="77777777" w:rsidR="00D71A77" w:rsidRPr="0055382D" w:rsidRDefault="00D71A77" w:rsidP="00D71A77">
      <w:pPr>
        <w:spacing w:after="120" w:line="360" w:lineRule="auto"/>
        <w:jc w:val="both"/>
        <w:rPr>
          <w:rFonts w:cs="Times New Roman"/>
          <w:szCs w:val="24"/>
          <w:lang w:val="pl-PL"/>
        </w:rPr>
      </w:pPr>
      <w:r w:rsidRPr="0055382D">
        <w:rPr>
          <w:rFonts w:cs="Times New Roman"/>
          <w:szCs w:val="24"/>
          <w:lang w:val="pl-PL"/>
        </w:rPr>
        <w:t>Sędzia orzekający w XXII Wydziale Własności Intelektualnej Sądu Okręgowego w Warszawie</w:t>
      </w:r>
    </w:p>
    <w:p w14:paraId="2EE4C4D7" w14:textId="77777777" w:rsidR="00D71A77" w:rsidRPr="0055382D" w:rsidRDefault="00D71A77" w:rsidP="00D71A77">
      <w:pPr>
        <w:jc w:val="both"/>
        <w:rPr>
          <w:rFonts w:cs="Times New Roman"/>
          <w:szCs w:val="24"/>
          <w:lang w:val="pl-PL"/>
        </w:rPr>
      </w:pPr>
    </w:p>
    <w:p w14:paraId="19604832" w14:textId="57C9C529" w:rsidR="00D71A77" w:rsidRDefault="00D71A77" w:rsidP="00D71A77">
      <w:pPr>
        <w:spacing w:after="120" w:line="360" w:lineRule="auto"/>
        <w:jc w:val="both"/>
        <w:rPr>
          <w:rFonts w:cs="Times New Roman"/>
          <w:b/>
          <w:szCs w:val="24"/>
          <w:lang w:val="pl-PL"/>
        </w:rPr>
      </w:pPr>
      <w:r w:rsidRPr="0055382D">
        <w:rPr>
          <w:rFonts w:cs="Times New Roman"/>
          <w:b/>
          <w:szCs w:val="24"/>
          <w:lang w:val="pl-PL"/>
        </w:rPr>
        <w:t>Obowiązek pożycia w małżeństwie a art. 8 EKPC – glosa krytyczna do wyroku ETPC z dnia 23 stycznia 2025 r., skarga nr 13805/21, HW przeciwko Francji</w:t>
      </w:r>
    </w:p>
    <w:p w14:paraId="729DAA68" w14:textId="3E06B926" w:rsidR="00AB538B" w:rsidRPr="0055382D" w:rsidRDefault="00AB538B" w:rsidP="00D71A77">
      <w:pPr>
        <w:spacing w:after="120" w:line="360" w:lineRule="auto"/>
        <w:jc w:val="both"/>
        <w:rPr>
          <w:rFonts w:cs="Times New Roman"/>
          <w:szCs w:val="24"/>
          <w:lang w:val="pl-PL"/>
        </w:rPr>
      </w:pPr>
      <w:r>
        <w:rPr>
          <w:rFonts w:ascii="Aptos" w:hAnsi="Aptos"/>
          <w:color w:val="000000"/>
          <w:shd w:val="clear" w:color="auto" w:fill="FFFFFF"/>
        </w:rPr>
        <w:t>Conjugal Duties and Article 8 ECHR – a partially critical commentary on the judgment of the ECHR of January 23, 2025, application n</w:t>
      </w:r>
      <w:bookmarkStart w:id="0" w:name="_GoBack"/>
      <w:bookmarkEnd w:id="0"/>
      <w:r>
        <w:rPr>
          <w:rFonts w:ascii="Aptos" w:hAnsi="Aptos"/>
          <w:color w:val="000000"/>
          <w:shd w:val="clear" w:color="auto" w:fill="FFFFFF"/>
        </w:rPr>
        <w:t>o. 13805/21, HW v. France</w:t>
      </w:r>
    </w:p>
    <w:p w14:paraId="1DBE62B5" w14:textId="19A101C0" w:rsidR="00D71A77" w:rsidRPr="0055382D" w:rsidRDefault="00D71A77" w:rsidP="00D71A77">
      <w:pPr>
        <w:spacing w:after="120" w:line="360" w:lineRule="auto"/>
        <w:jc w:val="both"/>
        <w:rPr>
          <w:rFonts w:cs="Times New Roman"/>
          <w:szCs w:val="24"/>
          <w:lang w:val="pl-PL"/>
        </w:rPr>
      </w:pPr>
      <w:r w:rsidRPr="0055382D">
        <w:rPr>
          <w:rFonts w:cs="Times New Roman"/>
          <w:szCs w:val="24"/>
          <w:lang w:val="pl-PL"/>
        </w:rPr>
        <w:t>Słowa kluczowe: obowiązek pożycia</w:t>
      </w:r>
      <w:r w:rsidR="00BB717F">
        <w:rPr>
          <w:rFonts w:cs="Times New Roman"/>
          <w:szCs w:val="24"/>
          <w:lang w:val="pl-PL"/>
        </w:rPr>
        <w:t xml:space="preserve"> fizycznego</w:t>
      </w:r>
      <w:r w:rsidRPr="0055382D">
        <w:rPr>
          <w:rFonts w:cs="Times New Roman"/>
          <w:szCs w:val="24"/>
          <w:lang w:val="pl-PL"/>
        </w:rPr>
        <w:t>; wina rozkładu pożycia; art. 8 EKPC; autonomia seksualna.</w:t>
      </w:r>
    </w:p>
    <w:p w14:paraId="2BDD8A9A" w14:textId="50CCDB05" w:rsidR="00D71A77" w:rsidRPr="0055382D" w:rsidRDefault="00D71A77" w:rsidP="00D71A77">
      <w:pPr>
        <w:spacing w:after="120" w:line="360" w:lineRule="auto"/>
        <w:jc w:val="both"/>
        <w:rPr>
          <w:rFonts w:cs="Times New Roman"/>
          <w:szCs w:val="24"/>
        </w:rPr>
      </w:pPr>
      <w:r w:rsidRPr="0055382D">
        <w:rPr>
          <w:rFonts w:cs="Times New Roman"/>
          <w:szCs w:val="24"/>
        </w:rPr>
        <w:t>Keywords: conjugal duty; fault in marital breakdown; Article 8 ECHR; sexual autonomy.</w:t>
      </w:r>
    </w:p>
    <w:p w14:paraId="6D1B0F68" w14:textId="77777777" w:rsidR="00D71A77" w:rsidRDefault="00D71A77" w:rsidP="00D71A77">
      <w:pPr>
        <w:pStyle w:val="Nagwek1"/>
        <w:rPr>
          <w:rFonts w:cs="Times New Roman"/>
          <w:color w:val="auto"/>
          <w:szCs w:val="24"/>
          <w:lang w:val="pl-PL"/>
        </w:rPr>
      </w:pPr>
      <w:r w:rsidRPr="0055382D">
        <w:rPr>
          <w:rFonts w:cs="Times New Roman"/>
          <w:b/>
          <w:color w:val="auto"/>
          <w:szCs w:val="24"/>
          <w:lang w:val="pl-PL"/>
        </w:rPr>
        <w:t>Abstrakt</w:t>
      </w:r>
    </w:p>
    <w:p w14:paraId="422B0457" w14:textId="77777777" w:rsidR="00D71A77" w:rsidRPr="0055382D" w:rsidRDefault="00D71A77" w:rsidP="00D71A77">
      <w:pPr>
        <w:rPr>
          <w:lang w:val="pl-PL"/>
        </w:rPr>
      </w:pPr>
    </w:p>
    <w:p w14:paraId="07524551" w14:textId="5DFB3877" w:rsidR="00D71A77" w:rsidRPr="0055382D" w:rsidRDefault="00D71A77" w:rsidP="00D71A77">
      <w:pPr>
        <w:spacing w:after="120" w:line="360" w:lineRule="auto"/>
        <w:jc w:val="both"/>
        <w:rPr>
          <w:rFonts w:cs="Times New Roman"/>
          <w:szCs w:val="24"/>
          <w:lang w:val="pl-PL"/>
        </w:rPr>
      </w:pPr>
      <w:r w:rsidRPr="0055382D">
        <w:rPr>
          <w:rFonts w:cs="Times New Roman"/>
          <w:szCs w:val="24"/>
          <w:lang w:val="pl-PL"/>
        </w:rPr>
        <w:t xml:space="preserve">Celem glosy jest ocena wyroku ETPC z dnia 23 stycznia 2025 r. w sprawie HW przeciwko Francji (skarga nr 13805/21) z perspektywy prawa prywatnego i standardów ochrony prywatności. Trybunał uznał, że przypisanie skarżącej wyłącznej winy rozkładu pożycia ze względu na wieloletnią odmowę współżycia stanowiło nieproporcjonalną ingerencję w sferę autonomii seksualnej gwarantowanej przez art. </w:t>
      </w:r>
      <w:r w:rsidRPr="00A251E8">
        <w:rPr>
          <w:rFonts w:cs="Times New Roman"/>
          <w:szCs w:val="24"/>
          <w:lang w:val="pl-PL"/>
        </w:rPr>
        <w:t xml:space="preserve">8 </w:t>
      </w:r>
      <w:r w:rsidR="00A251E8" w:rsidRPr="00A251E8">
        <w:rPr>
          <w:rFonts w:cs="Times New Roman"/>
          <w:szCs w:val="24"/>
          <w:lang w:val="pl-PL"/>
        </w:rPr>
        <w:t xml:space="preserve">Konwencji </w:t>
      </w:r>
      <w:r w:rsidR="00A251E8" w:rsidRPr="00A251E8">
        <w:rPr>
          <w:szCs w:val="24"/>
          <w:lang w:val="pl-PL"/>
        </w:rPr>
        <w:t>o ochronie praw człowieka i podstawowych wolności</w:t>
      </w:r>
      <w:r w:rsidR="00A251E8" w:rsidRPr="00A251E8">
        <w:rPr>
          <w:rStyle w:val="Odwoanieprzypisudolnego"/>
          <w:rFonts w:cs="Times New Roman"/>
          <w:szCs w:val="24"/>
          <w:lang w:val="pl-PL"/>
        </w:rPr>
        <w:footnoteReference w:id="1"/>
      </w:r>
      <w:r w:rsidRPr="0055382D">
        <w:rPr>
          <w:rFonts w:cs="Times New Roman"/>
          <w:szCs w:val="24"/>
          <w:lang w:val="pl-PL"/>
        </w:rPr>
        <w:t xml:space="preserve">. Glosa aprobuje rezultat indywidualny (ochrona autonomii i uwzględnienie czynników zdrowotnych), a zarazem krytycznie odnosi się do uogólniającego rozumowania ETPC, które zbliża kryteria prawa karnego nakierowane na konkretny akt seksualny do cywilnoprawnej oceny winy rozkładu pożycia odnoszącej się do szerokiego aspektu czasowego. Autor dowodzi, że pożycie należy ujmować jako fakt, który w realiach konkretnego małżeństwa może być relewantny dla winy, a nie jako egzekwowalny obowiązek; stąd właściwy standard orzekania powinien polegać na ocenie </w:t>
      </w:r>
      <w:r w:rsidR="00B26BF9">
        <w:rPr>
          <w:rFonts w:cs="Times New Roman"/>
          <w:szCs w:val="24"/>
          <w:lang w:val="pl-PL"/>
        </w:rPr>
        <w:t xml:space="preserve">wszystkich okoliczności sprawy </w:t>
      </w:r>
      <w:r w:rsidRPr="0055382D">
        <w:rPr>
          <w:rFonts w:cs="Times New Roman"/>
          <w:szCs w:val="24"/>
          <w:lang w:val="pl-PL"/>
        </w:rPr>
        <w:t xml:space="preserve">z wyraźnym filtrem zgody, przemocy i bezpieczeństwa. Wskazane jest zdroworozsądkowe rozumowanie adekwatne również do wieku </w:t>
      </w:r>
      <w:r w:rsidRPr="0055382D">
        <w:rPr>
          <w:rFonts w:cs="Times New Roman"/>
          <w:szCs w:val="24"/>
          <w:lang w:val="pl-PL"/>
        </w:rPr>
        <w:lastRenderedPageBreak/>
        <w:t xml:space="preserve">małżonków, przyczyn długotrwałej odmowy i rozmiaru czasu, w którym nie dochodzi do współżycia. I tak nie sposób zakładać, że kwestia wspólnoty łoża ma takie samo znaczenie dla dwudziestolatków jak i np. osiemdziesięciolatków zawierających związek małżeński podyktowany zazwyczaj innymi potrzebami niż seksualne. Zaproponowano praktyczne wytyczne dla sądów francuskich i polskich (oparcie się na kwestii faktów zamiast obowiązków; brak domniemania winy za samą odmowę; wzmocnienie roli Konwencji Stambulskiej w uzasadnieniach). </w:t>
      </w:r>
    </w:p>
    <w:p w14:paraId="7A39E161" w14:textId="77777777" w:rsidR="00D71A77" w:rsidRPr="00D71A77" w:rsidRDefault="00D71A77" w:rsidP="00D71A77">
      <w:pPr>
        <w:pStyle w:val="Nagwek1"/>
        <w:rPr>
          <w:rFonts w:cs="Times New Roman"/>
          <w:color w:val="auto"/>
          <w:szCs w:val="24"/>
        </w:rPr>
      </w:pPr>
      <w:r w:rsidRPr="00D71A77">
        <w:rPr>
          <w:rFonts w:cs="Times New Roman"/>
          <w:b/>
          <w:color w:val="auto"/>
          <w:szCs w:val="24"/>
        </w:rPr>
        <w:t>Abstract</w:t>
      </w:r>
    </w:p>
    <w:p w14:paraId="198845D8" w14:textId="77777777" w:rsidR="00D71A77" w:rsidRPr="0055382D" w:rsidRDefault="00D71A77" w:rsidP="00D71A77"/>
    <w:p w14:paraId="1BEC2FD6" w14:textId="77777777" w:rsidR="00D71A77" w:rsidRPr="0055382D" w:rsidRDefault="00D71A77" w:rsidP="00D71A77">
      <w:pPr>
        <w:spacing w:after="160" w:line="360" w:lineRule="auto"/>
        <w:jc w:val="both"/>
        <w:rPr>
          <w:rFonts w:cs="Times New Roman"/>
          <w:szCs w:val="24"/>
        </w:rPr>
      </w:pPr>
      <w:r w:rsidRPr="0055382D">
        <w:rPr>
          <w:rFonts w:cs="Times New Roman"/>
          <w:szCs w:val="24"/>
        </w:rPr>
        <w:t xml:space="preserve">The purpose of this commentary is to assess the judgment of the ECtHR of January 23, 2025, in the case of HW v. France (application no. 13805/21) from the perspective of private law and privacy protection standards. The Court found that attributing sole blame for the breakdown of the relationship to the applicant on the grounds of her long-standing refusal to have sexual relations constituted a disproportionate interference with the sphere of sexual autonomy guaranteed by Article 8 of the ECHR. The commentary approves of the individual outcome (protection of autonomy and consideration of health factors), while at the same time criticizing the ECtHR's generalized reasoning, which brings the criteria of criminal law focused on a specific sexual act closer to the civil law assessment of fault for the breakdown of a marriage relating to a broad temporal aspect. The author argues that cohabitation should be treated as a fact that may be relevant to fault in the reality of a specific marriage, rather than as an enforceable obligation; hence, the appropriate standard of adjudication should consist of a circumstantial assessment with a clear filter of consent, violence, and safety. It is advisable to use common sense reasoning that is also appropriate to the age of the spouses, the reasons for the long-term refusal, and the length of time during which there has been no sexual intercourse. It cannot be assumed that the issue of marital relations has the same significance for 20-year-olds as it does for, say, 80-year-olds who enter into a marriage usually dictated by needs other than sexual ones. Practical guidelines have been proposed for French and Polish courts (focusing on facts rather than obligations; no presumption of guilt for refusal alone; strengthening the role of the Istanbul Convention in justifications). </w:t>
      </w:r>
    </w:p>
    <w:p w14:paraId="4EF3D957" w14:textId="77777777" w:rsidR="00D71A77" w:rsidRDefault="00D71A77" w:rsidP="00D71A77">
      <w:pPr>
        <w:pStyle w:val="Nagwek1"/>
        <w:rPr>
          <w:rFonts w:cs="Times New Roman"/>
          <w:color w:val="auto"/>
          <w:szCs w:val="24"/>
          <w:lang w:val="pl-PL"/>
        </w:rPr>
      </w:pPr>
      <w:r w:rsidRPr="0055382D">
        <w:rPr>
          <w:rFonts w:cs="Times New Roman"/>
          <w:b/>
          <w:color w:val="auto"/>
          <w:szCs w:val="24"/>
          <w:lang w:val="pl-PL"/>
        </w:rPr>
        <w:t>Teza glosy</w:t>
      </w:r>
    </w:p>
    <w:p w14:paraId="7BE5CC13" w14:textId="77777777" w:rsidR="00D71A77" w:rsidRPr="0055382D" w:rsidRDefault="00D71A77" w:rsidP="00D71A77">
      <w:pPr>
        <w:rPr>
          <w:lang w:val="pl-PL"/>
        </w:rPr>
      </w:pPr>
    </w:p>
    <w:p w14:paraId="39D2DD34" w14:textId="77777777" w:rsidR="00D71A77" w:rsidRPr="0055382D" w:rsidRDefault="00D71A77" w:rsidP="00D71A77">
      <w:pPr>
        <w:spacing w:after="120" w:line="360" w:lineRule="auto"/>
        <w:jc w:val="both"/>
        <w:rPr>
          <w:rFonts w:cs="Times New Roman"/>
          <w:szCs w:val="24"/>
          <w:lang w:val="pl-PL"/>
        </w:rPr>
      </w:pPr>
      <w:r w:rsidRPr="0055382D">
        <w:rPr>
          <w:rFonts w:cs="Times New Roman"/>
          <w:szCs w:val="24"/>
          <w:lang w:val="pl-PL"/>
        </w:rPr>
        <w:lastRenderedPageBreak/>
        <w:t>Wyrok ETPC wzmacnia ochronę autonomii seksualnej w ramach art. 8 EKPC i – w realiach sprawy HW ze względu na kwestie zdrowotne i sygnalizowaną przez powódkę agresję małżonka – słusznie sprzeciwia się przypisaniu wyłącznej winy za długotrwałą odmowę pożycia. Jednocześnie zbyt szerokie utożsamienie przez Trybunał standardów zgody znanych prawu karnemu z oceną cywilnoprawnej winy grozi nieuprawnionym zawężeniem sędziowskiej swobody ważenia okoliczności przyczyn rozkładu pożycia. Takie podejście grozi akceptacją naruszenia godności tego małżonka, który działał w zaufaniu do aktu zawarcia małżeństwa a następnie spotkał się z nieuzasadnioną obojętnością drugiego małżonka. Właściwy standard orzekania powinien ujmować „pożycie” jako fakt relewantny dla winy, nie jako egzekwowalny obowiązek, z wyraźnym filtrem: zgoda – przemoc – bezpieczeństwo.</w:t>
      </w:r>
    </w:p>
    <w:p w14:paraId="697CE7BC" w14:textId="77777777" w:rsidR="00D71A77" w:rsidRDefault="00D71A77" w:rsidP="00D71A77">
      <w:pPr>
        <w:pStyle w:val="Nagwek1"/>
        <w:rPr>
          <w:rFonts w:cs="Times New Roman"/>
          <w:color w:val="auto"/>
          <w:szCs w:val="24"/>
          <w:lang w:val="pl-PL"/>
        </w:rPr>
      </w:pPr>
      <w:r w:rsidRPr="00CB081A">
        <w:rPr>
          <w:rFonts w:cs="Times New Roman"/>
          <w:b/>
          <w:color w:val="auto"/>
          <w:szCs w:val="24"/>
          <w:lang w:val="pl-PL"/>
        </w:rPr>
        <w:t>Wyrok ETPC i jego główne tezy</w:t>
      </w:r>
    </w:p>
    <w:p w14:paraId="77D2FAF3" w14:textId="77777777" w:rsidR="00D71A77" w:rsidRPr="00CB081A" w:rsidRDefault="00D71A77" w:rsidP="00D71A77">
      <w:pPr>
        <w:rPr>
          <w:lang w:val="pl-PL"/>
        </w:rPr>
      </w:pPr>
    </w:p>
    <w:p w14:paraId="73F22C71" w14:textId="4794AA58" w:rsidR="00D71A77" w:rsidRPr="0055382D" w:rsidRDefault="00D71A77" w:rsidP="00D71A77">
      <w:pPr>
        <w:spacing w:after="120" w:line="360" w:lineRule="auto"/>
        <w:jc w:val="both"/>
        <w:rPr>
          <w:rFonts w:cs="Times New Roman"/>
          <w:szCs w:val="24"/>
          <w:lang w:val="pl-PL"/>
        </w:rPr>
      </w:pPr>
      <w:r w:rsidRPr="0055382D">
        <w:rPr>
          <w:rFonts w:cs="Times New Roman"/>
          <w:szCs w:val="24"/>
          <w:lang w:val="pl-PL"/>
        </w:rPr>
        <w:t xml:space="preserve">Trybunał w sprawie HW przeciwko Francji stwierdził naruszenie art. 8 EKPC, uznając, że utrzymywanie w obrocie prawnym koncepcji cywilnoprawnego „obowiązku pożycia”, która umożliwia przypisanie winy rozkładu pożycia za samą odmowę współżycia, prowadzi do nieproporcjonalnej ingerencji w sferę seksualnej autonomii jednostki. Jednocześnie ETPC zaakceptował przewidywalność francuskiego modelu źródeł prawa, dla którego orzecznictwo ma istotne znaczenie (kodeks plus orzecznictwo) i jego historycznie utrwalonego odczytania art. 212 i 215 </w:t>
      </w:r>
      <w:proofErr w:type="spellStart"/>
      <w:r w:rsidRPr="0055382D">
        <w:rPr>
          <w:rFonts w:cs="Times New Roman"/>
          <w:szCs w:val="24"/>
          <w:lang w:val="pl-PL"/>
        </w:rPr>
        <w:t>Code</w:t>
      </w:r>
      <w:proofErr w:type="spellEnd"/>
      <w:r w:rsidRPr="0055382D">
        <w:rPr>
          <w:rFonts w:cs="Times New Roman"/>
          <w:szCs w:val="24"/>
          <w:lang w:val="pl-PL"/>
        </w:rPr>
        <w:t xml:space="preserve"> </w:t>
      </w:r>
      <w:proofErr w:type="spellStart"/>
      <w:r w:rsidRPr="0055382D">
        <w:rPr>
          <w:rFonts w:cs="Times New Roman"/>
          <w:szCs w:val="24"/>
          <w:lang w:val="pl-PL"/>
        </w:rPr>
        <w:t>civil</w:t>
      </w:r>
      <w:proofErr w:type="spellEnd"/>
      <w:r w:rsidRPr="0055382D">
        <w:rPr>
          <w:rFonts w:cs="Times New Roman"/>
          <w:szCs w:val="24"/>
          <w:lang w:val="pl-PL"/>
        </w:rPr>
        <w:t xml:space="preserve"> jako podstaw „</w:t>
      </w:r>
      <w:proofErr w:type="spellStart"/>
      <w:r w:rsidRPr="0055382D">
        <w:rPr>
          <w:rFonts w:cs="Times New Roman"/>
          <w:szCs w:val="24"/>
          <w:lang w:val="pl-PL"/>
        </w:rPr>
        <w:t>communauté</w:t>
      </w:r>
      <w:proofErr w:type="spellEnd"/>
      <w:r w:rsidRPr="0055382D">
        <w:rPr>
          <w:rFonts w:cs="Times New Roman"/>
          <w:szCs w:val="24"/>
          <w:lang w:val="pl-PL"/>
        </w:rPr>
        <w:t xml:space="preserve"> de </w:t>
      </w:r>
      <w:proofErr w:type="spellStart"/>
      <w:r w:rsidRPr="0055382D">
        <w:rPr>
          <w:rFonts w:cs="Times New Roman"/>
          <w:szCs w:val="24"/>
          <w:lang w:val="pl-PL"/>
        </w:rPr>
        <w:t>vie</w:t>
      </w:r>
      <w:proofErr w:type="spellEnd"/>
      <w:r w:rsidRPr="0055382D">
        <w:rPr>
          <w:rFonts w:cs="Times New Roman"/>
          <w:szCs w:val="24"/>
          <w:lang w:val="pl-PL"/>
        </w:rPr>
        <w:t>”, obejmującej także „</w:t>
      </w:r>
      <w:proofErr w:type="spellStart"/>
      <w:r w:rsidRPr="0055382D">
        <w:rPr>
          <w:rFonts w:cs="Times New Roman"/>
          <w:szCs w:val="24"/>
          <w:lang w:val="pl-PL"/>
        </w:rPr>
        <w:t>communauté</w:t>
      </w:r>
      <w:proofErr w:type="spellEnd"/>
      <w:r w:rsidRPr="0055382D">
        <w:rPr>
          <w:rFonts w:cs="Times New Roman"/>
          <w:szCs w:val="24"/>
          <w:lang w:val="pl-PL"/>
        </w:rPr>
        <w:t xml:space="preserve"> de lit”. Spór dotyczył jednak granic ingerencji państwa w życie prywatne na etapie orzeczenia o winie oraz skutków ekonomicznych rozwodu. ETPC zaakceptował zatem, że szczegółowa analiza obowiązków małżeńskich może wynikać z utrwalonego orzecznictwa, nie zgodził się jedna</w:t>
      </w:r>
      <w:r w:rsidR="00B26BF9">
        <w:rPr>
          <w:rFonts w:cs="Times New Roman"/>
          <w:szCs w:val="24"/>
          <w:lang w:val="pl-PL"/>
        </w:rPr>
        <w:t>k</w:t>
      </w:r>
      <w:r w:rsidRPr="0055382D">
        <w:rPr>
          <w:rFonts w:cs="Times New Roman"/>
          <w:szCs w:val="24"/>
          <w:lang w:val="pl-PL"/>
        </w:rPr>
        <w:t xml:space="preserve"> z konkluzjami wynikającymi w francuskiej judykatury.</w:t>
      </w:r>
    </w:p>
    <w:p w14:paraId="2C9FE81C" w14:textId="77777777" w:rsidR="00D71A77" w:rsidRDefault="00D71A77" w:rsidP="00D71A77">
      <w:pPr>
        <w:pStyle w:val="Nagwek1"/>
        <w:rPr>
          <w:rFonts w:cs="Times New Roman"/>
          <w:color w:val="auto"/>
          <w:szCs w:val="24"/>
          <w:lang w:val="pl-PL"/>
        </w:rPr>
      </w:pPr>
      <w:r w:rsidRPr="00CB081A">
        <w:rPr>
          <w:rFonts w:cs="Times New Roman"/>
          <w:b/>
          <w:color w:val="auto"/>
          <w:szCs w:val="24"/>
          <w:lang w:val="pl-PL"/>
        </w:rPr>
        <w:t>Stan faktyczny i przebieg postępowania krajowego</w:t>
      </w:r>
    </w:p>
    <w:p w14:paraId="0D9833CC" w14:textId="77777777" w:rsidR="00D71A77" w:rsidRPr="00CB081A" w:rsidRDefault="00D71A77" w:rsidP="00D71A77">
      <w:pPr>
        <w:rPr>
          <w:lang w:val="pl-PL"/>
        </w:rPr>
      </w:pPr>
    </w:p>
    <w:p w14:paraId="2307C060" w14:textId="77777777" w:rsidR="00D71A77" w:rsidRPr="0055382D" w:rsidRDefault="00D71A77" w:rsidP="00D71A77">
      <w:pPr>
        <w:spacing w:after="120" w:line="360" w:lineRule="auto"/>
        <w:jc w:val="both"/>
        <w:rPr>
          <w:rFonts w:cs="Times New Roman"/>
          <w:szCs w:val="24"/>
          <w:lang w:val="pl-PL"/>
        </w:rPr>
      </w:pPr>
      <w:r w:rsidRPr="0055382D">
        <w:rPr>
          <w:rFonts w:cs="Times New Roman"/>
          <w:szCs w:val="24"/>
          <w:lang w:val="pl-PL"/>
        </w:rPr>
        <w:t xml:space="preserve">Małżeństwo stron zawarte w 1984 r. rozpadło się po ponad dwóch dekadach trwania. Małżeństwo doczekało się czwórki dzieci. Od 2004 r. skarżąca zaprzestała współżycia; po 2005 r. ujawniły się u niej poważne problemy zdrowotne, w tym konieczność operacji kręgosłupa w związku z wypadkiem komunikacyjnym, co czynił niemożliwym współżycie fizyczne. W 2009 r. powódka przeszła operację kręgosłupa. Cierpiała również na boreliozę. W 2012 r. zainicjowała sprawę o </w:t>
      </w:r>
      <w:r w:rsidRPr="0055382D">
        <w:rPr>
          <w:rFonts w:cs="Times New Roman"/>
          <w:szCs w:val="24"/>
          <w:lang w:val="pl-PL"/>
        </w:rPr>
        <w:lastRenderedPageBreak/>
        <w:t>rozwód powołując się między innymi na agresywność męża, stawiającego karierę zawodową ponad obowiązki rodzinne; mąż złożył powództwo wzajemne, akcentując długoletni brak pożycia. Sąd pierwszej instancji orzekł rozwód bez winy, sąd apelacyjny (co zaskakujące w realiach niniejszej sprawy) – z wyłącznej winy skarżącej, wskazując, że zaprzestanie pożycia (2004 r.)  nastąpiło jeszcze przed wypadkiem w 2005 r. Sąd kasacyjny oddalił skargę powódki. Spór obejmował także roszczenia finansowe (</w:t>
      </w:r>
      <w:proofErr w:type="spellStart"/>
      <w:r w:rsidRPr="0055382D">
        <w:rPr>
          <w:rFonts w:cs="Times New Roman"/>
          <w:szCs w:val="24"/>
          <w:lang w:val="pl-PL"/>
        </w:rPr>
        <w:t>prestation</w:t>
      </w:r>
      <w:proofErr w:type="spellEnd"/>
      <w:r w:rsidRPr="0055382D">
        <w:rPr>
          <w:rFonts w:cs="Times New Roman"/>
          <w:szCs w:val="24"/>
          <w:lang w:val="pl-PL"/>
        </w:rPr>
        <w:t xml:space="preserve"> </w:t>
      </w:r>
      <w:proofErr w:type="spellStart"/>
      <w:r w:rsidRPr="0055382D">
        <w:rPr>
          <w:rFonts w:cs="Times New Roman"/>
          <w:szCs w:val="24"/>
          <w:lang w:val="pl-PL"/>
        </w:rPr>
        <w:t>compensatoire</w:t>
      </w:r>
      <w:proofErr w:type="spellEnd"/>
      <w:r w:rsidRPr="0055382D">
        <w:rPr>
          <w:rFonts w:cs="Times New Roman"/>
          <w:szCs w:val="24"/>
          <w:lang w:val="pl-PL"/>
        </w:rPr>
        <w:t xml:space="preserve">), przy czym mąż nie dochodził odszkodowania za sam brak relacji seksualnych. W tym kontekście ETPC uznał, że ingerencja w sferę prywatności skarżącej była nieuzasadniona w świetle okoliczności indywidualnych. </w:t>
      </w:r>
    </w:p>
    <w:p w14:paraId="7B6BDD3E" w14:textId="77777777" w:rsidR="00D71A77" w:rsidRDefault="00D71A77" w:rsidP="00D71A77">
      <w:pPr>
        <w:pStyle w:val="Nagwek1"/>
        <w:rPr>
          <w:rFonts w:cs="Times New Roman"/>
          <w:color w:val="auto"/>
          <w:szCs w:val="24"/>
          <w:lang w:val="pl-PL"/>
        </w:rPr>
      </w:pPr>
      <w:r w:rsidRPr="00CB081A">
        <w:rPr>
          <w:rFonts w:cs="Times New Roman"/>
          <w:b/>
          <w:color w:val="auto"/>
          <w:szCs w:val="24"/>
          <w:lang w:val="pl-PL"/>
        </w:rPr>
        <w:t>Tło normatywne – prawo francuskie</w:t>
      </w:r>
    </w:p>
    <w:p w14:paraId="74138077" w14:textId="77777777" w:rsidR="00D71A77" w:rsidRPr="00CB081A" w:rsidRDefault="00D71A77" w:rsidP="00D71A77">
      <w:pPr>
        <w:rPr>
          <w:lang w:val="pl-PL"/>
        </w:rPr>
      </w:pPr>
    </w:p>
    <w:p w14:paraId="2B3459A1" w14:textId="09AF8BA2" w:rsidR="00D71A77" w:rsidRPr="0055382D" w:rsidRDefault="00D71A77" w:rsidP="00D71A77">
      <w:pPr>
        <w:spacing w:line="360" w:lineRule="auto"/>
        <w:jc w:val="both"/>
        <w:rPr>
          <w:rFonts w:cs="Times New Roman"/>
          <w:szCs w:val="24"/>
          <w:lang w:val="pl-PL"/>
        </w:rPr>
      </w:pPr>
      <w:r w:rsidRPr="0055382D">
        <w:rPr>
          <w:rFonts w:cs="Times New Roman"/>
          <w:szCs w:val="24"/>
          <w:lang w:val="pl-PL"/>
        </w:rPr>
        <w:t xml:space="preserve">Francuski model małżeństwa opiera się na skąpym, ale pojemnym tekście ustawowym oraz bogatej praktyce judykatury. Art. 212 </w:t>
      </w:r>
      <w:proofErr w:type="spellStart"/>
      <w:r w:rsidRPr="0055382D">
        <w:rPr>
          <w:rFonts w:cs="Times New Roman"/>
          <w:szCs w:val="24"/>
          <w:lang w:val="pl-PL"/>
        </w:rPr>
        <w:t>Code</w:t>
      </w:r>
      <w:proofErr w:type="spellEnd"/>
      <w:r w:rsidRPr="0055382D">
        <w:rPr>
          <w:rFonts w:cs="Times New Roman"/>
          <w:szCs w:val="24"/>
          <w:lang w:val="pl-PL"/>
        </w:rPr>
        <w:t xml:space="preserve"> </w:t>
      </w:r>
      <w:proofErr w:type="spellStart"/>
      <w:r w:rsidRPr="0055382D">
        <w:rPr>
          <w:rFonts w:cs="Times New Roman"/>
          <w:szCs w:val="24"/>
          <w:lang w:val="pl-PL"/>
        </w:rPr>
        <w:t>civil</w:t>
      </w:r>
      <w:proofErr w:type="spellEnd"/>
      <w:r w:rsidRPr="0055382D">
        <w:rPr>
          <w:rFonts w:cs="Times New Roman"/>
          <w:szCs w:val="24"/>
          <w:lang w:val="pl-PL"/>
        </w:rPr>
        <w:t xml:space="preserve"> wskazuje na obowiązek wzajemnego szacunku, wierności, wsparcia i pomocy; art. 215 ustanawia „</w:t>
      </w:r>
      <w:proofErr w:type="spellStart"/>
      <w:r w:rsidRPr="0055382D">
        <w:rPr>
          <w:rFonts w:cs="Times New Roman"/>
          <w:szCs w:val="24"/>
          <w:lang w:val="pl-PL"/>
        </w:rPr>
        <w:t>communauté</w:t>
      </w:r>
      <w:proofErr w:type="spellEnd"/>
      <w:r w:rsidRPr="0055382D">
        <w:rPr>
          <w:rFonts w:cs="Times New Roman"/>
          <w:szCs w:val="24"/>
          <w:lang w:val="pl-PL"/>
        </w:rPr>
        <w:t xml:space="preserve"> de </w:t>
      </w:r>
      <w:proofErr w:type="spellStart"/>
      <w:r w:rsidRPr="0055382D">
        <w:rPr>
          <w:rFonts w:cs="Times New Roman"/>
          <w:szCs w:val="24"/>
          <w:lang w:val="pl-PL"/>
        </w:rPr>
        <w:t>vie</w:t>
      </w:r>
      <w:proofErr w:type="spellEnd"/>
      <w:r w:rsidRPr="0055382D">
        <w:rPr>
          <w:rFonts w:cs="Times New Roman"/>
          <w:szCs w:val="24"/>
          <w:lang w:val="pl-PL"/>
        </w:rPr>
        <w:t>” (wspólnotę życia). Orzecznictwo od dekad interpretuje je w systemowy sposób jako obejmujące także „</w:t>
      </w:r>
      <w:proofErr w:type="spellStart"/>
      <w:r w:rsidRPr="0055382D">
        <w:rPr>
          <w:rFonts w:cs="Times New Roman"/>
          <w:szCs w:val="24"/>
          <w:lang w:val="pl-PL"/>
        </w:rPr>
        <w:t>communauté</w:t>
      </w:r>
      <w:proofErr w:type="spellEnd"/>
      <w:r w:rsidRPr="0055382D">
        <w:rPr>
          <w:rFonts w:cs="Times New Roman"/>
          <w:szCs w:val="24"/>
          <w:lang w:val="pl-PL"/>
        </w:rPr>
        <w:t xml:space="preserve"> de lit” (wspólnotę łoża). W utrwalonej linii orzeczniczej uporczywa odmowa współżycia bywa kwalifikowana jako poważne lub powtarzające się naruszenie obowiązków małżeńskich (art. 242), o ile nie zachodzą obiektywnie usprawiedliwiające okoliczności (np. przemoc, zdrowie, wiek). W wielu wyrokach sądy francuskie, zwłaszcza w kontekście rozwodowym, badając winę rozkładu pożycia między małżonkami, uznają, że małżonkowie są związani „obowiązkiem małżeńskim” (</w:t>
      </w:r>
      <w:proofErr w:type="spellStart"/>
      <w:r w:rsidRPr="0055382D">
        <w:rPr>
          <w:rFonts w:cs="Times New Roman"/>
          <w:i/>
          <w:iCs/>
          <w:szCs w:val="24"/>
          <w:lang w:val="pl-PL"/>
        </w:rPr>
        <w:t>devoir</w:t>
      </w:r>
      <w:proofErr w:type="spellEnd"/>
      <w:r w:rsidRPr="0055382D">
        <w:rPr>
          <w:rFonts w:cs="Times New Roman"/>
          <w:i/>
          <w:iCs/>
          <w:szCs w:val="24"/>
          <w:lang w:val="pl-PL"/>
        </w:rPr>
        <w:t xml:space="preserve"> </w:t>
      </w:r>
      <w:proofErr w:type="spellStart"/>
      <w:r w:rsidRPr="0055382D">
        <w:rPr>
          <w:rFonts w:cs="Times New Roman"/>
          <w:i/>
          <w:iCs/>
          <w:szCs w:val="24"/>
          <w:lang w:val="pl-PL"/>
        </w:rPr>
        <w:t>conjugal</w:t>
      </w:r>
      <w:proofErr w:type="spellEnd"/>
      <w:r w:rsidRPr="0055382D">
        <w:rPr>
          <w:rFonts w:cs="Times New Roman"/>
          <w:szCs w:val="24"/>
          <w:lang w:val="pl-PL"/>
        </w:rPr>
        <w:t>), czyli obowiązkiem utrzymywania stosunków seksualnych, którego niewypełnienie może uzasadniać rozwód</w:t>
      </w:r>
      <w:r w:rsidRPr="0055382D">
        <w:rPr>
          <w:rStyle w:val="Odwoanieprzypisudolnego"/>
          <w:rFonts w:cs="Times New Roman"/>
          <w:szCs w:val="24"/>
        </w:rPr>
        <w:footnoteReference w:id="2"/>
      </w:r>
      <w:r w:rsidRPr="0055382D">
        <w:rPr>
          <w:rFonts w:cs="Times New Roman"/>
          <w:szCs w:val="24"/>
          <w:lang w:val="pl-PL"/>
        </w:rPr>
        <w:t xml:space="preserve">. Orzecznictwo to jest nadal aktualne (odrębnego omówienia wymagają konsekwencje wyroku ETPC), przy czym judykatura obowiązek pożycia intymnego wiąże nie tylko ze „wspólnotą łoża”, ale i z obowiązkiem wierności (rozumianym w jego pozytywnym aspekcie jako obowiązek spełnienia przez małżonków obowiązku małżeńskiego). </w:t>
      </w:r>
      <w:r w:rsidR="000E3018">
        <w:rPr>
          <w:rFonts w:cs="Times New Roman"/>
          <w:szCs w:val="24"/>
          <w:lang w:val="pl-PL"/>
        </w:rPr>
        <w:t>Wierność jest po prostu dopełnieniem powinności utrzymywania bliskości, w tym również bliskości fizycznej. Te dwa elementy są ze sobą związane.</w:t>
      </w:r>
    </w:p>
    <w:p w14:paraId="125F4DD5" w14:textId="7C361D1E" w:rsidR="00D71A77" w:rsidRPr="0055382D" w:rsidRDefault="00D71A77" w:rsidP="00D71A77">
      <w:pPr>
        <w:spacing w:line="360" w:lineRule="auto"/>
        <w:jc w:val="both"/>
        <w:rPr>
          <w:rFonts w:cs="Times New Roman"/>
          <w:szCs w:val="24"/>
          <w:lang w:val="pl-PL"/>
        </w:rPr>
      </w:pPr>
      <w:r w:rsidRPr="0055382D">
        <w:rPr>
          <w:rFonts w:cs="Times New Roman"/>
          <w:szCs w:val="24"/>
          <w:lang w:val="pl-PL"/>
        </w:rPr>
        <w:lastRenderedPageBreak/>
        <w:t xml:space="preserve">ETPC błędnie </w:t>
      </w:r>
      <w:r w:rsidR="0079445D">
        <w:rPr>
          <w:rFonts w:cs="Times New Roman"/>
          <w:szCs w:val="24"/>
          <w:lang w:val="pl-PL"/>
        </w:rPr>
        <w:t>wskazał</w:t>
      </w:r>
      <w:r w:rsidRPr="0055382D">
        <w:rPr>
          <w:rFonts w:cs="Times New Roman"/>
          <w:szCs w:val="24"/>
          <w:lang w:val="pl-PL"/>
        </w:rPr>
        <w:t xml:space="preserve"> w analizowanym w dalszej części </w:t>
      </w:r>
      <w:r w:rsidR="0079445D">
        <w:rPr>
          <w:rFonts w:cs="Times New Roman"/>
          <w:szCs w:val="24"/>
          <w:lang w:val="pl-PL"/>
        </w:rPr>
        <w:t>glosy</w:t>
      </w:r>
      <w:r w:rsidRPr="0055382D">
        <w:rPr>
          <w:rFonts w:cs="Times New Roman"/>
          <w:szCs w:val="24"/>
          <w:lang w:val="pl-PL"/>
        </w:rPr>
        <w:t xml:space="preserve"> wyroku z 23.01.2025 r., że ostatnim orzeczeniem </w:t>
      </w:r>
      <w:proofErr w:type="spellStart"/>
      <w:r w:rsidRPr="0055382D">
        <w:rPr>
          <w:rFonts w:cs="Times New Roman"/>
          <w:szCs w:val="24"/>
          <w:lang w:val="pl-PL"/>
        </w:rPr>
        <w:t>Cour</w:t>
      </w:r>
      <w:proofErr w:type="spellEnd"/>
      <w:r w:rsidRPr="0055382D">
        <w:rPr>
          <w:rFonts w:cs="Times New Roman"/>
          <w:szCs w:val="24"/>
          <w:lang w:val="pl-PL"/>
        </w:rPr>
        <w:t xml:space="preserve"> de </w:t>
      </w:r>
      <w:proofErr w:type="spellStart"/>
      <w:r w:rsidRPr="0055382D">
        <w:rPr>
          <w:rFonts w:cs="Times New Roman"/>
          <w:szCs w:val="24"/>
          <w:lang w:val="pl-PL"/>
        </w:rPr>
        <w:t>cassation</w:t>
      </w:r>
      <w:proofErr w:type="spellEnd"/>
      <w:r w:rsidRPr="0055382D">
        <w:rPr>
          <w:rFonts w:cs="Times New Roman"/>
          <w:szCs w:val="24"/>
          <w:lang w:val="pl-PL"/>
        </w:rPr>
        <w:t xml:space="preserve"> w ramach tego zagadnienia był wyrok z dnia 17 grudnia 1997 r. i od tej pory nie potwierdził swojej linii orzeczniczej</w:t>
      </w:r>
      <w:r w:rsidRPr="0055382D">
        <w:rPr>
          <w:rStyle w:val="Odwoanieprzypisudolnego"/>
          <w:rFonts w:cs="Times New Roman"/>
          <w:szCs w:val="24"/>
        </w:rPr>
        <w:footnoteReference w:id="3"/>
      </w:r>
      <w:r w:rsidRPr="0055382D">
        <w:rPr>
          <w:rFonts w:cs="Times New Roman"/>
          <w:szCs w:val="24"/>
          <w:lang w:val="pl-PL"/>
        </w:rPr>
        <w:t xml:space="preserve">. I tak bowiem w wyroku z dnia 1 lutego 2012 r. </w:t>
      </w:r>
      <w:proofErr w:type="spellStart"/>
      <w:r w:rsidRPr="0055382D">
        <w:rPr>
          <w:rFonts w:cs="Times New Roman"/>
          <w:szCs w:val="24"/>
          <w:lang w:val="pl-PL"/>
        </w:rPr>
        <w:t>Cour</w:t>
      </w:r>
      <w:proofErr w:type="spellEnd"/>
      <w:r w:rsidRPr="0055382D">
        <w:rPr>
          <w:rFonts w:cs="Times New Roman"/>
          <w:szCs w:val="24"/>
          <w:lang w:val="pl-PL"/>
        </w:rPr>
        <w:t xml:space="preserve"> de </w:t>
      </w:r>
      <w:proofErr w:type="spellStart"/>
      <w:r w:rsidRPr="0055382D">
        <w:rPr>
          <w:rFonts w:cs="Times New Roman"/>
          <w:szCs w:val="24"/>
          <w:lang w:val="pl-PL"/>
        </w:rPr>
        <w:t>cassation</w:t>
      </w:r>
      <w:proofErr w:type="spellEnd"/>
      <w:r w:rsidRPr="0055382D">
        <w:rPr>
          <w:rFonts w:cs="Times New Roman"/>
          <w:szCs w:val="24"/>
          <w:lang w:val="pl-PL"/>
        </w:rPr>
        <w:t xml:space="preserve"> potwierdził, że uporczywa odmowa współżycia seksualnego przez małżonka może stanowić poważne i powtarzające się naruszenie obowiązków małżeńskich, uzasadniające orzeczenie rozwodu z winy. Sąd wskazał, że takie zachowanie narusza obowiązek wspólnego życia małżonków (</w:t>
      </w:r>
      <w:proofErr w:type="spellStart"/>
      <w:r w:rsidRPr="0055382D">
        <w:rPr>
          <w:rFonts w:cs="Times New Roman"/>
          <w:i/>
          <w:iCs/>
          <w:szCs w:val="24"/>
          <w:lang w:val="pl-PL"/>
        </w:rPr>
        <w:t>communauté</w:t>
      </w:r>
      <w:proofErr w:type="spellEnd"/>
      <w:r w:rsidRPr="0055382D">
        <w:rPr>
          <w:rFonts w:cs="Times New Roman"/>
          <w:i/>
          <w:iCs/>
          <w:szCs w:val="24"/>
          <w:lang w:val="pl-PL"/>
        </w:rPr>
        <w:t xml:space="preserve"> de </w:t>
      </w:r>
      <w:proofErr w:type="spellStart"/>
      <w:r w:rsidRPr="0055382D">
        <w:rPr>
          <w:rFonts w:cs="Times New Roman"/>
          <w:i/>
          <w:iCs/>
          <w:szCs w:val="24"/>
          <w:lang w:val="pl-PL"/>
        </w:rPr>
        <w:t>vie</w:t>
      </w:r>
      <w:proofErr w:type="spellEnd"/>
      <w:r w:rsidRPr="0055382D">
        <w:rPr>
          <w:rFonts w:cs="Times New Roman"/>
          <w:szCs w:val="24"/>
          <w:lang w:val="pl-PL"/>
        </w:rPr>
        <w:t xml:space="preserve">) przewidziany w art. 215 </w:t>
      </w:r>
      <w:proofErr w:type="spellStart"/>
      <w:r w:rsidRPr="0055382D">
        <w:rPr>
          <w:rFonts w:cs="Times New Roman"/>
          <w:szCs w:val="24"/>
          <w:lang w:val="pl-PL"/>
        </w:rPr>
        <w:t>fr.k.c</w:t>
      </w:r>
      <w:proofErr w:type="spellEnd"/>
      <w:r w:rsidRPr="0055382D">
        <w:rPr>
          <w:rFonts w:cs="Times New Roman"/>
          <w:szCs w:val="24"/>
          <w:lang w:val="pl-PL"/>
        </w:rPr>
        <w:t>.</w:t>
      </w:r>
      <w:r w:rsidRPr="0055382D">
        <w:rPr>
          <w:rStyle w:val="Odwoanieprzypisudolnego"/>
          <w:rFonts w:cs="Times New Roman"/>
          <w:szCs w:val="24"/>
        </w:rPr>
        <w:footnoteReference w:id="4"/>
      </w:r>
      <w:r w:rsidRPr="0055382D">
        <w:rPr>
          <w:rFonts w:cs="Times New Roman"/>
          <w:szCs w:val="24"/>
          <w:lang w:val="pl-PL"/>
        </w:rPr>
        <w:t>.</w:t>
      </w:r>
      <w:r w:rsidR="0079445D">
        <w:rPr>
          <w:rFonts w:cs="Times New Roman"/>
          <w:szCs w:val="24"/>
          <w:lang w:val="pl-PL"/>
        </w:rPr>
        <w:t xml:space="preserve"> Wydaje się, że ten błąd ETPC ma znaczenie</w:t>
      </w:r>
      <w:r w:rsidR="004A2467">
        <w:rPr>
          <w:rFonts w:cs="Times New Roman"/>
          <w:szCs w:val="24"/>
          <w:lang w:val="pl-PL"/>
        </w:rPr>
        <w:t xml:space="preserve"> (choć być może był w tym sensie niezawiniony, że za przybliżenie stanu orzecznictwa odpowiadała strona rządowa Francji)</w:t>
      </w:r>
      <w:r w:rsidR="0079445D">
        <w:rPr>
          <w:rFonts w:cs="Times New Roman"/>
          <w:szCs w:val="24"/>
          <w:lang w:val="pl-PL"/>
        </w:rPr>
        <w:t>. Ułatwił bowiem sformułowanie nietrafnej ogólnej tezy. W chwili obecnej, ze względu na dynamikę przemian obyczajowych i społecznych istnieje zasadnicza różnica między stwierdzeniem, że ostatni raz dotychczasowa praktyka była potwierdzona w orzecznictwie 1997 r. (co jest nieprawdą) a nie (jak w rzeczywistości) w 2012 r. Ów błąd niewątpliwie ułatwiał argumentację ETPC</w:t>
      </w:r>
      <w:r w:rsidR="004A2467">
        <w:rPr>
          <w:rFonts w:cs="Times New Roman"/>
          <w:szCs w:val="24"/>
          <w:lang w:val="pl-PL"/>
        </w:rPr>
        <w:t xml:space="preserve">, która (choć nie wprost) to jednak zdaje się sugerować przestarzały charakter wcześniejszego stanowiska judykatury francuskiej. </w:t>
      </w:r>
    </w:p>
    <w:p w14:paraId="6D399DC6" w14:textId="77777777" w:rsidR="00D71A77" w:rsidRPr="0055382D" w:rsidRDefault="00D71A77" w:rsidP="00D71A77">
      <w:pPr>
        <w:spacing w:after="120" w:line="360" w:lineRule="auto"/>
        <w:jc w:val="both"/>
        <w:rPr>
          <w:rFonts w:cs="Times New Roman"/>
          <w:szCs w:val="24"/>
          <w:lang w:val="pl-PL"/>
        </w:rPr>
      </w:pPr>
      <w:r w:rsidRPr="0055382D">
        <w:rPr>
          <w:rFonts w:cs="Times New Roman"/>
          <w:szCs w:val="24"/>
          <w:lang w:val="pl-PL"/>
        </w:rPr>
        <w:t>Dodać należy, że w orzecznictwie francuskim sporadycznie przyznawano także zadośćuczynienie deliktowe za sam długotrwały brak pożycia. Jest to wyjątek potwierdzający regułę koncentracji na winie rozkładu oraz skutkach ekonomicznych rozwodu (</w:t>
      </w:r>
      <w:proofErr w:type="spellStart"/>
      <w:r w:rsidRPr="0055382D">
        <w:rPr>
          <w:rFonts w:cs="Times New Roman"/>
          <w:szCs w:val="24"/>
          <w:lang w:val="pl-PL"/>
        </w:rPr>
        <w:t>prestation</w:t>
      </w:r>
      <w:proofErr w:type="spellEnd"/>
      <w:r w:rsidRPr="0055382D">
        <w:rPr>
          <w:rFonts w:cs="Times New Roman"/>
          <w:szCs w:val="24"/>
          <w:lang w:val="pl-PL"/>
        </w:rPr>
        <w:t xml:space="preserve"> </w:t>
      </w:r>
      <w:proofErr w:type="spellStart"/>
      <w:r w:rsidRPr="0055382D">
        <w:rPr>
          <w:rFonts w:cs="Times New Roman"/>
          <w:szCs w:val="24"/>
          <w:lang w:val="pl-PL"/>
        </w:rPr>
        <w:t>compensatoire</w:t>
      </w:r>
      <w:proofErr w:type="spellEnd"/>
      <w:r w:rsidRPr="0055382D">
        <w:rPr>
          <w:rFonts w:cs="Times New Roman"/>
          <w:szCs w:val="24"/>
          <w:lang w:val="pl-PL"/>
        </w:rPr>
        <w:t>, art. 270)</w:t>
      </w:r>
      <w:r w:rsidRPr="0055382D">
        <w:rPr>
          <w:rStyle w:val="Odwoanieprzypisudolnego"/>
          <w:rFonts w:cs="Times New Roman"/>
          <w:szCs w:val="24"/>
          <w:lang w:val="pl-PL"/>
        </w:rPr>
        <w:footnoteReference w:id="5"/>
      </w:r>
      <w:r w:rsidRPr="0055382D">
        <w:rPr>
          <w:rFonts w:cs="Times New Roman"/>
          <w:szCs w:val="24"/>
          <w:lang w:val="pl-PL"/>
        </w:rPr>
        <w:t>.</w:t>
      </w:r>
    </w:p>
    <w:p w14:paraId="56669403" w14:textId="77777777" w:rsidR="00D71A77" w:rsidRPr="0055382D" w:rsidRDefault="00D71A77" w:rsidP="00D71A77">
      <w:pPr>
        <w:spacing w:after="0" w:line="360" w:lineRule="auto"/>
        <w:jc w:val="both"/>
        <w:rPr>
          <w:rFonts w:cs="Times New Roman"/>
          <w:szCs w:val="24"/>
          <w:lang w:val="pl-PL"/>
        </w:rPr>
      </w:pPr>
      <w:r w:rsidRPr="0055382D">
        <w:rPr>
          <w:rFonts w:cs="Times New Roman"/>
          <w:szCs w:val="24"/>
          <w:lang w:val="pl-PL"/>
        </w:rPr>
        <w:t xml:space="preserve">W płaszczyźnie dogmatycznej „obowiązek” pożycia nigdy nie funkcjonował jako roszczenie o świadczenie seksualne. To raczej skrót myślowy, który – na tle oceny winy – pozwalał sądom ważyć, czy odmowa była usprawiedliwiona w świetle całokształtu relacji i realiów życia małżeńskiego. Tak rozumiany „obowiązek” nie osłabia penalizacji gwałtu małżeńskiego, który w prawie francuskim pozostaje jednoznacznie zakazany i ścigany. Zderzenie tych płaszczyzn – karnej i cywilnej – stanowi sedno napięcia ujawnionego w </w:t>
      </w:r>
      <w:proofErr w:type="spellStart"/>
      <w:r w:rsidRPr="0055382D">
        <w:rPr>
          <w:rFonts w:cs="Times New Roman"/>
          <w:szCs w:val="24"/>
          <w:lang w:val="pl-PL"/>
        </w:rPr>
        <w:t>glosowanym</w:t>
      </w:r>
      <w:proofErr w:type="spellEnd"/>
      <w:r w:rsidRPr="0055382D">
        <w:rPr>
          <w:rFonts w:cs="Times New Roman"/>
          <w:szCs w:val="24"/>
          <w:lang w:val="pl-PL"/>
        </w:rPr>
        <w:t xml:space="preserve"> wyroku. </w:t>
      </w:r>
    </w:p>
    <w:p w14:paraId="38492443" w14:textId="1BC093A2" w:rsidR="00D71A77" w:rsidRPr="0055382D" w:rsidRDefault="00D71A77" w:rsidP="00D71A77">
      <w:pPr>
        <w:spacing w:after="0" w:line="360" w:lineRule="auto"/>
        <w:jc w:val="both"/>
        <w:rPr>
          <w:rFonts w:cs="Times New Roman"/>
          <w:szCs w:val="24"/>
          <w:lang w:val="pl-PL"/>
        </w:rPr>
      </w:pPr>
      <w:r w:rsidRPr="0055382D">
        <w:rPr>
          <w:rFonts w:cs="Times New Roman"/>
          <w:szCs w:val="24"/>
          <w:lang w:val="pl-PL"/>
        </w:rPr>
        <w:t xml:space="preserve">Jeśli uwzględnić optykę ETPC, to należałoby </w:t>
      </w:r>
      <w:r w:rsidR="00226020">
        <w:rPr>
          <w:rFonts w:cs="Times New Roman"/>
          <w:szCs w:val="24"/>
          <w:lang w:val="pl-PL"/>
        </w:rPr>
        <w:t xml:space="preserve">w jej wyniku przyjąć, że sam fakt małżeństwa czyni jakiekolwiek </w:t>
      </w:r>
      <w:r w:rsidR="004A2467">
        <w:rPr>
          <w:rFonts w:cs="Times New Roman"/>
          <w:szCs w:val="24"/>
          <w:lang w:val="pl-PL"/>
        </w:rPr>
        <w:t>współżycie wynikiem</w:t>
      </w:r>
      <w:r w:rsidR="00226020">
        <w:rPr>
          <w:rFonts w:cs="Times New Roman"/>
          <w:szCs w:val="24"/>
          <w:lang w:val="pl-PL"/>
        </w:rPr>
        <w:t xml:space="preserve"> decyzji nie w pełni autonomicznych</w:t>
      </w:r>
      <w:r w:rsidRPr="0055382D">
        <w:rPr>
          <w:rFonts w:cs="Times New Roman"/>
          <w:szCs w:val="24"/>
          <w:lang w:val="pl-PL"/>
        </w:rPr>
        <w:t xml:space="preserve">, skoro długotrwała </w:t>
      </w:r>
      <w:r w:rsidRPr="0055382D">
        <w:rPr>
          <w:rFonts w:cs="Times New Roman"/>
          <w:szCs w:val="24"/>
          <w:lang w:val="pl-PL"/>
        </w:rPr>
        <w:lastRenderedPageBreak/>
        <w:t xml:space="preserve">odmowa pożycia może być uznana (choć to zależy od okoliczności konkretnego przypadku) za zawinioną przyczynę rozkładu pożycia. </w:t>
      </w:r>
      <w:r w:rsidR="00226020">
        <w:rPr>
          <w:rFonts w:cs="Times New Roman"/>
          <w:szCs w:val="24"/>
          <w:lang w:val="pl-PL"/>
        </w:rPr>
        <w:t>Zawsze zatem istniałby czynnik „przymuszający” godzący w autonomię, nawet jeśli konkretni małżonkowie tak by tego nie odbierali. W tym kontekście ETPC</w:t>
      </w:r>
      <w:r w:rsidR="00445EB0">
        <w:rPr>
          <w:rFonts w:cs="Times New Roman"/>
          <w:szCs w:val="24"/>
          <w:lang w:val="pl-PL"/>
        </w:rPr>
        <w:t>,</w:t>
      </w:r>
      <w:r w:rsidR="00226020">
        <w:rPr>
          <w:rFonts w:cs="Times New Roman"/>
          <w:szCs w:val="24"/>
          <w:lang w:val="pl-PL"/>
        </w:rPr>
        <w:t xml:space="preserve"> jak się wydaje</w:t>
      </w:r>
      <w:r w:rsidR="00445EB0">
        <w:rPr>
          <w:rFonts w:cs="Times New Roman"/>
          <w:szCs w:val="24"/>
          <w:lang w:val="pl-PL"/>
        </w:rPr>
        <w:t>,</w:t>
      </w:r>
      <w:r w:rsidR="00226020">
        <w:rPr>
          <w:rFonts w:cs="Times New Roman"/>
          <w:szCs w:val="24"/>
          <w:lang w:val="pl-PL"/>
        </w:rPr>
        <w:t xml:space="preserve"> opowiedział się za abstrakcyjnym ujmowaniem autonomii, odrywanym od poszczególnych przypadków</w:t>
      </w:r>
      <w:r w:rsidR="00445EB0">
        <w:rPr>
          <w:rFonts w:cs="Times New Roman"/>
          <w:szCs w:val="24"/>
          <w:lang w:val="pl-PL"/>
        </w:rPr>
        <w:t xml:space="preserve"> i sytuacji konkretnego małżeństwa</w:t>
      </w:r>
      <w:r w:rsidR="0079445D">
        <w:rPr>
          <w:rFonts w:cs="Times New Roman"/>
          <w:szCs w:val="24"/>
          <w:lang w:val="pl-PL"/>
        </w:rPr>
        <w:t xml:space="preserve">. Jakkolwiek bowiem w tym konkretnym stanie faktycznym rozstrzygnięcie było prawidłowe, to nieprawidłowym było formułowanie ogólnych twierdzeń przez ETPC w takim kształcie, jak zaprezentowano. </w:t>
      </w:r>
      <w:r w:rsidR="00226020">
        <w:rPr>
          <w:rFonts w:cs="Times New Roman"/>
          <w:szCs w:val="24"/>
          <w:lang w:val="pl-PL"/>
        </w:rPr>
        <w:t xml:space="preserve">Zbliżoną </w:t>
      </w:r>
      <w:r w:rsidRPr="0055382D">
        <w:rPr>
          <w:rFonts w:cs="Times New Roman"/>
          <w:szCs w:val="24"/>
          <w:lang w:val="pl-PL"/>
        </w:rPr>
        <w:t xml:space="preserve">krytykę wyraziła R. </w:t>
      </w:r>
      <w:proofErr w:type="spellStart"/>
      <w:r w:rsidRPr="0055382D">
        <w:rPr>
          <w:rFonts w:cs="Times New Roman"/>
          <w:szCs w:val="24"/>
          <w:lang w:val="pl-PL"/>
        </w:rPr>
        <w:t>Letteron</w:t>
      </w:r>
      <w:proofErr w:type="spellEnd"/>
      <w:r w:rsidRPr="0055382D">
        <w:rPr>
          <w:rFonts w:cs="Times New Roman"/>
          <w:szCs w:val="24"/>
          <w:lang w:val="pl-PL"/>
        </w:rPr>
        <w:t>, stwierdzając: „można odnieść bardzo wyraźne wrażenie, że Trybunał daje się ponieść swojemu rozmachowi”</w:t>
      </w:r>
      <w:r w:rsidRPr="0055382D">
        <w:rPr>
          <w:rStyle w:val="Odwoanieprzypisudolnego"/>
          <w:rFonts w:cs="Times New Roman"/>
          <w:szCs w:val="24"/>
        </w:rPr>
        <w:footnoteReference w:id="6"/>
      </w:r>
      <w:r w:rsidRPr="0055382D">
        <w:rPr>
          <w:rFonts w:cs="Times New Roman"/>
          <w:szCs w:val="24"/>
          <w:lang w:val="pl-PL"/>
        </w:rPr>
        <w:t xml:space="preserve">. Autorka ta trafnie stwierdza, że sądy francuskie bardzo oszczędnie operują pojęciem analizowanego obowiązku małżeńskiego i najczęściej opierają się na szerszym zestawie elementów. </w:t>
      </w:r>
      <w:proofErr w:type="spellStart"/>
      <w:r w:rsidRPr="0055382D">
        <w:rPr>
          <w:rFonts w:cs="Times New Roman"/>
          <w:szCs w:val="24"/>
          <w:lang w:val="pl-PL"/>
        </w:rPr>
        <w:t>Letteron</w:t>
      </w:r>
      <w:proofErr w:type="spellEnd"/>
      <w:r w:rsidRPr="0055382D">
        <w:rPr>
          <w:rFonts w:cs="Times New Roman"/>
          <w:szCs w:val="24"/>
          <w:lang w:val="pl-PL"/>
        </w:rPr>
        <w:t xml:space="preserve"> wskazuje, że zgodnie z francuskim orzecznictwem „wina leży w fakcie, że małżonek abstynent sprawił, że małżeństwo jest nie do zniesienia, a nie w tym, że odmówił współżycia seksualnego”</w:t>
      </w:r>
      <w:r w:rsidRPr="0055382D">
        <w:rPr>
          <w:rStyle w:val="Odwoanieprzypisudolnego"/>
          <w:rFonts w:cs="Times New Roman"/>
          <w:szCs w:val="24"/>
        </w:rPr>
        <w:footnoteReference w:id="7"/>
      </w:r>
      <w:r w:rsidRPr="0055382D">
        <w:rPr>
          <w:rFonts w:cs="Times New Roman"/>
          <w:szCs w:val="24"/>
          <w:lang w:val="pl-PL"/>
        </w:rPr>
        <w:t>.</w:t>
      </w:r>
      <w:r w:rsidR="004A2467">
        <w:rPr>
          <w:rFonts w:cs="Times New Roman"/>
          <w:szCs w:val="24"/>
          <w:lang w:val="pl-PL"/>
        </w:rPr>
        <w:t xml:space="preserve"> Należy jednak odnotować, że w nauce francuskiej pojawiły się też głosy akceptujące rozstrzygnięcie i wskazujące, że nie jest konieczne wprowadzenie ustawy zmieniającej aktualny stan prawny a po prostu zaprzestanie przez sądy badania kwestii pożycia fizycznego</w:t>
      </w:r>
      <w:r w:rsidR="00A251E8">
        <w:rPr>
          <w:rFonts w:cs="Times New Roman"/>
          <w:szCs w:val="24"/>
          <w:lang w:val="pl-PL"/>
        </w:rPr>
        <w:t>, która powinna od tej pory znajdować się poza zakresem terminu „wspólnota życia”</w:t>
      </w:r>
      <w:r w:rsidR="00A251E8">
        <w:rPr>
          <w:rStyle w:val="Odwoanieprzypisudolnego"/>
          <w:rFonts w:cs="Times New Roman"/>
          <w:szCs w:val="24"/>
          <w:lang w:val="pl-PL"/>
        </w:rPr>
        <w:footnoteReference w:id="8"/>
      </w:r>
      <w:r w:rsidR="00A251E8">
        <w:rPr>
          <w:rFonts w:cs="Times New Roman"/>
          <w:szCs w:val="24"/>
          <w:lang w:val="pl-PL"/>
        </w:rPr>
        <w:t>.</w:t>
      </w:r>
    </w:p>
    <w:p w14:paraId="6900EAC4" w14:textId="77777777" w:rsidR="00D71A77" w:rsidRPr="0055382D" w:rsidRDefault="00D71A77" w:rsidP="00D71A77">
      <w:pPr>
        <w:spacing w:after="120" w:line="360" w:lineRule="auto"/>
        <w:jc w:val="both"/>
        <w:rPr>
          <w:rFonts w:cs="Times New Roman"/>
          <w:szCs w:val="24"/>
          <w:lang w:val="pl-PL"/>
        </w:rPr>
      </w:pPr>
    </w:p>
    <w:p w14:paraId="633B4588" w14:textId="77777777" w:rsidR="00D71A77" w:rsidRDefault="00D71A77" w:rsidP="00D71A77">
      <w:pPr>
        <w:pStyle w:val="Nagwek1"/>
        <w:rPr>
          <w:rFonts w:cs="Times New Roman"/>
          <w:color w:val="auto"/>
          <w:szCs w:val="24"/>
          <w:lang w:val="pl-PL"/>
        </w:rPr>
      </w:pPr>
      <w:r w:rsidRPr="00CB081A">
        <w:rPr>
          <w:rFonts w:cs="Times New Roman"/>
          <w:b/>
          <w:color w:val="auto"/>
          <w:szCs w:val="24"/>
          <w:lang w:val="pl-PL"/>
        </w:rPr>
        <w:t>Tło normatywne – prawo polskie</w:t>
      </w:r>
    </w:p>
    <w:p w14:paraId="73E7548F" w14:textId="77777777" w:rsidR="00D71A77" w:rsidRPr="00CB081A" w:rsidRDefault="00D71A77" w:rsidP="00D71A77">
      <w:pPr>
        <w:rPr>
          <w:lang w:val="pl-PL"/>
        </w:rPr>
      </w:pPr>
    </w:p>
    <w:p w14:paraId="0CA3F035" w14:textId="77777777" w:rsidR="00D71A77" w:rsidRPr="0055382D" w:rsidRDefault="00D71A77" w:rsidP="00D71A77">
      <w:pPr>
        <w:spacing w:after="120" w:line="360" w:lineRule="auto"/>
        <w:jc w:val="both"/>
        <w:rPr>
          <w:rFonts w:cs="Times New Roman"/>
          <w:szCs w:val="24"/>
          <w:lang w:val="pl-PL"/>
        </w:rPr>
      </w:pPr>
      <w:r w:rsidRPr="0055382D">
        <w:rPr>
          <w:rFonts w:cs="Times New Roman"/>
          <w:szCs w:val="24"/>
          <w:lang w:val="pl-PL"/>
        </w:rPr>
        <w:t xml:space="preserve">Art. 23 </w:t>
      </w:r>
      <w:proofErr w:type="spellStart"/>
      <w:r w:rsidRPr="0055382D">
        <w:rPr>
          <w:rFonts w:cs="Times New Roman"/>
          <w:szCs w:val="24"/>
          <w:lang w:val="pl-PL"/>
        </w:rPr>
        <w:t>k.r.o</w:t>
      </w:r>
      <w:proofErr w:type="spellEnd"/>
      <w:r w:rsidRPr="0055382D">
        <w:rPr>
          <w:rFonts w:cs="Times New Roman"/>
          <w:szCs w:val="24"/>
          <w:lang w:val="pl-PL"/>
        </w:rPr>
        <w:t>. wymienia „wspólne pożycie” obok wierności, pomocy i współdziałania dla dobra rodziny. W klasycznej doktrynie podkreślano niemajątkowy, a niekiedy moralny charakter tych powinności i brak ich egzekwowalności wprost</w:t>
      </w:r>
      <w:r w:rsidRPr="0055382D">
        <w:rPr>
          <w:rStyle w:val="Odwoanieprzypisudolnego"/>
          <w:rFonts w:cs="Times New Roman"/>
          <w:szCs w:val="24"/>
          <w:lang w:val="pl-PL"/>
        </w:rPr>
        <w:footnoteReference w:id="9"/>
      </w:r>
      <w:r w:rsidRPr="0055382D">
        <w:rPr>
          <w:rFonts w:cs="Times New Roman"/>
          <w:szCs w:val="24"/>
          <w:lang w:val="pl-PL"/>
        </w:rPr>
        <w:t xml:space="preserve">. W piśmiennictwie trafnie podkreślano, że istnienie wspólności fizycznej „zależy od natężenia funkcji seksualnej i zmienia się, a nawet zanika pod wpływem wielu czynników obiektywnych i subiektywnych. Pożycie fizyczne nie jest więc w każdym przypadku niezbędnym elementem wspólnego pożycia jako podstawy dobrego </w:t>
      </w:r>
      <w:r w:rsidRPr="0055382D">
        <w:rPr>
          <w:rFonts w:cs="Times New Roman"/>
          <w:szCs w:val="24"/>
          <w:lang w:val="pl-PL"/>
        </w:rPr>
        <w:lastRenderedPageBreak/>
        <w:t>funkcjonowania małżeństwa”</w:t>
      </w:r>
      <w:r w:rsidRPr="0055382D">
        <w:rPr>
          <w:rStyle w:val="Odwoanieprzypisudolnego"/>
          <w:rFonts w:cs="Times New Roman"/>
          <w:szCs w:val="24"/>
        </w:rPr>
        <w:footnoteReference w:id="10"/>
      </w:r>
      <w:r w:rsidRPr="0055382D">
        <w:rPr>
          <w:rFonts w:cs="Times New Roman"/>
          <w:szCs w:val="24"/>
          <w:lang w:val="pl-PL"/>
        </w:rPr>
        <w:t>. Podobnie podchodziła do tego zagadnienia judykatura – w sposób zbliżony do praktyki francuskiej – dopuszczając uznanie odmowy pożycia za zawinioną przyczynę rozkładu pożycia, o ile brak ten nie znajduje obiektywnego usprawiedliwienia</w:t>
      </w:r>
      <w:r w:rsidRPr="0055382D">
        <w:rPr>
          <w:rStyle w:val="Odwoanieprzypisudolnego"/>
          <w:rFonts w:cs="Times New Roman"/>
          <w:szCs w:val="24"/>
          <w:lang w:val="pl-PL"/>
        </w:rPr>
        <w:footnoteReference w:id="11"/>
      </w:r>
      <w:r w:rsidRPr="0055382D">
        <w:rPr>
          <w:rFonts w:cs="Times New Roman"/>
          <w:szCs w:val="24"/>
          <w:lang w:val="pl-PL"/>
        </w:rPr>
        <w:t xml:space="preserve">. Polski model także nie czyni z „pożycia” przedmiotu roszczenia, traktując je jako element stanu faktycznego ważonego przy orzekaniu o winie i skutkach rozwodu (w tym alimentach z art. 60 </w:t>
      </w:r>
      <w:proofErr w:type="spellStart"/>
      <w:r w:rsidRPr="0055382D">
        <w:rPr>
          <w:rFonts w:cs="Times New Roman"/>
          <w:szCs w:val="24"/>
          <w:lang w:val="pl-PL"/>
        </w:rPr>
        <w:t>k.r.o</w:t>
      </w:r>
      <w:proofErr w:type="spellEnd"/>
      <w:r w:rsidRPr="0055382D">
        <w:rPr>
          <w:rFonts w:cs="Times New Roman"/>
          <w:szCs w:val="24"/>
          <w:lang w:val="pl-PL"/>
        </w:rPr>
        <w:t xml:space="preserve">.). </w:t>
      </w:r>
    </w:p>
    <w:p w14:paraId="0842D748" w14:textId="77777777" w:rsidR="00D71A77" w:rsidRPr="0055382D" w:rsidRDefault="00D71A77" w:rsidP="00D71A77">
      <w:pPr>
        <w:spacing w:after="120" w:line="360" w:lineRule="auto"/>
        <w:jc w:val="both"/>
        <w:rPr>
          <w:rFonts w:cs="Times New Roman"/>
          <w:szCs w:val="24"/>
          <w:lang w:val="pl-PL"/>
        </w:rPr>
      </w:pPr>
      <w:r w:rsidRPr="0055382D">
        <w:rPr>
          <w:rFonts w:cs="Times New Roman"/>
          <w:szCs w:val="24"/>
          <w:lang w:val="pl-PL"/>
        </w:rPr>
        <w:t xml:space="preserve">Znaczenie winy rozkładu pożycia dla świadczeń między rozwiedzionymi małżonkami ujawnia paralelę do francuskiej </w:t>
      </w:r>
      <w:proofErr w:type="spellStart"/>
      <w:r w:rsidRPr="0055382D">
        <w:rPr>
          <w:rFonts w:cs="Times New Roman"/>
          <w:szCs w:val="24"/>
          <w:lang w:val="pl-PL"/>
        </w:rPr>
        <w:t>prestation</w:t>
      </w:r>
      <w:proofErr w:type="spellEnd"/>
      <w:r w:rsidRPr="0055382D">
        <w:rPr>
          <w:rFonts w:cs="Times New Roman"/>
          <w:szCs w:val="24"/>
          <w:lang w:val="pl-PL"/>
        </w:rPr>
        <w:t xml:space="preserve"> </w:t>
      </w:r>
      <w:proofErr w:type="spellStart"/>
      <w:r w:rsidRPr="0055382D">
        <w:rPr>
          <w:rFonts w:cs="Times New Roman"/>
          <w:szCs w:val="24"/>
          <w:lang w:val="pl-PL"/>
        </w:rPr>
        <w:t>compensatoire</w:t>
      </w:r>
      <w:proofErr w:type="spellEnd"/>
      <w:r w:rsidRPr="0055382D">
        <w:rPr>
          <w:rFonts w:cs="Times New Roman"/>
          <w:szCs w:val="24"/>
          <w:lang w:val="pl-PL"/>
        </w:rPr>
        <w:t xml:space="preserve">: w polskim prawie małżonek niewinny może dochodzić alimentów od wyłącznie winnego, jeżeli rozwód istotnie pogarsza jego sytuację materialną (art. 60 § 2 </w:t>
      </w:r>
      <w:proofErr w:type="spellStart"/>
      <w:r w:rsidRPr="0055382D">
        <w:rPr>
          <w:rFonts w:cs="Times New Roman"/>
          <w:szCs w:val="24"/>
          <w:lang w:val="pl-PL"/>
        </w:rPr>
        <w:t>k.r.o</w:t>
      </w:r>
      <w:proofErr w:type="spellEnd"/>
      <w:r w:rsidRPr="0055382D">
        <w:rPr>
          <w:rFonts w:cs="Times New Roman"/>
          <w:szCs w:val="24"/>
          <w:lang w:val="pl-PL"/>
        </w:rPr>
        <w:t>.). W praktyce zatem ocena przyczyn braku pożycia może mieć wymiar nie tylko aksjologiczny, ale i finansowy – co dodatkowo wymaga precyzyjnego standardu orzekania.</w:t>
      </w:r>
    </w:p>
    <w:p w14:paraId="07499736" w14:textId="77777777" w:rsidR="00D71A77" w:rsidRDefault="00D71A77" w:rsidP="00D71A77">
      <w:pPr>
        <w:pStyle w:val="Nagwek1"/>
        <w:rPr>
          <w:rFonts w:cs="Times New Roman"/>
          <w:color w:val="auto"/>
          <w:szCs w:val="24"/>
          <w:lang w:val="pl-PL"/>
        </w:rPr>
      </w:pPr>
      <w:r w:rsidRPr="00CB081A">
        <w:rPr>
          <w:rFonts w:cs="Times New Roman"/>
          <w:b/>
          <w:color w:val="auto"/>
          <w:szCs w:val="24"/>
          <w:lang w:val="pl-PL"/>
        </w:rPr>
        <w:t>Analiza rozumowania ETPC: zakres aprobaty i krytyki</w:t>
      </w:r>
    </w:p>
    <w:p w14:paraId="2D3AB2FB" w14:textId="77777777" w:rsidR="00D71A77" w:rsidRPr="00CB081A" w:rsidRDefault="00D71A77" w:rsidP="00D71A77">
      <w:pPr>
        <w:rPr>
          <w:lang w:val="pl-PL"/>
        </w:rPr>
      </w:pPr>
    </w:p>
    <w:p w14:paraId="3FF12226" w14:textId="77777777" w:rsidR="00D71A77" w:rsidRPr="0055382D" w:rsidRDefault="00D71A77" w:rsidP="00D71A77">
      <w:pPr>
        <w:spacing w:after="120" w:line="360" w:lineRule="auto"/>
        <w:jc w:val="both"/>
        <w:rPr>
          <w:rFonts w:cs="Times New Roman"/>
          <w:szCs w:val="24"/>
          <w:lang w:val="pl-PL"/>
        </w:rPr>
      </w:pPr>
      <w:proofErr w:type="spellStart"/>
      <w:r w:rsidRPr="0055382D">
        <w:rPr>
          <w:rFonts w:cs="Times New Roman"/>
          <w:szCs w:val="24"/>
          <w:lang w:val="pl-PL"/>
        </w:rPr>
        <w:t>Glosowany</w:t>
      </w:r>
      <w:proofErr w:type="spellEnd"/>
      <w:r w:rsidRPr="0055382D">
        <w:rPr>
          <w:rFonts w:cs="Times New Roman"/>
          <w:szCs w:val="24"/>
          <w:lang w:val="pl-PL"/>
        </w:rPr>
        <w:t xml:space="preserve"> wyrok trafnie akcentuje, że życie seksualne mieści się w sferze chronionej art. 8 EKPC, a ingerencja sądów rodzinnych w tę sferę musi mieć szczególnie mocne uzasadnienie. W realiach sprawy HW przesłanki takie nie wystąpiły: długotrwałe problemy zdrowotne, konflikt małżeński i faktyczna separacja nakazywały powściągliwość w przypisywaniu wyłącznej winy za odmowę współżycia. Ten wątek zasługuje na aprobatę. Krytycznie należy natomiast ocenić element uogólnienia, w którym ETPC wiąże samą możliwość przypisywania winy za odmowę pożycia z ryzykiem osłabienia standardu ochrony przed przemocą seksualną. Taki zabieg retoryczny zaciera rozróżnienie pomiędzy oceną długotrwałego faktu w prawie cywilnym a penalizacją jednostkowego czynu bez zgody w prawie karnym. </w:t>
      </w:r>
    </w:p>
    <w:p w14:paraId="20B7D2EA" w14:textId="77777777" w:rsidR="00D71A77" w:rsidRPr="0055382D" w:rsidRDefault="00D71A77" w:rsidP="00D71A77">
      <w:pPr>
        <w:spacing w:after="120" w:line="360" w:lineRule="auto"/>
        <w:jc w:val="both"/>
        <w:rPr>
          <w:rFonts w:cs="Times New Roman"/>
          <w:szCs w:val="24"/>
          <w:lang w:val="pl-PL"/>
        </w:rPr>
      </w:pPr>
      <w:r w:rsidRPr="0055382D">
        <w:rPr>
          <w:rFonts w:cs="Times New Roman"/>
          <w:szCs w:val="24"/>
          <w:lang w:val="pl-PL"/>
        </w:rPr>
        <w:t>Z perspektywy metodologicznej należy podkreślić, że prawo cywilne operuje kategoriami gradacji winy i oceny kontekstu, a nie dychotomią „zgoda/jej brak” typową dla prawa karnego, skupioną na konkretnym akcie seksualnym. Sąd cywil</w:t>
      </w:r>
      <w:r>
        <w:rPr>
          <w:rFonts w:cs="Times New Roman"/>
          <w:szCs w:val="24"/>
          <w:lang w:val="pl-PL"/>
        </w:rPr>
        <w:t>n</w:t>
      </w:r>
      <w:r w:rsidRPr="0055382D">
        <w:rPr>
          <w:rFonts w:cs="Times New Roman"/>
          <w:szCs w:val="24"/>
          <w:lang w:val="pl-PL"/>
        </w:rPr>
        <w:t xml:space="preserve">y, badając rozkład pożycia, nie orzeka o legalności aktów seksualnych, lecz rekonstruuje przyczyny rozpadu więzi i to w długotrwałym kontekście relacji. W tym sensie sformułowanie o „obowiązku pożycia” bywa mylące – i należałoby go </w:t>
      </w:r>
      <w:r w:rsidRPr="0055382D">
        <w:rPr>
          <w:rFonts w:cs="Times New Roman"/>
          <w:szCs w:val="24"/>
          <w:lang w:val="pl-PL"/>
        </w:rPr>
        <w:lastRenderedPageBreak/>
        <w:t>porzucić – ale sama możliwość odnoszenia się do faktu braku pożycia, jako jednej z wielu okoliczności, powinna pozostać w arsenale argumentacyjnym sądów rodzinnych. Niezbędn</w:t>
      </w:r>
      <w:r>
        <w:rPr>
          <w:rFonts w:cs="Times New Roman"/>
          <w:szCs w:val="24"/>
          <w:lang w:val="pl-PL"/>
        </w:rPr>
        <w:t>ą</w:t>
      </w:r>
      <w:r w:rsidRPr="0055382D">
        <w:rPr>
          <w:rFonts w:cs="Times New Roman"/>
          <w:szCs w:val="24"/>
          <w:lang w:val="pl-PL"/>
        </w:rPr>
        <w:t xml:space="preserve"> korekt</w:t>
      </w:r>
      <w:r>
        <w:rPr>
          <w:rFonts w:cs="Times New Roman"/>
          <w:szCs w:val="24"/>
          <w:lang w:val="pl-PL"/>
        </w:rPr>
        <w:t>ą</w:t>
      </w:r>
      <w:r w:rsidRPr="0055382D">
        <w:rPr>
          <w:rFonts w:cs="Times New Roman"/>
          <w:szCs w:val="24"/>
          <w:lang w:val="pl-PL"/>
        </w:rPr>
        <w:t xml:space="preserve"> jest jednak wyraźne uwzględnienie kategorii zgody, przemocy i bezpieczeństwa w uzasadnieniach. Standard ten jest zresztą realizowany w orzecznictwie francuskim. Uznaje ono bowiem szereg okoliczności obiektywnych usprawiedliwiających brak pożycia fizycznego, takich jak naruszenie obowiązku wierności przez drugiego małżonka, wiek, zdrowie, przemoc fizyczna i psychiczna, nieróbstwo – pasożytniczy typ życia</w:t>
      </w:r>
      <w:r w:rsidRPr="0055382D">
        <w:rPr>
          <w:rStyle w:val="Odwoanieprzypisudolnego"/>
          <w:rFonts w:cs="Times New Roman"/>
          <w:szCs w:val="24"/>
        </w:rPr>
        <w:footnoteReference w:id="12"/>
      </w:r>
      <w:r w:rsidRPr="0055382D">
        <w:rPr>
          <w:rFonts w:cs="Times New Roman"/>
          <w:szCs w:val="24"/>
          <w:lang w:val="pl-PL"/>
        </w:rPr>
        <w:t>, brak higieny</w:t>
      </w:r>
      <w:r w:rsidRPr="0055382D">
        <w:rPr>
          <w:rStyle w:val="Odwoanieprzypisudolnego"/>
          <w:rFonts w:cs="Times New Roman"/>
          <w:szCs w:val="24"/>
        </w:rPr>
        <w:footnoteReference w:id="13"/>
      </w:r>
      <w:r w:rsidRPr="0055382D">
        <w:rPr>
          <w:rFonts w:cs="Times New Roman"/>
          <w:szCs w:val="24"/>
          <w:lang w:val="pl-PL"/>
        </w:rPr>
        <w:t xml:space="preserve">, a nawet poprzedzający odmowę nadmiar pożycia i oczekiwań seksualnych drugiego małżonka. Okoliczności te są trudne do skatalogowania i niejednokrotnie w konkretnych sprawach łączy się ich kilka, razem z takimi, które same w sobie zapewne nie uzasadniałyby odmowy (np. wywoływanie wstydu przed sąsiadami z powodów anormalnych </w:t>
      </w:r>
      <w:proofErr w:type="spellStart"/>
      <w:r w:rsidRPr="0055382D">
        <w:rPr>
          <w:rFonts w:cs="Times New Roman"/>
          <w:szCs w:val="24"/>
          <w:lang w:val="pl-PL"/>
        </w:rPr>
        <w:t>zachowań</w:t>
      </w:r>
      <w:proofErr w:type="spellEnd"/>
      <w:r w:rsidRPr="0055382D">
        <w:rPr>
          <w:rFonts w:cs="Times New Roman"/>
          <w:szCs w:val="24"/>
          <w:lang w:val="pl-PL"/>
        </w:rPr>
        <w:t>), ale w połączeniu z pozostałymi okolicznościami czynią odmowę pożycia fizycznego jeszcze bardziej uzasadnioną</w:t>
      </w:r>
      <w:r w:rsidRPr="0055382D">
        <w:rPr>
          <w:rStyle w:val="Odwoanieprzypisudolnego"/>
          <w:rFonts w:cs="Times New Roman"/>
          <w:szCs w:val="24"/>
        </w:rPr>
        <w:footnoteReference w:id="14"/>
      </w:r>
      <w:r w:rsidRPr="0055382D">
        <w:rPr>
          <w:rFonts w:cs="Times New Roman"/>
          <w:szCs w:val="24"/>
          <w:lang w:val="pl-PL"/>
        </w:rPr>
        <w:t>.</w:t>
      </w:r>
    </w:p>
    <w:p w14:paraId="47231CF2" w14:textId="0ACA634A" w:rsidR="00D71A77" w:rsidRPr="0055382D" w:rsidRDefault="00D71A77" w:rsidP="00D71A77">
      <w:pPr>
        <w:spacing w:line="360" w:lineRule="auto"/>
        <w:jc w:val="both"/>
        <w:rPr>
          <w:rFonts w:cs="Times New Roman"/>
          <w:szCs w:val="24"/>
          <w:lang w:val="pl-PL"/>
        </w:rPr>
      </w:pPr>
      <w:r w:rsidRPr="0055382D">
        <w:rPr>
          <w:rFonts w:cs="Times New Roman"/>
          <w:szCs w:val="24"/>
          <w:lang w:val="pl-PL"/>
        </w:rPr>
        <w:t>W przypadku judykatury polskiej sądy unikają stwierdzeń na temat obowiązku prawnego. Rozważają, czy zaprzestanie relacji fizycznych doprowadziło do rozkładu pożycia i czy można z tego tytułu stawiać zarzut winy</w:t>
      </w:r>
      <w:r w:rsidRPr="0055382D">
        <w:rPr>
          <w:rStyle w:val="Odwoanieprzypisudolnego"/>
          <w:rFonts w:cs="Times New Roman"/>
          <w:szCs w:val="24"/>
        </w:rPr>
        <w:footnoteReference w:id="15"/>
      </w:r>
      <w:r w:rsidRPr="0055382D">
        <w:rPr>
          <w:rFonts w:cs="Times New Roman"/>
          <w:szCs w:val="24"/>
          <w:lang w:val="pl-PL"/>
        </w:rPr>
        <w:t>. I tak w orzeczeniu SN z dnia 2 maja 1952 r.</w:t>
      </w:r>
      <w:r w:rsidRPr="0055382D">
        <w:rPr>
          <w:rStyle w:val="Odwoanieprzypisudolnego"/>
          <w:rFonts w:cs="Times New Roman"/>
          <w:szCs w:val="24"/>
        </w:rPr>
        <w:footnoteReference w:id="16"/>
      </w:r>
      <w:r w:rsidRPr="0055382D">
        <w:rPr>
          <w:rFonts w:cs="Times New Roman"/>
          <w:szCs w:val="24"/>
          <w:lang w:val="pl-PL"/>
        </w:rPr>
        <w:t xml:space="preserve"> wskazano, że „odmowa rozpoczęcia współżycia przez jednego z małżonków może być uznana za ważny powód rozkładu pożycia małżeńskiego, a jej motywy miałyby znaczenie dla oceny winy w spowodowaniu rozkładu tego pożycia”. Za zawinioną przyczynę rozkładu pożycia uznano także warunkową odmowę pożycia seksualnego, polegającą na uzależnieniu przez żonę pożycia od „przepisania mieszkania i darowania mebli”</w:t>
      </w:r>
      <w:r w:rsidRPr="0055382D">
        <w:rPr>
          <w:rStyle w:val="Odwoanieprzypisudolnego"/>
          <w:rFonts w:cs="Times New Roman"/>
          <w:szCs w:val="24"/>
        </w:rPr>
        <w:footnoteReference w:id="17"/>
      </w:r>
      <w:r w:rsidRPr="0055382D">
        <w:rPr>
          <w:rFonts w:cs="Times New Roman"/>
          <w:szCs w:val="24"/>
          <w:lang w:val="pl-PL"/>
        </w:rPr>
        <w:t>. Również w wyroku SN z dnia 28 stycznia 1998 r.</w:t>
      </w:r>
      <w:r w:rsidRPr="0055382D">
        <w:rPr>
          <w:rStyle w:val="Odwoanieprzypisudolnego"/>
          <w:rFonts w:cs="Times New Roman"/>
          <w:szCs w:val="24"/>
        </w:rPr>
        <w:footnoteReference w:id="18"/>
      </w:r>
      <w:r w:rsidRPr="0055382D">
        <w:rPr>
          <w:rFonts w:cs="Times New Roman"/>
          <w:szCs w:val="24"/>
          <w:lang w:val="pl-PL"/>
        </w:rPr>
        <w:t xml:space="preserve"> przyjęto, że w katalogu zawinionych przyczyn rozkładu pożycia małżeńskiego mieści się także odmowa jednego z małżonków utrzymywania współżycia fizycznego. Sąd Najwyższy stwierdził w tej sprawie w kontekście art. 23 </w:t>
      </w:r>
      <w:proofErr w:type="spellStart"/>
      <w:r w:rsidRPr="0055382D">
        <w:rPr>
          <w:rFonts w:cs="Times New Roman"/>
          <w:szCs w:val="24"/>
          <w:lang w:val="pl-PL"/>
        </w:rPr>
        <w:t>k.r.o</w:t>
      </w:r>
      <w:proofErr w:type="spellEnd"/>
      <w:r w:rsidRPr="0055382D">
        <w:rPr>
          <w:rFonts w:cs="Times New Roman"/>
          <w:szCs w:val="24"/>
          <w:lang w:val="pl-PL"/>
        </w:rPr>
        <w:t>., że powódka zaniechała współdziałania z mężem</w:t>
      </w:r>
      <w:r w:rsidR="00445EB0">
        <w:rPr>
          <w:rFonts w:cs="Times New Roman"/>
          <w:szCs w:val="24"/>
          <w:lang w:val="pl-PL"/>
        </w:rPr>
        <w:t xml:space="preserve"> w odniesieniu </w:t>
      </w:r>
      <w:r w:rsidR="00445EB0">
        <w:rPr>
          <w:rFonts w:cs="Times New Roman"/>
          <w:szCs w:val="24"/>
          <w:lang w:val="pl-PL"/>
        </w:rPr>
        <w:lastRenderedPageBreak/>
        <w:t>do różnorodnych aspektów małżeństwa</w:t>
      </w:r>
      <w:r w:rsidRPr="0055382D">
        <w:rPr>
          <w:rFonts w:cs="Times New Roman"/>
          <w:szCs w:val="24"/>
          <w:lang w:val="pl-PL"/>
        </w:rPr>
        <w:t>, utrwalając dzielące ich różnice</w:t>
      </w:r>
      <w:r w:rsidR="00772E87">
        <w:rPr>
          <w:rFonts w:cs="Times New Roman"/>
          <w:szCs w:val="24"/>
          <w:lang w:val="pl-PL"/>
        </w:rPr>
        <w:t>. Odmowa pożycia fizycznego nastąpiła od trzeciego miesiąca małżeństwa i nie była poprzedzona aktami agresji współmałżonka, które nastąpiły dopiero później</w:t>
      </w:r>
      <w:r w:rsidRPr="0055382D">
        <w:rPr>
          <w:rFonts w:cs="Times New Roman"/>
          <w:szCs w:val="24"/>
          <w:lang w:val="pl-PL"/>
        </w:rPr>
        <w:t xml:space="preserve">. </w:t>
      </w:r>
      <w:r w:rsidR="00772E87">
        <w:rPr>
          <w:rFonts w:cs="Times New Roman"/>
          <w:szCs w:val="24"/>
          <w:lang w:val="pl-PL"/>
        </w:rPr>
        <w:t xml:space="preserve">SN zwrócił uwagę na fakt, że pozwany zajmował się dzieckiem, umożliwiając powódce wypełnianie obowiązków zawodowych i okazywał </w:t>
      </w:r>
      <w:r w:rsidR="00772E87" w:rsidRPr="007E2A76">
        <w:rPr>
          <w:rFonts w:cs="Times New Roman"/>
          <w:szCs w:val="24"/>
          <w:lang w:val="pl-PL"/>
        </w:rPr>
        <w:t xml:space="preserve">wyrozumiałość w odniesieniu do </w:t>
      </w:r>
      <w:r w:rsidR="00BB717F">
        <w:rPr>
          <w:rFonts w:cs="Times New Roman"/>
          <w:szCs w:val="24"/>
          <w:lang w:val="pl-PL"/>
        </w:rPr>
        <w:t xml:space="preserve">jej </w:t>
      </w:r>
      <w:r w:rsidR="00772E87" w:rsidRPr="007E2A76">
        <w:rPr>
          <w:rFonts w:cs="Times New Roman"/>
          <w:szCs w:val="24"/>
          <w:lang w:val="pl-PL"/>
        </w:rPr>
        <w:t>uczestnictwa w zabawach dyskotekowych</w:t>
      </w:r>
      <w:r w:rsidR="00772E87">
        <w:rPr>
          <w:rFonts w:cs="Times New Roman"/>
          <w:szCs w:val="24"/>
          <w:lang w:val="pl-PL"/>
        </w:rPr>
        <w:t xml:space="preserve">. </w:t>
      </w:r>
      <w:r w:rsidR="00445EB0">
        <w:rPr>
          <w:rFonts w:cs="Times New Roman"/>
          <w:szCs w:val="24"/>
          <w:lang w:val="pl-PL"/>
        </w:rPr>
        <w:t xml:space="preserve">Istotne jest w kontekście tej sprawy, </w:t>
      </w:r>
      <w:r w:rsidR="00772E87">
        <w:rPr>
          <w:rFonts w:cs="Times New Roman"/>
          <w:szCs w:val="24"/>
          <w:lang w:val="pl-PL"/>
        </w:rPr>
        <w:t xml:space="preserve">sądy I </w:t>
      </w:r>
      <w:proofErr w:type="spellStart"/>
      <w:r w:rsidR="00772E87">
        <w:rPr>
          <w:rFonts w:cs="Times New Roman"/>
          <w:szCs w:val="24"/>
          <w:lang w:val="pl-PL"/>
        </w:rPr>
        <w:t>i</w:t>
      </w:r>
      <w:proofErr w:type="spellEnd"/>
      <w:r w:rsidR="00772E87">
        <w:rPr>
          <w:rFonts w:cs="Times New Roman"/>
          <w:szCs w:val="24"/>
          <w:lang w:val="pl-PL"/>
        </w:rPr>
        <w:t xml:space="preserve"> II instancji przyjęły winę obojga małżonków rozkładu pożycia małżeńskiego a kwestia pożycia fizycznego była tylko jednym z jego elementów, które uwzględniały w swym rozumowaniu. Sądy trafnie zdiagnozowały, że w realiach tej sprawy odmowa pożycia nie była reakcją na agresję. </w:t>
      </w:r>
    </w:p>
    <w:p w14:paraId="291A43C3" w14:textId="09B20B6B" w:rsidR="00D71A77" w:rsidRPr="00972ACD" w:rsidRDefault="00D71A77" w:rsidP="00D71A77">
      <w:pPr>
        <w:spacing w:after="120" w:line="360" w:lineRule="auto"/>
        <w:jc w:val="both"/>
        <w:rPr>
          <w:rFonts w:cs="Times New Roman"/>
          <w:szCs w:val="24"/>
          <w:lang w:val="pl-PL"/>
        </w:rPr>
      </w:pPr>
      <w:r w:rsidRPr="0055382D">
        <w:rPr>
          <w:rFonts w:cs="Times New Roman"/>
          <w:szCs w:val="24"/>
          <w:lang w:val="pl-PL"/>
        </w:rPr>
        <w:t>Dlatego też należy krytycznie podejść do uogólnionych stwierdzeń ETPC. Jeśli bowiem wczytać się dokładnie w pkt 9</w:t>
      </w:r>
      <w:r w:rsidR="00BB717F">
        <w:rPr>
          <w:rFonts w:cs="Times New Roman"/>
          <w:szCs w:val="24"/>
          <w:lang w:val="pl-PL"/>
        </w:rPr>
        <w:t>1</w:t>
      </w:r>
      <w:r w:rsidRPr="0055382D">
        <w:rPr>
          <w:rFonts w:cs="Times New Roman"/>
          <w:szCs w:val="24"/>
          <w:lang w:val="pl-PL"/>
        </w:rPr>
        <w:t xml:space="preserve"> wyroku, to ETPC sugeruje w nim, że orzecznictwo sądów francuskich i stanowisko rządu francuskiego sprzeczne jest z cywilizowaną koncepcją małżeństwa. Rząd francuski sugeruje bowiem – tak twierdzi ETPC, że zgoda na zawarcie małżeństwa oznacza zgodę na przyszłe stosunki seksualne, a to może powodować, że gwałt małżeński nie będzie już naganny. Takie stanowisko ETPC jest sprzeczne z faktami i francuskim prawem. Prawo francuskie</w:t>
      </w:r>
      <w:r w:rsidR="005A6B81">
        <w:rPr>
          <w:rFonts w:cs="Times New Roman"/>
          <w:szCs w:val="24"/>
          <w:lang w:val="pl-PL"/>
        </w:rPr>
        <w:t xml:space="preserve"> (podobnie zresztą jak i prawo polskie)</w:t>
      </w:r>
      <w:r w:rsidRPr="0055382D">
        <w:rPr>
          <w:rFonts w:cs="Times New Roman"/>
          <w:szCs w:val="24"/>
          <w:lang w:val="pl-PL"/>
        </w:rPr>
        <w:t xml:space="preserve"> jednoznacznie zakazuje stosowania przemocy lub przymusu również między małżonkami. Według ETPC zaś skoro możliwość depenalizacji gwałtu na skutek prawa cywilnego istnieje (jest to wniosek całkowicie dowolny ze strony ETPC), to stanowisko prawa francuskiego jest niecywilizowane, bo w domyśle usuwa penalizację gwałtu małżeńskiego. </w:t>
      </w:r>
      <w:r w:rsidR="008D6D21">
        <w:rPr>
          <w:rFonts w:cs="Times New Roman"/>
          <w:szCs w:val="24"/>
          <w:lang w:val="pl-PL"/>
        </w:rPr>
        <w:t xml:space="preserve">Tak jednak nie jest, o czym świadczy chociażby przypadek sprawy </w:t>
      </w:r>
      <w:proofErr w:type="spellStart"/>
      <w:r w:rsidR="00972ACD" w:rsidRPr="007E2A76">
        <w:rPr>
          <w:rFonts w:cs="Times New Roman"/>
          <w:szCs w:val="24"/>
          <w:lang w:val="pl-PL"/>
        </w:rPr>
        <w:t>Gisèle</w:t>
      </w:r>
      <w:proofErr w:type="spellEnd"/>
      <w:r w:rsidR="00972ACD" w:rsidRPr="007E2A76">
        <w:rPr>
          <w:rFonts w:cs="Times New Roman"/>
          <w:szCs w:val="24"/>
          <w:lang w:val="pl-PL"/>
        </w:rPr>
        <w:t xml:space="preserve"> </w:t>
      </w:r>
      <w:proofErr w:type="spellStart"/>
      <w:r w:rsidR="00972ACD" w:rsidRPr="007E2A76">
        <w:rPr>
          <w:rFonts w:cs="Times New Roman"/>
          <w:szCs w:val="24"/>
          <w:lang w:val="pl-PL"/>
        </w:rPr>
        <w:t>Palicote</w:t>
      </w:r>
      <w:proofErr w:type="spellEnd"/>
      <w:r w:rsidR="00972ACD">
        <w:rPr>
          <w:rFonts w:cs="Times New Roman"/>
          <w:szCs w:val="24"/>
          <w:lang w:val="pl-PL"/>
        </w:rPr>
        <w:t>, która zresztą celowo zrezygnowała z anonimowości by unaocznić społeczeństwu problemy, z którymi spotykają się kobiety. Być może ocena wyroku ETPC byłaby inna, gdyby dokonał on pogłębionych rozważań na temat skuteczności ścigania sprawców gwałtów, która ostatnimi czasy się osłabia</w:t>
      </w:r>
      <w:r w:rsidR="0083162D">
        <w:rPr>
          <w:rFonts w:cs="Times New Roman"/>
          <w:szCs w:val="24"/>
          <w:lang w:val="pl-PL"/>
        </w:rPr>
        <w:t xml:space="preserve"> (problem tzw. kultury gwałtu)</w:t>
      </w:r>
      <w:r w:rsidR="00972ACD">
        <w:rPr>
          <w:rFonts w:cs="Times New Roman"/>
          <w:szCs w:val="24"/>
          <w:lang w:val="pl-PL"/>
        </w:rPr>
        <w:t xml:space="preserve"> i przeprowadził rzetelny wywód na temat tego, czy ma to jakikolwiek związek z oceną</w:t>
      </w:r>
      <w:r w:rsidR="000E3018">
        <w:rPr>
          <w:rFonts w:cs="Times New Roman"/>
          <w:szCs w:val="24"/>
          <w:lang w:val="pl-PL"/>
        </w:rPr>
        <w:t xml:space="preserve"> funkcjonowania małżeństw</w:t>
      </w:r>
      <w:r w:rsidR="00005927">
        <w:rPr>
          <w:rFonts w:cs="Times New Roman"/>
          <w:szCs w:val="24"/>
          <w:lang w:val="pl-PL"/>
        </w:rPr>
        <w:t xml:space="preserve"> oraz wykazał istnienie takiego związku</w:t>
      </w:r>
      <w:r w:rsidR="000E3018">
        <w:rPr>
          <w:rFonts w:cs="Times New Roman"/>
          <w:szCs w:val="24"/>
          <w:lang w:val="pl-PL"/>
        </w:rPr>
        <w:t xml:space="preserve">. </w:t>
      </w:r>
      <w:r w:rsidR="00005927">
        <w:rPr>
          <w:rFonts w:cs="Times New Roman"/>
          <w:szCs w:val="24"/>
          <w:lang w:val="pl-PL"/>
        </w:rPr>
        <w:t xml:space="preserve">Tak się jednak nie stało. </w:t>
      </w:r>
      <w:r w:rsidR="0083162D">
        <w:rPr>
          <w:rFonts w:cs="Times New Roman"/>
          <w:szCs w:val="24"/>
          <w:lang w:val="pl-PL"/>
        </w:rPr>
        <w:t xml:space="preserve">Oczekiwania wobec ETPC, że powinien był tak uczynić (przeprowadzić pogłębioną analizę) znajdują umocowanie nie tylko w znaczeniu ETPC dla wykładni prawa i europejskiego porządku prawnego. Są również uzasadnione koncepcją żywego instrumentu Konwencji, z której wynika, że zmieniająca się sfera faktu, wpływa na sferę powinności (prawa).  </w:t>
      </w:r>
      <w:r w:rsidR="00005927">
        <w:rPr>
          <w:rFonts w:cs="Times New Roman"/>
          <w:szCs w:val="24"/>
          <w:lang w:val="pl-PL"/>
        </w:rPr>
        <w:t>Formułowanie twierdzeń o konieczności zmiany wykładni prawa w oparciu o zmieniające się realia wymaga (co jest wręcz oczywiste), wykazania związku jednego zagadnienia z drugim.</w:t>
      </w:r>
    </w:p>
    <w:p w14:paraId="6FA64D21" w14:textId="77777777" w:rsidR="00D71A77" w:rsidRDefault="00D71A77" w:rsidP="00D71A77">
      <w:pPr>
        <w:spacing w:after="120" w:line="360" w:lineRule="auto"/>
        <w:jc w:val="both"/>
        <w:rPr>
          <w:rFonts w:cs="Times New Roman"/>
          <w:szCs w:val="24"/>
          <w:lang w:val="pl-PL"/>
        </w:rPr>
      </w:pPr>
      <w:r w:rsidRPr="0055382D">
        <w:rPr>
          <w:rFonts w:cs="Times New Roman"/>
          <w:szCs w:val="24"/>
          <w:lang w:val="pl-PL"/>
        </w:rPr>
        <w:lastRenderedPageBreak/>
        <w:t>Wydaje się, że ETPC miesza różne sfery i aspekty – konkretnego nagannego zdarzenia (prawo karne) i oceny przyczyn zazwyczaj długotrwałego zachowania małżonka. Jeśli uwzględnić optykę ETPC, to należałoby konsekwentnie przyjąć, że żaden akt seksualny w jakimkolwiek małżeństwie we Francji i w Polsce nie jest w pełni wolny, skoro długotrwała odmowa pożycia może być uznana (choć to zależy od okoliczności konkretnego przypadku) za zawinioną przyczynę rozkładu pożycia.</w:t>
      </w:r>
    </w:p>
    <w:p w14:paraId="21D2B7A9" w14:textId="77777777" w:rsidR="0042175D" w:rsidRDefault="00A251E8" w:rsidP="00D71A77">
      <w:pPr>
        <w:spacing w:after="120" w:line="360" w:lineRule="auto"/>
        <w:jc w:val="both"/>
        <w:rPr>
          <w:rFonts w:cs="Times New Roman"/>
          <w:szCs w:val="24"/>
          <w:lang w:val="pl-PL"/>
        </w:rPr>
      </w:pPr>
      <w:r>
        <w:rPr>
          <w:rFonts w:cs="Times New Roman"/>
          <w:szCs w:val="24"/>
          <w:lang w:val="pl-PL"/>
        </w:rPr>
        <w:t>Dlatego też uogólniony wniosek ETPC, że praktyka francuskiej judykatury stanowi w każdym wypadku nieuzasadnioną ingerencję w sferę życia prywatnego, opiera się na fałszywych przesłankach. W istocie wyrok ten zmierza do przemodelowania instytucji małżeństwa i nadania mu nieznanego dotychczas kształtu, bardziej zbliżonego do swoistej spółki cywilnej w obszarze prawa rodzinnego niż wspólnoty życia, dla której kwestie biologiczne mogą (choć nie muszą w każdym przypadku) mieć istotne znaczenie.</w:t>
      </w:r>
      <w:r w:rsidR="00226FB1">
        <w:rPr>
          <w:rFonts w:cs="Times New Roman"/>
          <w:szCs w:val="24"/>
          <w:lang w:val="pl-PL"/>
        </w:rPr>
        <w:t xml:space="preserve"> </w:t>
      </w:r>
      <w:r w:rsidR="0042175D">
        <w:rPr>
          <w:rFonts w:cs="Times New Roman"/>
          <w:szCs w:val="24"/>
          <w:lang w:val="pl-PL"/>
        </w:rPr>
        <w:t xml:space="preserve">Z wyroku ETPC wynika, że sfera seksualności nie powinna istnieć w małżeństwie jako fakt prawnie relewantny. </w:t>
      </w:r>
    </w:p>
    <w:p w14:paraId="36B5B9D3" w14:textId="3ABFDC4E" w:rsidR="00A251E8" w:rsidRPr="0055382D" w:rsidRDefault="0042175D" w:rsidP="00D71A77">
      <w:pPr>
        <w:spacing w:after="120" w:line="360" w:lineRule="auto"/>
        <w:jc w:val="both"/>
        <w:rPr>
          <w:rFonts w:cs="Times New Roman"/>
          <w:szCs w:val="24"/>
          <w:lang w:val="pl-PL"/>
        </w:rPr>
      </w:pPr>
      <w:r>
        <w:rPr>
          <w:rFonts w:cs="Times New Roman"/>
          <w:szCs w:val="24"/>
          <w:lang w:val="pl-PL"/>
        </w:rPr>
        <w:t>Tego typu podejście budzi jednak co najmniej uzasadnione zdziwienie, zważywszy na fakt jednoczesnego pojawiania się w państwach europejskich nowych rozwiązań w zakresie pracy seksualnej. I tak w Belgii w 2024 r. świadczenia pracowników seksualnych zostały wtłoczone w ramy prawa pracy</w:t>
      </w:r>
      <w:r>
        <w:rPr>
          <w:rStyle w:val="Odwoanieprzypisudolnego"/>
          <w:rFonts w:cs="Times New Roman"/>
          <w:szCs w:val="24"/>
          <w:lang w:val="pl-PL"/>
        </w:rPr>
        <w:footnoteReference w:id="19"/>
      </w:r>
      <w:r>
        <w:rPr>
          <w:rFonts w:cs="Times New Roman"/>
          <w:szCs w:val="24"/>
          <w:lang w:val="pl-PL"/>
        </w:rPr>
        <w:t xml:space="preserve">, z tym zastrzeżeniem, że zgodnie z art. </w:t>
      </w:r>
      <w:r w:rsidR="00002B0A">
        <w:rPr>
          <w:rFonts w:cs="Times New Roman"/>
          <w:szCs w:val="24"/>
          <w:lang w:val="pl-PL"/>
        </w:rPr>
        <w:t>21 ustawy</w:t>
      </w:r>
      <w:r w:rsidR="00002B0A" w:rsidRPr="00002B0A">
        <w:rPr>
          <w:rFonts w:cs="Times New Roman"/>
          <w:szCs w:val="24"/>
          <w:lang w:val="pl-PL"/>
        </w:rPr>
        <w:t xml:space="preserve"> osoba świadcząca usługi seksualne może odmówić przyjęcia partnera seksualnego</w:t>
      </w:r>
      <w:r w:rsidR="00002B0A">
        <w:rPr>
          <w:rFonts w:cs="Times New Roman"/>
          <w:szCs w:val="24"/>
          <w:lang w:val="pl-PL"/>
        </w:rPr>
        <w:t xml:space="preserve">, </w:t>
      </w:r>
      <w:r w:rsidR="00002B0A" w:rsidRPr="00002B0A">
        <w:rPr>
          <w:rFonts w:cs="Times New Roman"/>
          <w:szCs w:val="24"/>
          <w:lang w:val="pl-PL"/>
        </w:rPr>
        <w:t>wykonania czynności seksualnych</w:t>
      </w:r>
      <w:r w:rsidR="00002B0A">
        <w:rPr>
          <w:rFonts w:cs="Times New Roman"/>
          <w:szCs w:val="24"/>
          <w:lang w:val="pl-PL"/>
        </w:rPr>
        <w:t xml:space="preserve"> oraz w </w:t>
      </w:r>
      <w:r w:rsidR="00002B0A" w:rsidRPr="00002B0A">
        <w:rPr>
          <w:rFonts w:cs="Times New Roman"/>
          <w:szCs w:val="24"/>
          <w:lang w:val="pl-PL"/>
        </w:rPr>
        <w:t>dowolnym momencie przerwać lub zakończyć aktywność seksualną</w:t>
      </w:r>
      <w:r w:rsidR="00002B0A">
        <w:rPr>
          <w:rFonts w:cs="Times New Roman"/>
          <w:szCs w:val="24"/>
          <w:lang w:val="pl-PL"/>
        </w:rPr>
        <w:t>. Zgodnie z art. 7 § 1 w sytuacji odmowy dokonywania czynności seksualnych, pracownikowi seksualnemu przysługuje wynagrodzenie – ale w kwocie niższej – takiej jak dla usprawiedliwionej nieobecności w pracy w wysokości liczonej jak za dni ustawowo wolne od pracy, w czasie których pracownik nie świadczy pracy.  Oznacza to, że chociaż ustawa bezwzględnie zakazuje retorsji za odmowę aktu seksualnego</w:t>
      </w:r>
      <w:r w:rsidR="00655339">
        <w:rPr>
          <w:rFonts w:cs="Times New Roman"/>
          <w:szCs w:val="24"/>
          <w:lang w:val="pl-PL"/>
        </w:rPr>
        <w:t xml:space="preserve">, to jednak pośrednio sankcjonuje ową odmowę niższym wynagrodzeniem. Jest to niewątpliwie czynnik przymuszający, ograniczający systemowo autonomię. </w:t>
      </w:r>
      <w:r>
        <w:rPr>
          <w:rFonts w:cs="Times New Roman"/>
          <w:szCs w:val="24"/>
          <w:lang w:val="pl-PL"/>
        </w:rPr>
        <w:t xml:space="preserve">Wprawdzie zagadnieniem tym ETPC nie zajmował się </w:t>
      </w:r>
      <w:r w:rsidR="00655339">
        <w:rPr>
          <w:rFonts w:cs="Times New Roman"/>
          <w:szCs w:val="24"/>
          <w:lang w:val="pl-PL"/>
        </w:rPr>
        <w:t>ze zrozumiałych względów w niniejszej sprawie, ale nieracjonalnym systemowo wydaje się akceptacja dla umownego (pośredniego) ograniczenia autonomii seksualnej w wypadku umowy o pracę seksualną przez Belgię związaną EKPC</w:t>
      </w:r>
      <w:r w:rsidR="00655339">
        <w:rPr>
          <w:rStyle w:val="Odwoanieprzypisudolnego"/>
          <w:rFonts w:cs="Times New Roman"/>
          <w:szCs w:val="24"/>
          <w:lang w:val="pl-PL"/>
        </w:rPr>
        <w:footnoteReference w:id="20"/>
      </w:r>
      <w:r w:rsidR="00655339">
        <w:rPr>
          <w:rFonts w:cs="Times New Roman"/>
          <w:szCs w:val="24"/>
          <w:lang w:val="pl-PL"/>
        </w:rPr>
        <w:t xml:space="preserve">, w porównaniu do tak </w:t>
      </w:r>
      <w:r w:rsidR="00655339">
        <w:rPr>
          <w:rFonts w:cs="Times New Roman"/>
          <w:szCs w:val="24"/>
          <w:lang w:val="pl-PL"/>
        </w:rPr>
        <w:lastRenderedPageBreak/>
        <w:t>bezwzględnego stanowiska dotyczącego małżeństwa, jak zaprezentował ETPC w stosunku do Francji. Uwaga ta nie stanowi zarzutu wobec ETPC (który za treść prawa belgijskiego nie odpowiada) lecz służyć ma unaocznieniu możliwych i nieprzewidzianych systemowo konsekwencji wyroku.</w:t>
      </w:r>
    </w:p>
    <w:p w14:paraId="59E9DB28" w14:textId="77777777" w:rsidR="00D71A77" w:rsidRDefault="00D71A77" w:rsidP="00D71A77">
      <w:pPr>
        <w:pStyle w:val="Nagwek1"/>
        <w:rPr>
          <w:rFonts w:cs="Times New Roman"/>
          <w:color w:val="auto"/>
          <w:szCs w:val="24"/>
          <w:lang w:val="pl-PL"/>
        </w:rPr>
      </w:pPr>
      <w:r w:rsidRPr="00CB081A">
        <w:rPr>
          <w:rFonts w:cs="Times New Roman"/>
          <w:b/>
          <w:color w:val="auto"/>
          <w:szCs w:val="24"/>
          <w:lang w:val="pl-PL"/>
        </w:rPr>
        <w:t>Konwencja Stambulska i kategoria zgody</w:t>
      </w:r>
    </w:p>
    <w:p w14:paraId="7B896438" w14:textId="77777777" w:rsidR="00D71A77" w:rsidRPr="00CB081A" w:rsidRDefault="00D71A77" w:rsidP="00D71A77">
      <w:pPr>
        <w:rPr>
          <w:lang w:val="pl-PL"/>
        </w:rPr>
      </w:pPr>
    </w:p>
    <w:p w14:paraId="60D6BE9D" w14:textId="625ADE15" w:rsidR="00D71A77" w:rsidRDefault="00D71A77" w:rsidP="00D71A77">
      <w:pPr>
        <w:spacing w:after="120" w:line="360" w:lineRule="auto"/>
        <w:jc w:val="both"/>
        <w:rPr>
          <w:rFonts w:cs="Times New Roman"/>
          <w:szCs w:val="24"/>
          <w:lang w:val="pl-PL"/>
        </w:rPr>
      </w:pPr>
      <w:r w:rsidRPr="0055382D">
        <w:rPr>
          <w:rFonts w:cs="Times New Roman"/>
          <w:szCs w:val="24"/>
          <w:lang w:val="pl-PL"/>
        </w:rPr>
        <w:t xml:space="preserve">W </w:t>
      </w:r>
      <w:proofErr w:type="spellStart"/>
      <w:r w:rsidRPr="0055382D">
        <w:rPr>
          <w:rFonts w:cs="Times New Roman"/>
          <w:szCs w:val="24"/>
          <w:lang w:val="pl-PL"/>
        </w:rPr>
        <w:t>glosowanym</w:t>
      </w:r>
      <w:proofErr w:type="spellEnd"/>
      <w:r w:rsidRPr="0055382D">
        <w:rPr>
          <w:rFonts w:cs="Times New Roman"/>
          <w:szCs w:val="24"/>
          <w:lang w:val="pl-PL"/>
        </w:rPr>
        <w:t xml:space="preserve"> wyroku ETPC odwołuje się do art. 36 ust. 2 Konwencji Stambulskiej</w:t>
      </w:r>
      <w:r w:rsidR="00226FB1">
        <w:rPr>
          <w:rStyle w:val="Odwoanieprzypisudolnego"/>
          <w:rFonts w:cs="Times New Roman"/>
          <w:szCs w:val="24"/>
          <w:lang w:val="pl-PL"/>
        </w:rPr>
        <w:footnoteReference w:id="21"/>
      </w:r>
      <w:r w:rsidRPr="0055382D">
        <w:rPr>
          <w:rFonts w:cs="Times New Roman"/>
          <w:szCs w:val="24"/>
          <w:lang w:val="pl-PL"/>
        </w:rPr>
        <w:t xml:space="preserve">, który akcentuje dobrowolność zgody na czynności seksualne i wymaga oceny w świetle okoliczności. W płaszczyźnie cywilnej postulat ten przekłada się na obowiązek sądu, by badać, czy odmowa pożycia nie stanowiła realizacji prawa do integralności i bezpieczeństwa. Ujęcie to nie wyklucza jednak, że w innych sprawach – przy braku elementów przemocy, presji lub manipulacji – uporczywa, nieuzasadniona odmowa może być jedną z przesłanek przypisania winy rozkładu pożycia. </w:t>
      </w:r>
      <w:r w:rsidR="00030EEB">
        <w:rPr>
          <w:rFonts w:cs="Times New Roman"/>
          <w:szCs w:val="24"/>
          <w:lang w:val="pl-PL"/>
        </w:rPr>
        <w:t xml:space="preserve">Każdy (czyli również małżonek) ma prawo odmówić współżycia, w każdym czasie. Czym innym jest jednak dokonywanie oceny czy ponawiana, długotrwałą i nieuzasadniona racjonalnymi względami odmowa współżycia w związku małżeńskim może być uznana za przyczynę rozkładu pożycia i to przyczynę, za którą odpowiedzialność ponosi odmawiający. </w:t>
      </w:r>
      <w:r w:rsidRPr="0055382D">
        <w:rPr>
          <w:rFonts w:cs="Times New Roman"/>
          <w:szCs w:val="24"/>
          <w:lang w:val="pl-PL"/>
        </w:rPr>
        <w:t xml:space="preserve">Kluczowe jest zatem odejście od automatyzmu na rzecz ważenia okoliczności. Jak się wydaje ETPC w ogóle nie zbadał orzecznictwa francuskiego w tym aspekcie, które konsekwentnie uznaje niektóre przyczyny odmowy pożycia fizycznego za zawsze usprawiedliwione (np. brak higieny fizycznej) a niektóre za nieusprawiedliwione niekiedy (nieróbstwo małżonka). Inną rzeczą jest natomiast poszukiwanie wspólnego dla Konwencji wzorca kulturowego wyznaczającego okoliczności zawsze i niekiedy usprawiedliwiające brak pożycia. ETPC zaniechał w ogóle tych analiz, usuwając </w:t>
      </w:r>
      <w:proofErr w:type="spellStart"/>
      <w:r w:rsidRPr="0055382D">
        <w:rPr>
          <w:rFonts w:cs="Times New Roman"/>
          <w:szCs w:val="24"/>
          <w:lang w:val="pl-PL"/>
        </w:rPr>
        <w:t>zniuansowaną</w:t>
      </w:r>
      <w:proofErr w:type="spellEnd"/>
      <w:r w:rsidRPr="0055382D">
        <w:rPr>
          <w:rFonts w:cs="Times New Roman"/>
          <w:szCs w:val="24"/>
          <w:lang w:val="pl-PL"/>
        </w:rPr>
        <w:t xml:space="preserve"> ocenę cywilnoprawną na rzecz zerojedynkowej – </w:t>
      </w:r>
      <w:proofErr w:type="spellStart"/>
      <w:r w:rsidRPr="0055382D">
        <w:rPr>
          <w:rFonts w:cs="Times New Roman"/>
          <w:szCs w:val="24"/>
          <w:lang w:val="pl-PL"/>
        </w:rPr>
        <w:t>karnistycznej</w:t>
      </w:r>
      <w:proofErr w:type="spellEnd"/>
      <w:r w:rsidRPr="0055382D">
        <w:rPr>
          <w:rFonts w:cs="Times New Roman"/>
          <w:szCs w:val="24"/>
          <w:lang w:val="pl-PL"/>
        </w:rPr>
        <w:t xml:space="preserve"> – nie przystającej do długotrwałego trwania małżeństwa. Wydaje się, że realia konkretnego stanu faktycznego przesłoniły ETPC bogactwo wszystkich możliwych stanów faktycznych.</w:t>
      </w:r>
    </w:p>
    <w:p w14:paraId="295B7A0F" w14:textId="77777777" w:rsidR="00D71A77" w:rsidRDefault="00D71A77" w:rsidP="00D71A77">
      <w:pPr>
        <w:pStyle w:val="Nagwek1"/>
        <w:rPr>
          <w:rFonts w:cs="Times New Roman"/>
          <w:color w:val="auto"/>
          <w:szCs w:val="24"/>
          <w:lang w:val="pl-PL"/>
        </w:rPr>
      </w:pPr>
      <w:r w:rsidRPr="00CB081A">
        <w:rPr>
          <w:rFonts w:cs="Times New Roman"/>
          <w:b/>
          <w:color w:val="auto"/>
          <w:szCs w:val="24"/>
          <w:lang w:val="pl-PL"/>
        </w:rPr>
        <w:t>Znaczenie praktyczne dla sądów francuskich i polskich</w:t>
      </w:r>
    </w:p>
    <w:p w14:paraId="35664FF1" w14:textId="77777777" w:rsidR="00D71A77" w:rsidRPr="00CB081A" w:rsidRDefault="00D71A77" w:rsidP="00D71A77">
      <w:pPr>
        <w:rPr>
          <w:lang w:val="pl-PL"/>
        </w:rPr>
      </w:pPr>
    </w:p>
    <w:p w14:paraId="311596C3" w14:textId="77777777" w:rsidR="00D71A77" w:rsidRPr="0055382D" w:rsidRDefault="00D71A77" w:rsidP="00D71A77">
      <w:pPr>
        <w:spacing w:after="120" w:line="360" w:lineRule="auto"/>
        <w:jc w:val="both"/>
        <w:rPr>
          <w:rFonts w:cs="Times New Roman"/>
          <w:szCs w:val="24"/>
          <w:lang w:val="pl-PL"/>
        </w:rPr>
      </w:pPr>
      <w:r w:rsidRPr="0055382D">
        <w:rPr>
          <w:rFonts w:cs="Times New Roman"/>
          <w:szCs w:val="24"/>
          <w:lang w:val="pl-PL"/>
        </w:rPr>
        <w:lastRenderedPageBreak/>
        <w:t xml:space="preserve">W mojej ocenie </w:t>
      </w:r>
      <w:proofErr w:type="spellStart"/>
      <w:r w:rsidRPr="0055382D">
        <w:rPr>
          <w:rFonts w:cs="Times New Roman"/>
          <w:szCs w:val="24"/>
          <w:lang w:val="pl-PL"/>
        </w:rPr>
        <w:t>glosowany</w:t>
      </w:r>
      <w:proofErr w:type="spellEnd"/>
      <w:r w:rsidRPr="0055382D">
        <w:rPr>
          <w:rFonts w:cs="Times New Roman"/>
          <w:szCs w:val="24"/>
          <w:lang w:val="pl-PL"/>
        </w:rPr>
        <w:t xml:space="preserve"> wyrok nie znosi koncepcji „</w:t>
      </w:r>
      <w:proofErr w:type="spellStart"/>
      <w:r w:rsidRPr="0055382D">
        <w:rPr>
          <w:rFonts w:cs="Times New Roman"/>
          <w:szCs w:val="24"/>
          <w:lang w:val="pl-PL"/>
        </w:rPr>
        <w:t>communauté</w:t>
      </w:r>
      <w:proofErr w:type="spellEnd"/>
      <w:r w:rsidRPr="0055382D">
        <w:rPr>
          <w:rFonts w:cs="Times New Roman"/>
          <w:szCs w:val="24"/>
          <w:lang w:val="pl-PL"/>
        </w:rPr>
        <w:t xml:space="preserve"> de </w:t>
      </w:r>
      <w:proofErr w:type="spellStart"/>
      <w:r w:rsidRPr="0055382D">
        <w:rPr>
          <w:rFonts w:cs="Times New Roman"/>
          <w:szCs w:val="24"/>
          <w:lang w:val="pl-PL"/>
        </w:rPr>
        <w:t>vie</w:t>
      </w:r>
      <w:proofErr w:type="spellEnd"/>
      <w:r w:rsidRPr="0055382D">
        <w:rPr>
          <w:rFonts w:cs="Times New Roman"/>
          <w:szCs w:val="24"/>
          <w:lang w:val="pl-PL"/>
        </w:rPr>
        <w:t xml:space="preserve">” w prawie francuskim, ale wymaga doprecyzowania języka i argumentacji. Sądy mogą nadal uwzględniać długotrwały brak pożycia jako element kontekstu przy winie, o ile z uzasadnienia wprost wynika, że nie chodzi o egzekwowanie „obowiązku” w sensie świadczenia, lecz o ocenę faktów w świetle zgody i bezpieczeństwa. W Polsce – gdzie praktyka i tak operuje kategorią faktu, a nie roszczenia – wyrok ETPC wzmacnia dotychczasowy kierunek, zachęcając do precyzyjniejszego odnotowywania w uzasadnieniach przesłanek usprawiedliwiających odmowę oraz do ostrożności w przypisywaniu winy „per </w:t>
      </w:r>
      <w:proofErr w:type="spellStart"/>
      <w:r w:rsidRPr="0055382D">
        <w:rPr>
          <w:rFonts w:cs="Times New Roman"/>
          <w:szCs w:val="24"/>
          <w:lang w:val="pl-PL"/>
        </w:rPr>
        <w:t>se</w:t>
      </w:r>
      <w:proofErr w:type="spellEnd"/>
      <w:r w:rsidRPr="0055382D">
        <w:rPr>
          <w:rFonts w:cs="Times New Roman"/>
          <w:szCs w:val="24"/>
          <w:lang w:val="pl-PL"/>
        </w:rPr>
        <w:t>” za brak współżycia.</w:t>
      </w:r>
    </w:p>
    <w:p w14:paraId="244571E3" w14:textId="77777777" w:rsidR="00D71A77" w:rsidRPr="0055382D" w:rsidRDefault="00D71A77" w:rsidP="00D71A77">
      <w:pPr>
        <w:spacing w:after="120" w:line="360" w:lineRule="auto"/>
        <w:jc w:val="both"/>
        <w:rPr>
          <w:rFonts w:cs="Times New Roman"/>
          <w:szCs w:val="24"/>
          <w:lang w:val="pl-PL"/>
        </w:rPr>
      </w:pPr>
      <w:r w:rsidRPr="0055382D">
        <w:rPr>
          <w:rFonts w:cs="Times New Roman"/>
          <w:szCs w:val="24"/>
          <w:lang w:val="pl-PL"/>
        </w:rPr>
        <w:t>W obu porządkach należy unikać piętnowania neutralnych wyborów życiowych małżonków (np. małżeństw celowo abstynencyjnych) oraz nadmiernego normatywnego oczekiwania co do form intymności. Zarazem ochrona autonomii nie może prowadzić do deprecjacji interesu współmałżonka, który doświadcza długotrwałej obojętności i izolacji – temu służy właśnie kategoria winy, o ile jest stosowana z rozwagą i przy pełnym poszanowaniu wolności seksualnej.</w:t>
      </w:r>
    </w:p>
    <w:p w14:paraId="172ECA0A" w14:textId="77777777" w:rsidR="00D71A77" w:rsidRDefault="00D71A77" w:rsidP="00D71A77">
      <w:pPr>
        <w:spacing w:after="120" w:line="360" w:lineRule="auto"/>
        <w:jc w:val="both"/>
        <w:rPr>
          <w:rFonts w:cs="Times New Roman"/>
          <w:szCs w:val="24"/>
          <w:lang w:val="pl-PL"/>
        </w:rPr>
      </w:pPr>
      <w:r w:rsidRPr="0055382D">
        <w:rPr>
          <w:rFonts w:cs="Times New Roman"/>
          <w:szCs w:val="24"/>
          <w:lang w:val="pl-PL"/>
        </w:rPr>
        <w:t xml:space="preserve">Sformułowanie o „obowiązku pożycia” jest dziedzictwem dydaktycznego skrótu, a nie precyzyjną kategorią dogmatyczną. Lepszym narzędziem są pojęcia „wspólnoty życia” i „reakcji na naruszenie więzi”, które pozwalają na opis relacji bez uprzedniego wartościowania i bez ryzyka nadania aktowi seksualnemu charakteru świadczenia. </w:t>
      </w:r>
    </w:p>
    <w:p w14:paraId="79099A6D" w14:textId="77777777" w:rsidR="00D71A77" w:rsidRDefault="00D71A77" w:rsidP="00D71A77">
      <w:pPr>
        <w:pStyle w:val="Nagwek1"/>
        <w:rPr>
          <w:rFonts w:cs="Times New Roman"/>
          <w:color w:val="auto"/>
          <w:szCs w:val="24"/>
          <w:lang w:val="pl-PL"/>
        </w:rPr>
      </w:pPr>
      <w:r w:rsidRPr="00CB081A">
        <w:rPr>
          <w:rFonts w:cs="Times New Roman"/>
          <w:b/>
          <w:color w:val="auto"/>
          <w:szCs w:val="24"/>
          <w:lang w:val="pl-PL"/>
        </w:rPr>
        <w:t>Proponowany standard orzekania</w:t>
      </w:r>
    </w:p>
    <w:p w14:paraId="00763BAA" w14:textId="77777777" w:rsidR="00D71A77" w:rsidRPr="00CB081A" w:rsidRDefault="00D71A77" w:rsidP="00D71A77">
      <w:pPr>
        <w:rPr>
          <w:lang w:val="pl-PL"/>
        </w:rPr>
      </w:pPr>
    </w:p>
    <w:p w14:paraId="52DBAA2B" w14:textId="7E3661A9" w:rsidR="00D71A77" w:rsidRDefault="00D71A77" w:rsidP="00D71A77">
      <w:pPr>
        <w:spacing w:after="120" w:line="360" w:lineRule="auto"/>
        <w:jc w:val="both"/>
        <w:rPr>
          <w:rFonts w:cs="Times New Roman"/>
          <w:szCs w:val="24"/>
          <w:lang w:val="pl-PL"/>
        </w:rPr>
      </w:pPr>
      <w:r w:rsidRPr="0055382D">
        <w:rPr>
          <w:rFonts w:cs="Times New Roman"/>
          <w:szCs w:val="24"/>
          <w:lang w:val="pl-PL"/>
        </w:rPr>
        <w:t xml:space="preserve">Dążąc do pogodzenia konkretnego rozstrzygnięcia z długotrwałą i niesprzeczną ze standardami ochrony intymności praktyką orzeczniczą sądów francuskich oraz polskich, może zaproponować </w:t>
      </w:r>
      <w:r w:rsidR="005A6B81">
        <w:rPr>
          <w:rFonts w:cs="Times New Roman"/>
          <w:szCs w:val="24"/>
          <w:lang w:val="pl-PL"/>
        </w:rPr>
        <w:t>trzy</w:t>
      </w:r>
      <w:r w:rsidRPr="0055382D">
        <w:rPr>
          <w:rFonts w:cs="Times New Roman"/>
          <w:szCs w:val="24"/>
          <w:lang w:val="pl-PL"/>
        </w:rPr>
        <w:t xml:space="preserve"> skorelowane filtry, które – przy języku faktów zamiast języka obowiązków – pozwolą zachować zgodność dotychczasowej praktyki tak sądów francuskich jak i polskich z art. 8 EKPC:</w:t>
      </w:r>
      <w:r w:rsidRPr="0055382D">
        <w:rPr>
          <w:rFonts w:cs="Times New Roman"/>
          <w:szCs w:val="24"/>
          <w:lang w:val="pl-PL"/>
        </w:rPr>
        <w:br/>
        <w:t xml:space="preserve">1) </w:t>
      </w:r>
      <w:proofErr w:type="spellStart"/>
      <w:r w:rsidRPr="0055382D">
        <w:rPr>
          <w:rFonts w:cs="Times New Roman"/>
          <w:szCs w:val="24"/>
          <w:lang w:val="pl-PL"/>
        </w:rPr>
        <w:t>Zgoda</w:t>
      </w:r>
      <w:r w:rsidR="008D6D21">
        <w:rPr>
          <w:rFonts w:cs="Times New Roman"/>
          <w:szCs w:val="24"/>
          <w:lang w:val="pl-PL"/>
        </w:rPr>
        <w:t>,</w:t>
      </w:r>
      <w:r w:rsidRPr="0055382D">
        <w:rPr>
          <w:rFonts w:cs="Times New Roman"/>
          <w:szCs w:val="24"/>
          <w:lang w:val="pl-PL"/>
        </w:rPr>
        <w:t>bezpieczeństwo</w:t>
      </w:r>
      <w:proofErr w:type="spellEnd"/>
      <w:r w:rsidR="008D6D21">
        <w:rPr>
          <w:rFonts w:cs="Times New Roman"/>
          <w:szCs w:val="24"/>
          <w:lang w:val="pl-PL"/>
        </w:rPr>
        <w:t xml:space="preserve"> i brak przemocy</w:t>
      </w:r>
      <w:r w:rsidRPr="0055382D">
        <w:rPr>
          <w:rFonts w:cs="Times New Roman"/>
          <w:szCs w:val="24"/>
          <w:lang w:val="pl-PL"/>
        </w:rPr>
        <w:t>: sąd w sprawie rozwodowej powinien badać i opisywać elementy zgody/jej braku, przemocy, presji i bezpieczeństwa; odmowa pożycia nie może skutkować negatywnymi konsekwencjami, jeśli stanowiła realizację prawa do integralności.</w:t>
      </w:r>
      <w:r w:rsidRPr="0055382D">
        <w:rPr>
          <w:rFonts w:cs="Times New Roman"/>
          <w:szCs w:val="24"/>
          <w:lang w:val="pl-PL"/>
        </w:rPr>
        <w:br/>
        <w:t>2) Konieczne jest uzasadnienie odwołujące się do czynników obiektywnych takich jak: choroba, wiek, ciąża/połóg, leczenie, przemoc, higiena, nadmiarowość wymagań drugiej strony. katalog usprawiedliwień odmowy pożycia jest otwarty; sąd wskazuje, które z nich występują i z jaką intensywnością.</w:t>
      </w:r>
      <w:r w:rsidRPr="0055382D">
        <w:rPr>
          <w:rFonts w:cs="Times New Roman"/>
          <w:szCs w:val="24"/>
          <w:lang w:val="pl-PL"/>
        </w:rPr>
        <w:br/>
      </w:r>
      <w:r w:rsidRPr="0055382D">
        <w:rPr>
          <w:rFonts w:cs="Times New Roman"/>
          <w:szCs w:val="24"/>
          <w:lang w:val="pl-PL"/>
        </w:rPr>
        <w:lastRenderedPageBreak/>
        <w:t>3) Istotny jest kontekst i relacje: sąd powinien ważyć całokształt więzi (psychicznej, fizycznej, gospodarczej) i dynamikę konfliktu, unikając wniosków opartych na izolowanym fakcie odmowy.</w:t>
      </w:r>
    </w:p>
    <w:p w14:paraId="501C236A" w14:textId="77777777" w:rsidR="00D71A77" w:rsidRDefault="00D71A77" w:rsidP="00D71A77">
      <w:pPr>
        <w:pStyle w:val="Nagwek1"/>
        <w:rPr>
          <w:rFonts w:cs="Times New Roman"/>
          <w:color w:val="auto"/>
          <w:szCs w:val="24"/>
          <w:lang w:val="pl-PL"/>
        </w:rPr>
      </w:pPr>
      <w:r w:rsidRPr="00CB081A">
        <w:rPr>
          <w:rFonts w:cs="Times New Roman"/>
          <w:b/>
          <w:color w:val="auto"/>
          <w:szCs w:val="24"/>
          <w:lang w:val="pl-PL"/>
        </w:rPr>
        <w:t>Konkluzje</w:t>
      </w:r>
    </w:p>
    <w:p w14:paraId="62877F1C" w14:textId="77777777" w:rsidR="00D71A77" w:rsidRPr="00CB081A" w:rsidRDefault="00D71A77" w:rsidP="00D71A77">
      <w:pPr>
        <w:rPr>
          <w:lang w:val="pl-PL"/>
        </w:rPr>
      </w:pPr>
    </w:p>
    <w:p w14:paraId="03243AB4" w14:textId="074D9AB7" w:rsidR="00D71A77" w:rsidRPr="0055382D" w:rsidRDefault="00D71A77" w:rsidP="00D71A77">
      <w:pPr>
        <w:spacing w:after="160" w:line="360" w:lineRule="auto"/>
        <w:jc w:val="both"/>
        <w:rPr>
          <w:rFonts w:cs="Times New Roman"/>
          <w:szCs w:val="24"/>
          <w:lang w:val="pl-PL"/>
        </w:rPr>
      </w:pPr>
      <w:r w:rsidRPr="0055382D">
        <w:rPr>
          <w:rFonts w:cs="Times New Roman"/>
          <w:bCs/>
          <w:szCs w:val="24"/>
          <w:lang w:val="pl-PL"/>
        </w:rPr>
        <w:t>Ostatecznie należy zaaprobować</w:t>
      </w:r>
      <w:r w:rsidRPr="0055382D">
        <w:rPr>
          <w:rFonts w:cs="Times New Roman"/>
          <w:b/>
          <w:szCs w:val="24"/>
          <w:lang w:val="pl-PL"/>
        </w:rPr>
        <w:t xml:space="preserve"> </w:t>
      </w:r>
      <w:r w:rsidRPr="0055382D">
        <w:rPr>
          <w:rFonts w:cs="Times New Roman"/>
          <w:szCs w:val="24"/>
          <w:lang w:val="pl-PL"/>
        </w:rPr>
        <w:t>wynik w konkretnej sprawie HW. W realiach</w:t>
      </w:r>
      <w:r w:rsidR="008D6D21">
        <w:rPr>
          <w:rFonts w:cs="Times New Roman"/>
          <w:szCs w:val="24"/>
          <w:lang w:val="pl-PL"/>
        </w:rPr>
        <w:t xml:space="preserve"> tej</w:t>
      </w:r>
      <w:r w:rsidRPr="0055382D">
        <w:rPr>
          <w:rFonts w:cs="Times New Roman"/>
          <w:szCs w:val="24"/>
          <w:lang w:val="pl-PL"/>
        </w:rPr>
        <w:t xml:space="preserve"> spraw</w:t>
      </w:r>
      <w:r>
        <w:rPr>
          <w:rFonts w:cs="Times New Roman"/>
          <w:szCs w:val="24"/>
          <w:lang w:val="pl-PL"/>
        </w:rPr>
        <w:t>y</w:t>
      </w:r>
      <w:r w:rsidRPr="0055382D">
        <w:rPr>
          <w:rFonts w:cs="Times New Roman"/>
          <w:szCs w:val="24"/>
          <w:lang w:val="pl-PL"/>
        </w:rPr>
        <w:t xml:space="preserve"> odmowa pożycia była uzasadniona. Krytycznie należy jednak podejść do uogólnienia dotyczącego zakazu odnoszenia się do braku pożycia w ocenie winy. W to miejsce należy sformułować postulat języka faktów zamiast języka obowiązków oraz konieczność wprost ujmowanej w uzasadnieniach analizy zgody, przemocy i bezpieczeństwa. Taki standard godzi ochronę autonomii seksualnej z koniecznością reagowania na długotrwałe, nieuzasadnione zerwanie więzi.</w:t>
      </w:r>
    </w:p>
    <w:p w14:paraId="1FECC397" w14:textId="77777777" w:rsidR="00D71A77" w:rsidRPr="0055382D" w:rsidRDefault="00D71A77" w:rsidP="00D71A77">
      <w:pPr>
        <w:spacing w:after="120" w:line="360" w:lineRule="auto"/>
        <w:jc w:val="both"/>
        <w:rPr>
          <w:rFonts w:cs="Times New Roman"/>
          <w:szCs w:val="24"/>
          <w:lang w:val="pl-PL"/>
        </w:rPr>
      </w:pPr>
      <w:r w:rsidRPr="0055382D">
        <w:rPr>
          <w:rFonts w:cs="Times New Roman"/>
          <w:szCs w:val="24"/>
          <w:lang w:val="pl-PL"/>
        </w:rPr>
        <w:t xml:space="preserve">Autonomia seksualna i godność osoby nie są kategoriami wypierającymi lojalność małżeńską – przeciwnie, pozostają w relacji komplementarnej. W modelu, który proponuję w ślad za dotychczasowym orzecznictwem sądów francuskich i polskich, lojalność oznacza rzetelne komunikowanie granic i potrzeb oraz rezygnację z presji; autonomia zaś obejmuje także prawo do odmowy bez negatywnych konsekwencji, gdy w grę wchodzi zdrowie, bezpieczeństwo lub brak zgody. W przypadkach, w których te wartości wchodzą w kolizję, rolą sądu nie jest sankcjonowanie </w:t>
      </w:r>
      <w:proofErr w:type="spellStart"/>
      <w:r w:rsidRPr="0055382D">
        <w:rPr>
          <w:rFonts w:cs="Times New Roman"/>
          <w:szCs w:val="24"/>
          <w:lang w:val="pl-PL"/>
        </w:rPr>
        <w:t>zachowań</w:t>
      </w:r>
      <w:proofErr w:type="spellEnd"/>
      <w:r w:rsidRPr="0055382D">
        <w:rPr>
          <w:rFonts w:cs="Times New Roman"/>
          <w:szCs w:val="24"/>
          <w:lang w:val="pl-PL"/>
        </w:rPr>
        <w:t>, lecz rozstrzygnięcie, czy doszło do trwałego i zupełnego rozpadu więzi, a jeśli tak – kto ponosi odpowiedzialność w sensie cywilnym i jakie to wywołuje skutki finansowe.</w:t>
      </w:r>
    </w:p>
    <w:p w14:paraId="5918342D" w14:textId="77777777" w:rsidR="00D71A77" w:rsidRPr="0055382D" w:rsidRDefault="00D71A77" w:rsidP="00D71A77">
      <w:pPr>
        <w:spacing w:after="120" w:line="360" w:lineRule="auto"/>
        <w:jc w:val="both"/>
        <w:rPr>
          <w:rFonts w:cs="Times New Roman"/>
          <w:szCs w:val="24"/>
          <w:lang w:val="pl-PL"/>
        </w:rPr>
      </w:pPr>
      <w:r w:rsidRPr="0055382D">
        <w:rPr>
          <w:rFonts w:cs="Times New Roman"/>
          <w:szCs w:val="24"/>
          <w:lang w:val="pl-PL"/>
        </w:rPr>
        <w:t>Wyrok HW v. France powinno się odczytać jako wezwanie do uzupełnienia języka lojalności o język autonomii. Z tej perspektywy to nie „obowiązek” pożycia, lecz uczciwość komunikacyjna, troska o dobro współmałżonka i poszanowanie jego granic powinny stanowić oś oceny sądu. Takie podejście pozwala uniknąć presji i fikcji prawnych, a jednocześnie nie pozostawia bez ochrony osób dotkniętych długotrwałą obojętnością.</w:t>
      </w:r>
    </w:p>
    <w:p w14:paraId="1096754C" w14:textId="77777777" w:rsidR="00D71A77" w:rsidRPr="0055382D" w:rsidRDefault="00D71A77" w:rsidP="00D71A77">
      <w:pPr>
        <w:spacing w:after="160" w:line="360" w:lineRule="auto"/>
        <w:jc w:val="both"/>
        <w:rPr>
          <w:rFonts w:cs="Times New Roman"/>
          <w:szCs w:val="24"/>
          <w:lang w:val="pl-PL"/>
        </w:rPr>
      </w:pPr>
    </w:p>
    <w:p w14:paraId="771E9B01" w14:textId="77777777" w:rsidR="00D71A77" w:rsidRPr="007E2A76" w:rsidRDefault="00D71A77" w:rsidP="00D71A77">
      <w:pPr>
        <w:pStyle w:val="Nagwek1"/>
        <w:rPr>
          <w:rFonts w:cs="Times New Roman"/>
          <w:color w:val="auto"/>
          <w:szCs w:val="24"/>
        </w:rPr>
      </w:pPr>
      <w:proofErr w:type="spellStart"/>
      <w:r w:rsidRPr="007E2A76">
        <w:rPr>
          <w:rFonts w:cs="Times New Roman"/>
          <w:b/>
          <w:color w:val="auto"/>
          <w:szCs w:val="24"/>
        </w:rPr>
        <w:t>Bibliografia</w:t>
      </w:r>
      <w:proofErr w:type="spellEnd"/>
    </w:p>
    <w:p w14:paraId="6C2D709E" w14:textId="77777777" w:rsidR="00D71A77" w:rsidRPr="007E2A76" w:rsidRDefault="00D71A77" w:rsidP="00D71A77"/>
    <w:p w14:paraId="264655F6" w14:textId="77777777" w:rsidR="00D71A77" w:rsidRPr="007E2A76" w:rsidRDefault="00D71A77" w:rsidP="00D71A77">
      <w:pPr>
        <w:spacing w:after="120" w:line="360" w:lineRule="auto"/>
        <w:jc w:val="both"/>
        <w:rPr>
          <w:rFonts w:cs="Times New Roman"/>
          <w:szCs w:val="24"/>
        </w:rPr>
      </w:pPr>
      <w:proofErr w:type="spellStart"/>
      <w:r w:rsidRPr="007E2A76">
        <w:rPr>
          <w:rFonts w:cs="Times New Roman"/>
          <w:b/>
          <w:szCs w:val="24"/>
        </w:rPr>
        <w:t>Literatura</w:t>
      </w:r>
      <w:proofErr w:type="spellEnd"/>
    </w:p>
    <w:p w14:paraId="0A79D4D2" w14:textId="77777777" w:rsidR="00D71A77" w:rsidRPr="00BA5D60" w:rsidRDefault="00D71A77" w:rsidP="00D71A77">
      <w:pPr>
        <w:spacing w:after="120" w:line="360" w:lineRule="auto"/>
        <w:jc w:val="both"/>
        <w:rPr>
          <w:rFonts w:cs="Times New Roman"/>
          <w:szCs w:val="24"/>
        </w:rPr>
      </w:pPr>
      <w:proofErr w:type="spellStart"/>
      <w:r w:rsidRPr="00BA5D60">
        <w:rPr>
          <w:rFonts w:cs="Times New Roman"/>
          <w:szCs w:val="24"/>
        </w:rPr>
        <w:t>Letteron</w:t>
      </w:r>
      <w:proofErr w:type="spellEnd"/>
      <w:r w:rsidRPr="00BA5D60">
        <w:rPr>
          <w:rFonts w:cs="Times New Roman"/>
          <w:szCs w:val="24"/>
        </w:rPr>
        <w:t xml:space="preserve"> R., </w:t>
      </w:r>
      <w:r w:rsidRPr="00BA5D60">
        <w:rPr>
          <w:rFonts w:cs="Times New Roman"/>
          <w:i/>
          <w:iCs/>
          <w:szCs w:val="24"/>
        </w:rPr>
        <w:t xml:space="preserve">La </w:t>
      </w:r>
      <w:proofErr w:type="spellStart"/>
      <w:r w:rsidRPr="00BA5D60">
        <w:rPr>
          <w:rFonts w:cs="Times New Roman"/>
          <w:i/>
          <w:iCs/>
          <w:szCs w:val="24"/>
        </w:rPr>
        <w:t>communauté</w:t>
      </w:r>
      <w:proofErr w:type="spellEnd"/>
      <w:r w:rsidRPr="00BA5D60">
        <w:rPr>
          <w:rFonts w:cs="Times New Roman"/>
          <w:i/>
          <w:iCs/>
          <w:szCs w:val="24"/>
        </w:rPr>
        <w:t xml:space="preserve"> de lit </w:t>
      </w:r>
      <w:proofErr w:type="spellStart"/>
      <w:r w:rsidRPr="00BA5D60">
        <w:rPr>
          <w:rFonts w:cs="Times New Roman"/>
          <w:i/>
          <w:iCs/>
          <w:szCs w:val="24"/>
        </w:rPr>
        <w:t>devant</w:t>
      </w:r>
      <w:proofErr w:type="spellEnd"/>
      <w:r w:rsidRPr="00BA5D60">
        <w:rPr>
          <w:rFonts w:cs="Times New Roman"/>
          <w:i/>
          <w:iCs/>
          <w:szCs w:val="24"/>
        </w:rPr>
        <w:t xml:space="preserve"> la CEDH</w:t>
      </w:r>
      <w:r w:rsidRPr="00BA5D60">
        <w:rPr>
          <w:rFonts w:cs="Times New Roman"/>
          <w:szCs w:val="24"/>
        </w:rPr>
        <w:t>, 28.01.2025.</w:t>
      </w:r>
    </w:p>
    <w:p w14:paraId="7E9D5DAA" w14:textId="36C77980" w:rsidR="00BA5D60" w:rsidRPr="00BA5D60" w:rsidRDefault="00BA5D60" w:rsidP="00D71A77">
      <w:pPr>
        <w:spacing w:after="120" w:line="360" w:lineRule="auto"/>
        <w:jc w:val="both"/>
        <w:rPr>
          <w:rFonts w:cs="Times New Roman"/>
          <w:szCs w:val="24"/>
        </w:rPr>
      </w:pPr>
      <w:proofErr w:type="spellStart"/>
      <w:r w:rsidRPr="00A251E8">
        <w:lastRenderedPageBreak/>
        <w:t>Meyzeaud-Garaud</w:t>
      </w:r>
      <w:proofErr w:type="spellEnd"/>
      <w:r>
        <w:t xml:space="preserve"> </w:t>
      </w:r>
      <w:r w:rsidRPr="00A251E8">
        <w:t xml:space="preserve">M.-C., </w:t>
      </w:r>
      <w:r w:rsidRPr="00A251E8">
        <w:rPr>
          <w:i/>
          <w:iCs/>
        </w:rPr>
        <w:t xml:space="preserve">La </w:t>
      </w:r>
      <w:proofErr w:type="spellStart"/>
      <w:r w:rsidRPr="00A251E8">
        <w:rPr>
          <w:i/>
          <w:iCs/>
        </w:rPr>
        <w:t>Cour</w:t>
      </w:r>
      <w:proofErr w:type="spellEnd"/>
      <w:r w:rsidRPr="00A251E8">
        <w:rPr>
          <w:i/>
          <w:iCs/>
        </w:rPr>
        <w:t xml:space="preserve"> EDH </w:t>
      </w:r>
      <w:proofErr w:type="spellStart"/>
      <w:r w:rsidRPr="00A251E8">
        <w:rPr>
          <w:i/>
          <w:iCs/>
        </w:rPr>
        <w:t>conjugue</w:t>
      </w:r>
      <w:proofErr w:type="spellEnd"/>
      <w:r w:rsidRPr="00A251E8">
        <w:rPr>
          <w:i/>
          <w:iCs/>
        </w:rPr>
        <w:t xml:space="preserve"> au passé le devoir conjugal</w:t>
      </w:r>
      <w:r w:rsidRPr="00A251E8">
        <w:t>, 2025</w:t>
      </w:r>
    </w:p>
    <w:p w14:paraId="59DAD3F5" w14:textId="77777777" w:rsidR="00BA5D60" w:rsidRPr="0055382D" w:rsidRDefault="00BA5D60" w:rsidP="00BA5D60">
      <w:pPr>
        <w:spacing w:after="120" w:line="360" w:lineRule="auto"/>
        <w:jc w:val="both"/>
        <w:rPr>
          <w:rFonts w:cs="Times New Roman"/>
          <w:szCs w:val="24"/>
          <w:lang w:val="pl-PL"/>
        </w:rPr>
      </w:pPr>
      <w:proofErr w:type="spellStart"/>
      <w:r w:rsidRPr="0055382D">
        <w:rPr>
          <w:rFonts w:cs="Times New Roman"/>
          <w:szCs w:val="24"/>
          <w:lang w:val="pl-PL"/>
        </w:rPr>
        <w:t>Piątowski</w:t>
      </w:r>
      <w:proofErr w:type="spellEnd"/>
      <w:r w:rsidRPr="0055382D">
        <w:rPr>
          <w:rFonts w:cs="Times New Roman"/>
          <w:szCs w:val="24"/>
          <w:lang w:val="pl-PL"/>
        </w:rPr>
        <w:t xml:space="preserve"> J.S., Prawa i obowiązki niemajątkowe, [w:] J.S. </w:t>
      </w:r>
      <w:proofErr w:type="spellStart"/>
      <w:r w:rsidRPr="0055382D">
        <w:rPr>
          <w:rFonts w:cs="Times New Roman"/>
          <w:szCs w:val="24"/>
          <w:lang w:val="pl-PL"/>
        </w:rPr>
        <w:t>Piątowski</w:t>
      </w:r>
      <w:proofErr w:type="spellEnd"/>
      <w:r w:rsidRPr="0055382D">
        <w:rPr>
          <w:rFonts w:cs="Times New Roman"/>
          <w:szCs w:val="24"/>
          <w:lang w:val="pl-PL"/>
        </w:rPr>
        <w:t xml:space="preserve"> (red.), System prawa rodzinnego i opiekuńczego, 1985.</w:t>
      </w:r>
    </w:p>
    <w:p w14:paraId="3B02385E" w14:textId="77777777" w:rsidR="00BA5D60" w:rsidRPr="00D71A77" w:rsidRDefault="00BA5D60" w:rsidP="00BA5D60">
      <w:pPr>
        <w:spacing w:after="120" w:line="360" w:lineRule="auto"/>
        <w:jc w:val="both"/>
        <w:rPr>
          <w:rFonts w:cs="Times New Roman"/>
          <w:szCs w:val="24"/>
          <w:lang w:val="pl-PL"/>
        </w:rPr>
      </w:pPr>
      <w:r w:rsidRPr="0055382D">
        <w:rPr>
          <w:rFonts w:cs="Times New Roman"/>
          <w:szCs w:val="24"/>
          <w:lang w:val="pl-PL"/>
        </w:rPr>
        <w:t xml:space="preserve">Smyczyński T., </w:t>
      </w:r>
      <w:r w:rsidRPr="0055382D">
        <w:rPr>
          <w:rFonts w:cs="Times New Roman"/>
          <w:i/>
          <w:iCs/>
          <w:szCs w:val="24"/>
          <w:lang w:val="pl-PL"/>
        </w:rPr>
        <w:t>Prawa i obowiązki małżonków</w:t>
      </w:r>
      <w:r w:rsidRPr="0055382D">
        <w:rPr>
          <w:rFonts w:cs="Times New Roman"/>
          <w:szCs w:val="24"/>
          <w:lang w:val="pl-PL"/>
        </w:rPr>
        <w:t xml:space="preserve"> [w:] System Prawa Prywatnego. Prawo rodzinne i opiekuńcze. </w:t>
      </w:r>
      <w:r w:rsidRPr="00D71A77">
        <w:rPr>
          <w:rFonts w:cs="Times New Roman"/>
          <w:szCs w:val="24"/>
          <w:lang w:val="pl-PL"/>
        </w:rPr>
        <w:t>Tom 11, red. T. Smyczyński Warszawa 2014.</w:t>
      </w:r>
    </w:p>
    <w:p w14:paraId="696B70FF" w14:textId="77777777" w:rsidR="00BA5D60" w:rsidRDefault="00BA5D60" w:rsidP="00D71A77">
      <w:pPr>
        <w:spacing w:after="120" w:line="360" w:lineRule="auto"/>
        <w:jc w:val="both"/>
        <w:rPr>
          <w:rFonts w:cs="Times New Roman"/>
          <w:b/>
          <w:szCs w:val="24"/>
          <w:lang w:val="pl-PL"/>
        </w:rPr>
      </w:pPr>
    </w:p>
    <w:p w14:paraId="7EE62FFC" w14:textId="2AA079BF" w:rsidR="00D71A77" w:rsidRPr="0055382D" w:rsidRDefault="00D71A77" w:rsidP="00D71A77">
      <w:pPr>
        <w:spacing w:after="120" w:line="360" w:lineRule="auto"/>
        <w:jc w:val="both"/>
        <w:rPr>
          <w:rFonts w:cs="Times New Roman"/>
          <w:szCs w:val="24"/>
          <w:lang w:val="pl-PL"/>
        </w:rPr>
      </w:pPr>
      <w:r w:rsidRPr="0055382D">
        <w:rPr>
          <w:rFonts w:cs="Times New Roman"/>
          <w:b/>
          <w:szCs w:val="24"/>
          <w:lang w:val="pl-PL"/>
        </w:rPr>
        <w:t>Akty prawne</w:t>
      </w:r>
    </w:p>
    <w:p w14:paraId="5FCBE37C" w14:textId="77777777" w:rsidR="00D71A77" w:rsidRPr="0055382D" w:rsidRDefault="00D71A77" w:rsidP="00D71A77">
      <w:pPr>
        <w:spacing w:after="120" w:line="360" w:lineRule="auto"/>
        <w:jc w:val="both"/>
        <w:rPr>
          <w:rFonts w:cs="Times New Roman"/>
          <w:szCs w:val="24"/>
          <w:lang w:val="pl-PL"/>
        </w:rPr>
      </w:pPr>
      <w:r w:rsidRPr="0055382D">
        <w:rPr>
          <w:rFonts w:cs="Times New Roman"/>
          <w:szCs w:val="24"/>
          <w:lang w:val="pl-PL"/>
        </w:rPr>
        <w:t>Konwencja o ochronie praw człowieka i podstawowych wolności sporządzona w Rzymie 4 listopada 1950 r. (Dz.U. 1993, nr 61, poz. 284)</w:t>
      </w:r>
    </w:p>
    <w:p w14:paraId="2BE2FF83" w14:textId="77777777" w:rsidR="00D71A77" w:rsidRPr="0055382D" w:rsidRDefault="00D71A77" w:rsidP="00D71A77">
      <w:pPr>
        <w:spacing w:after="120" w:line="360" w:lineRule="auto"/>
        <w:jc w:val="both"/>
        <w:rPr>
          <w:rFonts w:cs="Times New Roman"/>
          <w:szCs w:val="24"/>
          <w:lang w:val="pl-PL"/>
        </w:rPr>
      </w:pPr>
      <w:r w:rsidRPr="0055382D">
        <w:rPr>
          <w:rFonts w:cs="Times New Roman"/>
          <w:szCs w:val="24"/>
          <w:lang w:val="pl-PL"/>
        </w:rPr>
        <w:t>Konwencja Rady Europy o zapobieganiu i zwalczaniu przemocy wobec kobiet i przemocy domowej porządzona w Stambule dnia 11 maja 2011 r. (Dz.U. 2015, poz.961).</w:t>
      </w:r>
    </w:p>
    <w:p w14:paraId="3E711AE8" w14:textId="09435686" w:rsidR="00D71A77" w:rsidRPr="002E3273" w:rsidRDefault="00D71A77" w:rsidP="00D71A77">
      <w:pPr>
        <w:spacing w:after="120" w:line="360" w:lineRule="auto"/>
        <w:jc w:val="both"/>
        <w:rPr>
          <w:rFonts w:cs="Times New Roman"/>
          <w:szCs w:val="24"/>
        </w:rPr>
      </w:pPr>
      <w:r w:rsidRPr="002E3273">
        <w:rPr>
          <w:rFonts w:cs="Times New Roman"/>
          <w:szCs w:val="24"/>
        </w:rPr>
        <w:t xml:space="preserve">Code civil </w:t>
      </w:r>
      <w:hyperlink r:id="rId6" w:history="1">
        <w:r w:rsidR="002E3273" w:rsidRPr="00487859">
          <w:rPr>
            <w:rStyle w:val="Hipercze"/>
            <w:rFonts w:cs="Times New Roman"/>
            <w:szCs w:val="24"/>
          </w:rPr>
          <w:t>https://www.legifrance.gouv.fr/codes/texte_lc/LEGITEXT000006070721</w:t>
        </w:r>
      </w:hyperlink>
      <w:r w:rsidR="002E3273">
        <w:rPr>
          <w:rFonts w:cs="Times New Roman"/>
          <w:szCs w:val="24"/>
        </w:rPr>
        <w:t xml:space="preserve"> </w:t>
      </w:r>
    </w:p>
    <w:p w14:paraId="142219B7" w14:textId="77777777" w:rsidR="00D71A77" w:rsidRDefault="00D71A77" w:rsidP="00D71A77">
      <w:pPr>
        <w:spacing w:after="120" w:line="360" w:lineRule="auto"/>
        <w:jc w:val="both"/>
        <w:rPr>
          <w:rFonts w:cs="Times New Roman"/>
          <w:szCs w:val="24"/>
          <w:lang w:val="pl-PL"/>
        </w:rPr>
      </w:pPr>
      <w:r w:rsidRPr="0055382D">
        <w:rPr>
          <w:rFonts w:cs="Times New Roman"/>
          <w:szCs w:val="24"/>
          <w:lang w:val="pl-PL"/>
        </w:rPr>
        <w:t xml:space="preserve">Ustawa z dnia 25 lutego 1964 r. Kodeks rodzinny i opiekuńczy (Dz.U. 2023, poz. 2809 </w:t>
      </w:r>
      <w:proofErr w:type="spellStart"/>
      <w:r w:rsidRPr="0055382D">
        <w:rPr>
          <w:rFonts w:cs="Times New Roman"/>
          <w:szCs w:val="24"/>
          <w:lang w:val="pl-PL"/>
        </w:rPr>
        <w:t>t.j</w:t>
      </w:r>
      <w:proofErr w:type="spellEnd"/>
      <w:r w:rsidRPr="0055382D">
        <w:rPr>
          <w:rFonts w:cs="Times New Roman"/>
          <w:szCs w:val="24"/>
          <w:lang w:val="pl-PL"/>
        </w:rPr>
        <w:t>.)</w:t>
      </w:r>
    </w:p>
    <w:p w14:paraId="42149BF1" w14:textId="2BAF5274" w:rsidR="00BA5D60" w:rsidRPr="00BA5D60" w:rsidRDefault="00BA5D60" w:rsidP="00D71A77">
      <w:pPr>
        <w:spacing w:after="120" w:line="360" w:lineRule="auto"/>
        <w:jc w:val="both"/>
        <w:rPr>
          <w:rFonts w:cs="Times New Roman"/>
          <w:szCs w:val="24"/>
        </w:rPr>
      </w:pPr>
      <w:r w:rsidRPr="00BA5D60">
        <w:rPr>
          <w:rFonts w:eastAsia="Times New Roman" w:cs="Times New Roman"/>
          <w:szCs w:val="24"/>
          <w:lang w:eastAsia="pl-PL"/>
        </w:rPr>
        <w:t xml:space="preserve">3 MAI 2024. - </w:t>
      </w:r>
      <w:proofErr w:type="spellStart"/>
      <w:r w:rsidRPr="00BA5D60">
        <w:rPr>
          <w:rFonts w:eastAsia="Times New Roman" w:cs="Times New Roman"/>
          <w:szCs w:val="24"/>
          <w:lang w:eastAsia="pl-PL"/>
        </w:rPr>
        <w:t>Loi</w:t>
      </w:r>
      <w:proofErr w:type="spellEnd"/>
      <w:r w:rsidRPr="00BA5D60">
        <w:rPr>
          <w:rFonts w:eastAsia="Times New Roman" w:cs="Times New Roman"/>
          <w:szCs w:val="24"/>
          <w:lang w:eastAsia="pl-PL"/>
        </w:rPr>
        <w:t xml:space="preserve"> </w:t>
      </w:r>
      <w:proofErr w:type="spellStart"/>
      <w:r w:rsidRPr="00BA5D60">
        <w:rPr>
          <w:rFonts w:eastAsia="Times New Roman" w:cs="Times New Roman"/>
          <w:szCs w:val="24"/>
          <w:lang w:eastAsia="pl-PL"/>
        </w:rPr>
        <w:t>portant</w:t>
      </w:r>
      <w:proofErr w:type="spellEnd"/>
      <w:r w:rsidRPr="00BA5D60">
        <w:rPr>
          <w:rFonts w:eastAsia="Times New Roman" w:cs="Times New Roman"/>
          <w:szCs w:val="24"/>
          <w:lang w:eastAsia="pl-PL"/>
        </w:rPr>
        <w:t xml:space="preserve"> des dispositions </w:t>
      </w:r>
      <w:proofErr w:type="spellStart"/>
      <w:r w:rsidRPr="00BA5D60">
        <w:rPr>
          <w:rFonts w:eastAsia="Times New Roman" w:cs="Times New Roman"/>
          <w:szCs w:val="24"/>
          <w:lang w:eastAsia="pl-PL"/>
        </w:rPr>
        <w:t>en</w:t>
      </w:r>
      <w:proofErr w:type="spellEnd"/>
      <w:r w:rsidRPr="00BA5D60">
        <w:rPr>
          <w:rFonts w:eastAsia="Times New Roman" w:cs="Times New Roman"/>
          <w:szCs w:val="24"/>
          <w:lang w:eastAsia="pl-PL"/>
        </w:rPr>
        <w:t xml:space="preserve"> matière du travail du </w:t>
      </w:r>
      <w:proofErr w:type="spellStart"/>
      <w:r w:rsidRPr="00BA5D60">
        <w:rPr>
          <w:rFonts w:eastAsia="Times New Roman" w:cs="Times New Roman"/>
          <w:szCs w:val="24"/>
          <w:lang w:eastAsia="pl-PL"/>
        </w:rPr>
        <w:t>sexe</w:t>
      </w:r>
      <w:proofErr w:type="spellEnd"/>
      <w:r w:rsidRPr="00BA5D60">
        <w:rPr>
          <w:rFonts w:eastAsia="Times New Roman" w:cs="Times New Roman"/>
          <w:szCs w:val="24"/>
          <w:lang w:eastAsia="pl-PL"/>
        </w:rPr>
        <w:t xml:space="preserve"> sous </w:t>
      </w:r>
      <w:proofErr w:type="spellStart"/>
      <w:r w:rsidRPr="00BA5D60">
        <w:rPr>
          <w:rFonts w:eastAsia="Times New Roman" w:cs="Times New Roman"/>
          <w:szCs w:val="24"/>
          <w:lang w:eastAsia="pl-PL"/>
        </w:rPr>
        <w:t>contrat</w:t>
      </w:r>
      <w:proofErr w:type="spellEnd"/>
      <w:r w:rsidRPr="00BA5D60">
        <w:rPr>
          <w:rFonts w:eastAsia="Times New Roman" w:cs="Times New Roman"/>
          <w:szCs w:val="24"/>
          <w:lang w:eastAsia="pl-PL"/>
        </w:rPr>
        <w:t xml:space="preserve"> de travail</w:t>
      </w:r>
    </w:p>
    <w:p w14:paraId="7B413660" w14:textId="77777777" w:rsidR="00D71A77" w:rsidRDefault="00D71A77" w:rsidP="00D71A77">
      <w:pPr>
        <w:spacing w:after="120" w:line="360" w:lineRule="auto"/>
        <w:jc w:val="both"/>
        <w:rPr>
          <w:rFonts w:cs="Times New Roman"/>
          <w:b/>
          <w:szCs w:val="24"/>
        </w:rPr>
      </w:pPr>
      <w:proofErr w:type="spellStart"/>
      <w:r w:rsidRPr="007E2A76">
        <w:rPr>
          <w:rFonts w:cs="Times New Roman"/>
          <w:b/>
          <w:szCs w:val="24"/>
        </w:rPr>
        <w:t>Orzecznictwo</w:t>
      </w:r>
      <w:proofErr w:type="spellEnd"/>
    </w:p>
    <w:p w14:paraId="24A32A85" w14:textId="4C2D783D" w:rsidR="005E735B" w:rsidRPr="005E735B" w:rsidRDefault="005E735B" w:rsidP="00D71A77">
      <w:pPr>
        <w:spacing w:after="120" w:line="360" w:lineRule="auto"/>
        <w:jc w:val="both"/>
        <w:rPr>
          <w:rFonts w:cs="Times New Roman"/>
          <w:b/>
          <w:szCs w:val="24"/>
          <w:lang w:val="pl-PL"/>
        </w:rPr>
      </w:pPr>
      <w:r>
        <w:rPr>
          <w:lang w:val="pl-PL"/>
        </w:rPr>
        <w:t>W</w:t>
      </w:r>
      <w:r w:rsidRPr="007E2A76">
        <w:rPr>
          <w:lang w:val="pl-PL"/>
        </w:rPr>
        <w:t>yrok ETPC z 23.01.2025 r., skarga 13805/21, HW przeciwko Francji</w:t>
      </w:r>
      <w:r>
        <w:rPr>
          <w:lang w:val="pl-PL"/>
        </w:rPr>
        <w:t>.</w:t>
      </w:r>
    </w:p>
    <w:p w14:paraId="0FD00A39" w14:textId="77777777" w:rsidR="00D71A77" w:rsidRPr="0055382D" w:rsidRDefault="00D71A77" w:rsidP="00D71A77">
      <w:pPr>
        <w:spacing w:after="120" w:line="360" w:lineRule="auto"/>
        <w:jc w:val="both"/>
        <w:rPr>
          <w:rFonts w:cs="Times New Roman"/>
          <w:szCs w:val="24"/>
        </w:rPr>
      </w:pPr>
      <w:proofErr w:type="spellStart"/>
      <w:r w:rsidRPr="0055382D">
        <w:rPr>
          <w:rFonts w:cs="Times New Roman"/>
          <w:szCs w:val="24"/>
        </w:rPr>
        <w:t>Wyrok</w:t>
      </w:r>
      <w:proofErr w:type="spellEnd"/>
      <w:r w:rsidRPr="0055382D">
        <w:rPr>
          <w:rFonts w:cs="Times New Roman"/>
          <w:szCs w:val="24"/>
        </w:rPr>
        <w:t xml:space="preserve"> </w:t>
      </w:r>
      <w:proofErr w:type="spellStart"/>
      <w:r w:rsidRPr="0055382D">
        <w:rPr>
          <w:rFonts w:cs="Times New Roman"/>
          <w:szCs w:val="24"/>
        </w:rPr>
        <w:t>Cour</w:t>
      </w:r>
      <w:proofErr w:type="spellEnd"/>
      <w:r w:rsidRPr="0055382D">
        <w:rPr>
          <w:rFonts w:cs="Times New Roman"/>
          <w:szCs w:val="24"/>
        </w:rPr>
        <w:t xml:space="preserve"> de cassation 2e civ z 8.10.1964 r., Bull. civ. II no 599.</w:t>
      </w:r>
    </w:p>
    <w:p w14:paraId="3B24DE3C" w14:textId="77777777" w:rsidR="00D71A77" w:rsidRPr="0055382D" w:rsidRDefault="00D71A77" w:rsidP="00D71A77">
      <w:pPr>
        <w:spacing w:after="120" w:line="360" w:lineRule="auto"/>
        <w:jc w:val="both"/>
        <w:rPr>
          <w:rFonts w:cs="Times New Roman"/>
          <w:szCs w:val="24"/>
        </w:rPr>
      </w:pPr>
      <w:proofErr w:type="spellStart"/>
      <w:r w:rsidRPr="0055382D">
        <w:rPr>
          <w:rFonts w:cs="Times New Roman"/>
          <w:szCs w:val="24"/>
        </w:rPr>
        <w:t>Wyrok</w:t>
      </w:r>
      <w:proofErr w:type="spellEnd"/>
      <w:r w:rsidRPr="0055382D">
        <w:rPr>
          <w:rFonts w:cs="Times New Roman"/>
          <w:szCs w:val="24"/>
        </w:rPr>
        <w:t xml:space="preserve"> </w:t>
      </w:r>
      <w:proofErr w:type="spellStart"/>
      <w:r w:rsidRPr="0055382D">
        <w:rPr>
          <w:rFonts w:cs="Times New Roman"/>
          <w:szCs w:val="24"/>
        </w:rPr>
        <w:t>Cour</w:t>
      </w:r>
      <w:proofErr w:type="spellEnd"/>
      <w:r w:rsidRPr="0055382D">
        <w:rPr>
          <w:rFonts w:cs="Times New Roman"/>
          <w:szCs w:val="24"/>
        </w:rPr>
        <w:t xml:space="preserve"> de cassation 2e civ z 27.01. 1971 r., Bull. civ. II no 27.</w:t>
      </w:r>
    </w:p>
    <w:p w14:paraId="106E801D" w14:textId="77777777" w:rsidR="00D71A77" w:rsidRPr="0055382D" w:rsidRDefault="00D71A77" w:rsidP="00D71A77">
      <w:pPr>
        <w:spacing w:after="120" w:line="360" w:lineRule="auto"/>
        <w:jc w:val="both"/>
        <w:rPr>
          <w:rFonts w:cs="Times New Roman"/>
          <w:szCs w:val="24"/>
        </w:rPr>
      </w:pPr>
      <w:proofErr w:type="spellStart"/>
      <w:r w:rsidRPr="0055382D">
        <w:rPr>
          <w:rFonts w:cs="Times New Roman"/>
          <w:szCs w:val="24"/>
        </w:rPr>
        <w:t>Wyrok</w:t>
      </w:r>
      <w:proofErr w:type="spellEnd"/>
      <w:r w:rsidRPr="0055382D">
        <w:rPr>
          <w:rFonts w:cs="Times New Roman"/>
          <w:szCs w:val="24"/>
        </w:rPr>
        <w:t xml:space="preserve"> </w:t>
      </w:r>
      <w:proofErr w:type="spellStart"/>
      <w:r w:rsidRPr="0055382D">
        <w:rPr>
          <w:rFonts w:cs="Times New Roman"/>
          <w:szCs w:val="24"/>
        </w:rPr>
        <w:t>Cour</w:t>
      </w:r>
      <w:proofErr w:type="spellEnd"/>
      <w:r w:rsidRPr="0055382D">
        <w:rPr>
          <w:rFonts w:cs="Times New Roman"/>
          <w:szCs w:val="24"/>
        </w:rPr>
        <w:t xml:space="preserve"> de cassation 2e civ z 23.04.1975 r., Bull. civ. II no 114.</w:t>
      </w:r>
    </w:p>
    <w:p w14:paraId="7A35839E" w14:textId="77777777" w:rsidR="00D71A77" w:rsidRPr="0055382D" w:rsidRDefault="00D71A77" w:rsidP="00D71A77">
      <w:pPr>
        <w:spacing w:after="120" w:line="360" w:lineRule="auto"/>
        <w:jc w:val="both"/>
        <w:rPr>
          <w:rFonts w:cs="Times New Roman"/>
          <w:szCs w:val="24"/>
        </w:rPr>
      </w:pPr>
      <w:proofErr w:type="spellStart"/>
      <w:r w:rsidRPr="0055382D">
        <w:rPr>
          <w:rFonts w:cs="Times New Roman"/>
          <w:szCs w:val="24"/>
        </w:rPr>
        <w:t>Wyrok</w:t>
      </w:r>
      <w:proofErr w:type="spellEnd"/>
      <w:r w:rsidRPr="0055382D">
        <w:rPr>
          <w:rFonts w:cs="Times New Roman"/>
          <w:szCs w:val="24"/>
        </w:rPr>
        <w:t xml:space="preserve"> </w:t>
      </w:r>
      <w:proofErr w:type="spellStart"/>
      <w:r w:rsidRPr="0055382D">
        <w:rPr>
          <w:rFonts w:cs="Times New Roman"/>
          <w:szCs w:val="24"/>
        </w:rPr>
        <w:t>Cour</w:t>
      </w:r>
      <w:proofErr w:type="spellEnd"/>
      <w:r w:rsidRPr="0055382D">
        <w:rPr>
          <w:rFonts w:cs="Times New Roman"/>
          <w:szCs w:val="24"/>
        </w:rPr>
        <w:t xml:space="preserve"> de cassation 2e civ z 17.12.1997 r., no 96-15.704.</w:t>
      </w:r>
    </w:p>
    <w:p w14:paraId="72072F3E" w14:textId="32FAE1A7" w:rsidR="00D71A77" w:rsidRDefault="00D71A77" w:rsidP="00D71A77">
      <w:pPr>
        <w:spacing w:after="120" w:line="360" w:lineRule="auto"/>
        <w:jc w:val="both"/>
        <w:rPr>
          <w:rFonts w:cs="Times New Roman"/>
          <w:szCs w:val="24"/>
        </w:rPr>
      </w:pPr>
      <w:proofErr w:type="spellStart"/>
      <w:r w:rsidRPr="0055382D">
        <w:rPr>
          <w:rFonts w:cs="Times New Roman"/>
          <w:szCs w:val="24"/>
        </w:rPr>
        <w:t>Wyrok</w:t>
      </w:r>
      <w:proofErr w:type="spellEnd"/>
      <w:r w:rsidRPr="0055382D">
        <w:rPr>
          <w:rFonts w:cs="Times New Roman"/>
          <w:szCs w:val="24"/>
        </w:rPr>
        <w:t xml:space="preserve"> </w:t>
      </w:r>
      <w:proofErr w:type="spellStart"/>
      <w:r w:rsidRPr="0055382D">
        <w:rPr>
          <w:rFonts w:cs="Times New Roman"/>
          <w:szCs w:val="24"/>
        </w:rPr>
        <w:t>Cour</w:t>
      </w:r>
      <w:proofErr w:type="spellEnd"/>
      <w:r w:rsidRPr="0055382D">
        <w:rPr>
          <w:rFonts w:cs="Times New Roman"/>
          <w:szCs w:val="24"/>
        </w:rPr>
        <w:t xml:space="preserve"> de cassation (1re civ.) z 1.02.2012 r., 11-14.822</w:t>
      </w:r>
      <w:r w:rsidR="005E735B">
        <w:rPr>
          <w:rFonts w:cs="Times New Roman"/>
          <w:szCs w:val="24"/>
        </w:rPr>
        <w:t>.</w:t>
      </w:r>
    </w:p>
    <w:p w14:paraId="46ED6505" w14:textId="7BD8C77F" w:rsidR="005E735B" w:rsidRPr="0055382D" w:rsidRDefault="005E735B" w:rsidP="00D71A77">
      <w:pPr>
        <w:spacing w:after="120" w:line="360" w:lineRule="auto"/>
        <w:jc w:val="both"/>
        <w:rPr>
          <w:rFonts w:cs="Times New Roman"/>
          <w:szCs w:val="24"/>
        </w:rPr>
      </w:pPr>
      <w:proofErr w:type="spellStart"/>
      <w:r>
        <w:t>Wyrok</w:t>
      </w:r>
      <w:proofErr w:type="spellEnd"/>
      <w:r>
        <w:t xml:space="preserve"> </w:t>
      </w:r>
      <w:proofErr w:type="spellStart"/>
      <w:r w:rsidRPr="005D1EF9">
        <w:t>Cour</w:t>
      </w:r>
      <w:proofErr w:type="spellEnd"/>
      <w:r w:rsidRPr="005D1EF9">
        <w:t xml:space="preserve"> de cassation</w:t>
      </w:r>
      <w:r>
        <w:t xml:space="preserve"> </w:t>
      </w:r>
      <w:r w:rsidRPr="009278FD">
        <w:t>(1re civ.)</w:t>
      </w:r>
      <w:r w:rsidRPr="005D1EF9">
        <w:t xml:space="preserve"> z 27</w:t>
      </w:r>
      <w:r>
        <w:t>.09.</w:t>
      </w:r>
      <w:r w:rsidRPr="005D1EF9">
        <w:t>2017</w:t>
      </w:r>
      <w:r>
        <w:t xml:space="preserve"> r.</w:t>
      </w:r>
      <w:r w:rsidRPr="005D1EF9">
        <w:t>, 16-22240</w:t>
      </w:r>
      <w:r>
        <w:t>.</w:t>
      </w:r>
    </w:p>
    <w:p w14:paraId="18AC5EA1" w14:textId="77777777" w:rsidR="00D71A77" w:rsidRPr="00D71A77" w:rsidRDefault="00D71A77" w:rsidP="00D71A77">
      <w:pPr>
        <w:spacing w:after="120" w:line="360" w:lineRule="auto"/>
        <w:jc w:val="both"/>
        <w:rPr>
          <w:rFonts w:cs="Times New Roman"/>
          <w:szCs w:val="24"/>
        </w:rPr>
      </w:pPr>
      <w:proofErr w:type="spellStart"/>
      <w:r w:rsidRPr="00D71A77">
        <w:rPr>
          <w:rFonts w:cs="Times New Roman"/>
          <w:szCs w:val="24"/>
        </w:rPr>
        <w:t>Wyrok</w:t>
      </w:r>
      <w:proofErr w:type="spellEnd"/>
      <w:r w:rsidRPr="00D71A77">
        <w:rPr>
          <w:rFonts w:cs="Times New Roman"/>
          <w:szCs w:val="24"/>
        </w:rPr>
        <w:t xml:space="preserve"> </w:t>
      </w:r>
      <w:proofErr w:type="spellStart"/>
      <w:r w:rsidRPr="00D71A77">
        <w:rPr>
          <w:rFonts w:cs="Times New Roman"/>
          <w:szCs w:val="24"/>
        </w:rPr>
        <w:t>Cour</w:t>
      </w:r>
      <w:proofErr w:type="spellEnd"/>
      <w:r w:rsidRPr="00D71A77">
        <w:rPr>
          <w:rFonts w:cs="Times New Roman"/>
          <w:szCs w:val="24"/>
        </w:rPr>
        <w:t xml:space="preserve"> </w:t>
      </w:r>
      <w:proofErr w:type="spellStart"/>
      <w:r w:rsidRPr="00D71A77">
        <w:rPr>
          <w:rFonts w:cs="Times New Roman"/>
          <w:szCs w:val="24"/>
        </w:rPr>
        <w:t>d’appel</w:t>
      </w:r>
      <w:proofErr w:type="spellEnd"/>
      <w:r w:rsidRPr="00D71A77">
        <w:rPr>
          <w:rFonts w:cs="Times New Roman"/>
          <w:szCs w:val="24"/>
        </w:rPr>
        <w:t xml:space="preserve"> </w:t>
      </w:r>
      <w:proofErr w:type="spellStart"/>
      <w:r w:rsidRPr="00D71A77">
        <w:rPr>
          <w:rFonts w:cs="Times New Roman"/>
          <w:szCs w:val="24"/>
        </w:rPr>
        <w:t>d’Aix</w:t>
      </w:r>
      <w:proofErr w:type="spellEnd"/>
      <w:r w:rsidRPr="00D71A77">
        <w:rPr>
          <w:rFonts w:cs="Times New Roman"/>
          <w:szCs w:val="24"/>
        </w:rPr>
        <w:t>-</w:t>
      </w:r>
      <w:proofErr w:type="spellStart"/>
      <w:r w:rsidRPr="00D71A77">
        <w:rPr>
          <w:rFonts w:cs="Times New Roman"/>
          <w:szCs w:val="24"/>
        </w:rPr>
        <w:t>en</w:t>
      </w:r>
      <w:proofErr w:type="spellEnd"/>
      <w:r w:rsidRPr="00D71A77">
        <w:rPr>
          <w:rFonts w:cs="Times New Roman"/>
          <w:szCs w:val="24"/>
        </w:rPr>
        <w:t>-Provence z 3.05.2011 r., 2011/292.</w:t>
      </w:r>
    </w:p>
    <w:p w14:paraId="27B6F8C4" w14:textId="77777777" w:rsidR="00D71A77" w:rsidRPr="0055382D" w:rsidRDefault="00D71A77" w:rsidP="00D71A77">
      <w:pPr>
        <w:spacing w:after="120" w:line="360" w:lineRule="auto"/>
        <w:jc w:val="both"/>
        <w:rPr>
          <w:rFonts w:cs="Times New Roman"/>
          <w:szCs w:val="24"/>
        </w:rPr>
      </w:pPr>
      <w:proofErr w:type="spellStart"/>
      <w:r w:rsidRPr="0055382D">
        <w:rPr>
          <w:rFonts w:cs="Times New Roman"/>
          <w:szCs w:val="24"/>
        </w:rPr>
        <w:t>Wyrok</w:t>
      </w:r>
      <w:proofErr w:type="spellEnd"/>
      <w:r w:rsidRPr="0055382D">
        <w:rPr>
          <w:rFonts w:cs="Times New Roman"/>
          <w:szCs w:val="24"/>
        </w:rPr>
        <w:t xml:space="preserve"> </w:t>
      </w:r>
      <w:proofErr w:type="spellStart"/>
      <w:r w:rsidRPr="0055382D">
        <w:rPr>
          <w:rFonts w:cs="Times New Roman"/>
          <w:szCs w:val="24"/>
        </w:rPr>
        <w:t>Cour</w:t>
      </w:r>
      <w:proofErr w:type="spellEnd"/>
      <w:r w:rsidRPr="0055382D">
        <w:rPr>
          <w:rFonts w:cs="Times New Roman"/>
          <w:szCs w:val="24"/>
        </w:rPr>
        <w:t xml:space="preserve"> </w:t>
      </w:r>
      <w:proofErr w:type="spellStart"/>
      <w:r w:rsidRPr="0055382D">
        <w:rPr>
          <w:rFonts w:cs="Times New Roman"/>
          <w:szCs w:val="24"/>
        </w:rPr>
        <w:t>d’appel</w:t>
      </w:r>
      <w:proofErr w:type="spellEnd"/>
      <w:r w:rsidRPr="0055382D">
        <w:rPr>
          <w:rFonts w:cs="Times New Roman"/>
          <w:szCs w:val="24"/>
        </w:rPr>
        <w:t xml:space="preserve"> </w:t>
      </w:r>
      <w:proofErr w:type="spellStart"/>
      <w:r w:rsidRPr="0055382D">
        <w:rPr>
          <w:rFonts w:cs="Times New Roman"/>
          <w:szCs w:val="24"/>
        </w:rPr>
        <w:t>d’Aix</w:t>
      </w:r>
      <w:proofErr w:type="spellEnd"/>
      <w:r w:rsidRPr="0055382D">
        <w:rPr>
          <w:rFonts w:cs="Times New Roman"/>
          <w:szCs w:val="24"/>
        </w:rPr>
        <w:t>-</w:t>
      </w:r>
      <w:proofErr w:type="spellStart"/>
      <w:r w:rsidRPr="0055382D">
        <w:rPr>
          <w:rFonts w:cs="Times New Roman"/>
          <w:szCs w:val="24"/>
        </w:rPr>
        <w:t>en</w:t>
      </w:r>
      <w:proofErr w:type="spellEnd"/>
      <w:r w:rsidRPr="0055382D">
        <w:rPr>
          <w:rFonts w:cs="Times New Roman"/>
          <w:szCs w:val="24"/>
        </w:rPr>
        <w:t>-Provence z 16.06.2016 r., 15/20713.</w:t>
      </w:r>
    </w:p>
    <w:p w14:paraId="31724C79" w14:textId="1F41E89F" w:rsidR="00D71A77" w:rsidRDefault="00D71A77" w:rsidP="00D71A77">
      <w:pPr>
        <w:spacing w:after="120" w:line="360" w:lineRule="auto"/>
        <w:jc w:val="both"/>
        <w:rPr>
          <w:rFonts w:cs="Times New Roman"/>
          <w:szCs w:val="24"/>
        </w:rPr>
      </w:pPr>
      <w:proofErr w:type="spellStart"/>
      <w:r w:rsidRPr="0055382D">
        <w:rPr>
          <w:rFonts w:cs="Times New Roman"/>
          <w:szCs w:val="24"/>
        </w:rPr>
        <w:t>Wyrok</w:t>
      </w:r>
      <w:proofErr w:type="spellEnd"/>
      <w:r w:rsidRPr="0055382D">
        <w:rPr>
          <w:rFonts w:cs="Times New Roman"/>
          <w:szCs w:val="24"/>
        </w:rPr>
        <w:t xml:space="preserve"> </w:t>
      </w:r>
      <w:proofErr w:type="spellStart"/>
      <w:r w:rsidRPr="0055382D">
        <w:rPr>
          <w:rFonts w:cs="Times New Roman"/>
          <w:szCs w:val="24"/>
        </w:rPr>
        <w:t>Cour</w:t>
      </w:r>
      <w:proofErr w:type="spellEnd"/>
      <w:r w:rsidRPr="0055382D">
        <w:rPr>
          <w:rFonts w:cs="Times New Roman"/>
          <w:szCs w:val="24"/>
        </w:rPr>
        <w:t xml:space="preserve"> de cassation (1re civ.) z 15.05.2013 r., 11-27121</w:t>
      </w:r>
      <w:r w:rsidR="005E735B">
        <w:rPr>
          <w:rFonts w:cs="Times New Roman"/>
          <w:szCs w:val="24"/>
        </w:rPr>
        <w:t>.</w:t>
      </w:r>
    </w:p>
    <w:p w14:paraId="6694A03F" w14:textId="3237C649" w:rsidR="005E735B" w:rsidRPr="007E2A76" w:rsidRDefault="005E735B" w:rsidP="00D71A77">
      <w:pPr>
        <w:spacing w:after="120" w:line="360" w:lineRule="auto"/>
        <w:jc w:val="both"/>
        <w:rPr>
          <w:rFonts w:cs="Times New Roman"/>
          <w:szCs w:val="24"/>
          <w:lang w:val="pl-PL"/>
        </w:rPr>
      </w:pPr>
      <w:r w:rsidRPr="007E2A76">
        <w:rPr>
          <w:lang w:val="pl-PL"/>
        </w:rPr>
        <w:lastRenderedPageBreak/>
        <w:t>Wyrok SN z 8.04.1999 r. II CKN 248/98, LEX nr 1212978.</w:t>
      </w:r>
    </w:p>
    <w:p w14:paraId="08EC8C8F" w14:textId="77777777" w:rsidR="00D71A77" w:rsidRPr="0055382D" w:rsidRDefault="00D71A77" w:rsidP="00D71A77">
      <w:pPr>
        <w:spacing w:after="120" w:line="360" w:lineRule="auto"/>
        <w:jc w:val="both"/>
        <w:rPr>
          <w:rFonts w:cs="Times New Roman"/>
          <w:szCs w:val="24"/>
          <w:lang w:val="pl-PL"/>
        </w:rPr>
      </w:pPr>
      <w:r w:rsidRPr="0055382D">
        <w:rPr>
          <w:rFonts w:cs="Times New Roman"/>
          <w:szCs w:val="24"/>
          <w:lang w:val="pl-PL"/>
        </w:rPr>
        <w:t>Wyrok SN z 25.08.2004 r., IV CK 609/03, OSNC 2005, nr 7–8, poz. 139.</w:t>
      </w:r>
    </w:p>
    <w:p w14:paraId="75D9122D" w14:textId="77777777" w:rsidR="00D71A77" w:rsidRPr="0055382D" w:rsidRDefault="00D71A77" w:rsidP="00D71A77">
      <w:pPr>
        <w:spacing w:after="120" w:line="360" w:lineRule="auto"/>
        <w:jc w:val="both"/>
        <w:rPr>
          <w:rFonts w:cs="Times New Roman"/>
          <w:szCs w:val="24"/>
          <w:lang w:val="pl-PL"/>
        </w:rPr>
      </w:pPr>
      <w:r w:rsidRPr="0055382D">
        <w:rPr>
          <w:rFonts w:cs="Times New Roman"/>
          <w:szCs w:val="24"/>
          <w:lang w:val="pl-PL"/>
        </w:rPr>
        <w:t xml:space="preserve">Wyrok SA w Katowicach z 11.03.2010 r., I </w:t>
      </w:r>
      <w:proofErr w:type="spellStart"/>
      <w:r w:rsidRPr="0055382D">
        <w:rPr>
          <w:rFonts w:cs="Times New Roman"/>
          <w:szCs w:val="24"/>
          <w:lang w:val="pl-PL"/>
        </w:rPr>
        <w:t>ACa</w:t>
      </w:r>
      <w:proofErr w:type="spellEnd"/>
      <w:r w:rsidRPr="0055382D">
        <w:rPr>
          <w:rFonts w:cs="Times New Roman"/>
          <w:szCs w:val="24"/>
          <w:lang w:val="pl-PL"/>
        </w:rPr>
        <w:t xml:space="preserve"> 46/10, LEX nr 1120372.</w:t>
      </w:r>
    </w:p>
    <w:p w14:paraId="239B4C73" w14:textId="77777777" w:rsidR="00D71A77" w:rsidRPr="0055382D" w:rsidRDefault="00D71A77" w:rsidP="00D71A77">
      <w:pPr>
        <w:spacing w:after="120" w:line="360" w:lineRule="auto"/>
        <w:jc w:val="both"/>
        <w:rPr>
          <w:rFonts w:cs="Times New Roman"/>
          <w:szCs w:val="24"/>
          <w:lang w:val="pl-PL"/>
        </w:rPr>
      </w:pPr>
      <w:r w:rsidRPr="0055382D">
        <w:rPr>
          <w:rFonts w:cs="Times New Roman"/>
          <w:szCs w:val="24"/>
          <w:lang w:val="pl-PL"/>
        </w:rPr>
        <w:t>Wyrok SN z dnia 8 kwietnia 1999 r. II CKN 248/98, LEX nr 1212978.</w:t>
      </w:r>
    </w:p>
    <w:p w14:paraId="17D0943F" w14:textId="77777777" w:rsidR="00D71A77" w:rsidRPr="0055382D" w:rsidRDefault="00D71A77" w:rsidP="00D71A77">
      <w:pPr>
        <w:spacing w:after="120" w:line="360" w:lineRule="auto"/>
        <w:jc w:val="both"/>
        <w:rPr>
          <w:rFonts w:cs="Times New Roman"/>
          <w:szCs w:val="24"/>
          <w:lang w:val="pl-PL"/>
        </w:rPr>
      </w:pPr>
      <w:r w:rsidRPr="0055382D">
        <w:rPr>
          <w:rFonts w:cs="Times New Roman"/>
          <w:szCs w:val="24"/>
          <w:lang w:val="pl-PL"/>
        </w:rPr>
        <w:t>Orzeczenie SN z 2.05.1952 r., C 1096/51, NP 1953, nr 5, s. 81.</w:t>
      </w:r>
    </w:p>
    <w:p w14:paraId="37D3FEC4" w14:textId="77777777" w:rsidR="00D71A77" w:rsidRPr="0055382D" w:rsidRDefault="00D71A77" w:rsidP="00D71A77">
      <w:pPr>
        <w:spacing w:after="120" w:line="360" w:lineRule="auto"/>
        <w:jc w:val="both"/>
        <w:rPr>
          <w:rFonts w:cs="Times New Roman"/>
          <w:szCs w:val="24"/>
          <w:lang w:val="pl-PL"/>
        </w:rPr>
      </w:pPr>
      <w:r w:rsidRPr="0055382D">
        <w:rPr>
          <w:rFonts w:cs="Times New Roman"/>
          <w:szCs w:val="24"/>
          <w:lang w:val="pl-PL"/>
        </w:rPr>
        <w:t xml:space="preserve">Orzeczenie SN z 15.11.1951 r., C 1003/51, </w:t>
      </w:r>
      <w:proofErr w:type="spellStart"/>
      <w:r w:rsidRPr="0055382D">
        <w:rPr>
          <w:rFonts w:cs="Times New Roman"/>
          <w:szCs w:val="24"/>
          <w:lang w:val="pl-PL"/>
        </w:rPr>
        <w:t>Legalis</w:t>
      </w:r>
      <w:proofErr w:type="spellEnd"/>
      <w:r w:rsidRPr="0055382D">
        <w:rPr>
          <w:rFonts w:cs="Times New Roman"/>
          <w:szCs w:val="24"/>
          <w:lang w:val="pl-PL"/>
        </w:rPr>
        <w:t xml:space="preserve"> nr 683918.</w:t>
      </w:r>
    </w:p>
    <w:p w14:paraId="5AE182CA" w14:textId="77777777" w:rsidR="00D71A77" w:rsidRPr="0055382D" w:rsidRDefault="00D71A77" w:rsidP="00D71A77">
      <w:pPr>
        <w:spacing w:after="120" w:line="360" w:lineRule="auto"/>
        <w:jc w:val="both"/>
        <w:rPr>
          <w:rFonts w:cs="Times New Roman"/>
          <w:szCs w:val="24"/>
          <w:lang w:val="pl-PL"/>
        </w:rPr>
      </w:pPr>
      <w:r w:rsidRPr="0055382D">
        <w:rPr>
          <w:rFonts w:cs="Times New Roman"/>
          <w:szCs w:val="24"/>
          <w:lang w:val="pl-PL"/>
        </w:rPr>
        <w:t>Wyrok SN z 28.01.1999 r., III CKN 137/98, LEX nr 1214379.</w:t>
      </w:r>
    </w:p>
    <w:p w14:paraId="5ED5AE8A" w14:textId="77777777" w:rsidR="00761101" w:rsidRPr="00D71A77" w:rsidRDefault="00761101">
      <w:pPr>
        <w:rPr>
          <w:lang w:val="pl-PL"/>
        </w:rPr>
      </w:pPr>
    </w:p>
    <w:sectPr w:rsidR="00761101" w:rsidRPr="00D71A77" w:rsidSect="00D71A77">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A455D5" w14:textId="77777777" w:rsidR="001F18DB" w:rsidRDefault="001F18DB" w:rsidP="00D71A77">
      <w:pPr>
        <w:spacing w:after="0" w:line="240" w:lineRule="auto"/>
      </w:pPr>
      <w:r>
        <w:separator/>
      </w:r>
    </w:p>
  </w:endnote>
  <w:endnote w:type="continuationSeparator" w:id="0">
    <w:p w14:paraId="58421C54" w14:textId="77777777" w:rsidR="001F18DB" w:rsidRDefault="001F18DB" w:rsidP="00D71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769737" w14:textId="77777777" w:rsidR="001F18DB" w:rsidRDefault="001F18DB" w:rsidP="00D71A77">
      <w:pPr>
        <w:spacing w:after="0" w:line="240" w:lineRule="auto"/>
      </w:pPr>
      <w:r>
        <w:separator/>
      </w:r>
    </w:p>
  </w:footnote>
  <w:footnote w:type="continuationSeparator" w:id="0">
    <w:p w14:paraId="0BBD80A3" w14:textId="77777777" w:rsidR="001F18DB" w:rsidRDefault="001F18DB" w:rsidP="00D71A77">
      <w:pPr>
        <w:spacing w:after="0" w:line="240" w:lineRule="auto"/>
      </w:pPr>
      <w:r>
        <w:continuationSeparator/>
      </w:r>
    </w:p>
  </w:footnote>
  <w:footnote w:id="1">
    <w:p w14:paraId="0A914043" w14:textId="4C853087" w:rsidR="00A251E8" w:rsidRPr="00A251E8" w:rsidRDefault="00A251E8" w:rsidP="00A251E8">
      <w:pPr>
        <w:spacing w:after="120" w:line="240" w:lineRule="auto"/>
        <w:jc w:val="both"/>
        <w:rPr>
          <w:rFonts w:cs="Times New Roman"/>
          <w:sz w:val="20"/>
          <w:szCs w:val="20"/>
          <w:lang w:val="pl-PL"/>
        </w:rPr>
      </w:pPr>
      <w:r w:rsidRPr="00A251E8">
        <w:rPr>
          <w:rStyle w:val="Odwoanieprzypisudolnego"/>
          <w:sz w:val="20"/>
          <w:szCs w:val="20"/>
        </w:rPr>
        <w:footnoteRef/>
      </w:r>
      <w:r w:rsidRPr="00A251E8">
        <w:rPr>
          <w:sz w:val="20"/>
          <w:szCs w:val="20"/>
          <w:lang w:val="pl-PL"/>
        </w:rPr>
        <w:t xml:space="preserve"> Konwencja o ochronie praw człowieka i podstawowych wolności </w:t>
      </w:r>
      <w:r w:rsidRPr="00A251E8">
        <w:rPr>
          <w:rFonts w:cs="Times New Roman"/>
          <w:sz w:val="20"/>
          <w:szCs w:val="20"/>
          <w:lang w:val="pl-PL"/>
        </w:rPr>
        <w:t>sporządzona w Rzymie 4 listopada 1950 r. (Dz.U. 1993, nr 61, poz. 284)</w:t>
      </w:r>
      <w:r>
        <w:rPr>
          <w:rFonts w:cs="Times New Roman"/>
          <w:sz w:val="20"/>
          <w:szCs w:val="20"/>
          <w:lang w:val="pl-PL"/>
        </w:rPr>
        <w:t>, dalej jako EKPC</w:t>
      </w:r>
      <w:r w:rsidRPr="00A251E8">
        <w:rPr>
          <w:rFonts w:cs="Times New Roman"/>
          <w:sz w:val="20"/>
          <w:szCs w:val="20"/>
          <w:lang w:val="pl-PL"/>
        </w:rPr>
        <w:t>.</w:t>
      </w:r>
    </w:p>
  </w:footnote>
  <w:footnote w:id="2">
    <w:p w14:paraId="18635434" w14:textId="014F96A7" w:rsidR="00D71A77" w:rsidRPr="004E7C1B" w:rsidRDefault="00D71A77" w:rsidP="00D71A77">
      <w:pPr>
        <w:pStyle w:val="Tekstprzypisudolnego"/>
        <w:jc w:val="both"/>
      </w:pPr>
      <w:r>
        <w:rPr>
          <w:rStyle w:val="Odwoanieprzypisudolnego"/>
          <w:rFonts w:eastAsiaTheme="majorEastAsia"/>
        </w:rPr>
        <w:footnoteRef/>
      </w:r>
      <w:r w:rsidRPr="004E7C1B">
        <w:t xml:space="preserve"> Wyroki </w:t>
      </w:r>
      <w:proofErr w:type="spellStart"/>
      <w:r w:rsidRPr="004E7C1B">
        <w:t>Cour</w:t>
      </w:r>
      <w:proofErr w:type="spellEnd"/>
      <w:r w:rsidRPr="004E7C1B">
        <w:t xml:space="preserve"> de </w:t>
      </w:r>
      <w:proofErr w:type="spellStart"/>
      <w:r w:rsidRPr="004E7C1B">
        <w:t>cassation</w:t>
      </w:r>
      <w:proofErr w:type="spellEnd"/>
      <w:r w:rsidRPr="004E7C1B">
        <w:t xml:space="preserve"> 2e civ: z 8</w:t>
      </w:r>
      <w:r>
        <w:t>.10.</w:t>
      </w:r>
      <w:r w:rsidRPr="004E7C1B">
        <w:t xml:space="preserve">1964 r., Bull. civ. II no 599 (odmowa dzielenia </w:t>
      </w:r>
      <w:r>
        <w:t>łoża przez męża)</w:t>
      </w:r>
      <w:r w:rsidR="00A1413E">
        <w:t xml:space="preserve"> </w:t>
      </w:r>
      <w:hyperlink r:id="rId1" w:history="1">
        <w:r w:rsidR="00A1413E" w:rsidRPr="00734EE3">
          <w:rPr>
            <w:rStyle w:val="Hipercze"/>
          </w:rPr>
          <w:t>https://www.legifrance.gouv.fr/juri/id/JURITEXT000006967306</w:t>
        </w:r>
      </w:hyperlink>
      <w:r w:rsidR="00A1413E" w:rsidRPr="004E7C1B">
        <w:t xml:space="preserve"> (dostęp: </w:t>
      </w:r>
      <w:r w:rsidR="00A1413E">
        <w:t>1</w:t>
      </w:r>
      <w:r w:rsidR="00A1413E" w:rsidRPr="004E7C1B">
        <w:t>.0</w:t>
      </w:r>
      <w:r w:rsidR="00A1413E">
        <w:t>9</w:t>
      </w:r>
      <w:r w:rsidR="00A1413E" w:rsidRPr="004E7C1B">
        <w:t>.2025)</w:t>
      </w:r>
      <w:r>
        <w:t>;</w:t>
      </w:r>
      <w:r w:rsidRPr="004E7C1B">
        <w:t xml:space="preserve"> z 27</w:t>
      </w:r>
      <w:r>
        <w:t xml:space="preserve">.01. </w:t>
      </w:r>
      <w:r w:rsidRPr="004E7C1B">
        <w:t>1971 r., Bull. civ. II no 27</w:t>
      </w:r>
      <w:r w:rsidR="00A1413E">
        <w:t xml:space="preserve"> </w:t>
      </w:r>
      <w:hyperlink r:id="rId2" w:history="1">
        <w:r w:rsidR="00A1413E" w:rsidRPr="00734EE3">
          <w:rPr>
            <w:rStyle w:val="Hipercze"/>
          </w:rPr>
          <w:t>https://www.legifrance.gouv.fr/juri/id/JURITEXT000006984384</w:t>
        </w:r>
      </w:hyperlink>
      <w:r w:rsidR="00A1413E">
        <w:t xml:space="preserve"> (dostęp: 1.09.2025)</w:t>
      </w:r>
      <w:r>
        <w:t>; z</w:t>
      </w:r>
      <w:r w:rsidRPr="004E7C1B">
        <w:t xml:space="preserve"> 23</w:t>
      </w:r>
      <w:r>
        <w:t>.04.</w:t>
      </w:r>
      <w:r w:rsidRPr="004E7C1B">
        <w:t>1975 r., Bull. civ. II no 114</w:t>
      </w:r>
      <w:r>
        <w:t>,;</w:t>
      </w:r>
      <w:r w:rsidRPr="004E7C1B">
        <w:t xml:space="preserve"> z 17</w:t>
      </w:r>
      <w:r>
        <w:t>.12.</w:t>
      </w:r>
      <w:r w:rsidRPr="004E7C1B">
        <w:t>1997 r., no 96-15.704</w:t>
      </w:r>
      <w:r w:rsidR="00A1413E">
        <w:t xml:space="preserve">, , </w:t>
      </w:r>
      <w:hyperlink r:id="rId3" w:history="1">
        <w:r w:rsidR="00A1413E" w:rsidRPr="00734EE3">
          <w:rPr>
            <w:rStyle w:val="Hipercze"/>
          </w:rPr>
          <w:t>https://www.legifrance.gouv.fr/juri/id/JURITEXT000007363333</w:t>
        </w:r>
      </w:hyperlink>
      <w:r w:rsidR="00A1413E">
        <w:t xml:space="preserve"> (dostęp: 1.09.2025)</w:t>
      </w:r>
      <w:r w:rsidR="00A1413E" w:rsidRPr="004E7C1B">
        <w:t>.</w:t>
      </w:r>
      <w:r w:rsidRPr="004E7C1B">
        <w:t>.</w:t>
      </w:r>
    </w:p>
  </w:footnote>
  <w:footnote w:id="3">
    <w:p w14:paraId="35A21A0B" w14:textId="77777777" w:rsidR="00D71A77" w:rsidRDefault="00D71A77" w:rsidP="00D71A77">
      <w:pPr>
        <w:pStyle w:val="Tekstprzypisudolnego"/>
        <w:jc w:val="both"/>
      </w:pPr>
      <w:r>
        <w:rPr>
          <w:rStyle w:val="Odwoanieprzypisudolnego"/>
          <w:rFonts w:eastAsiaTheme="majorEastAsia"/>
        </w:rPr>
        <w:footnoteRef/>
      </w:r>
      <w:r>
        <w:t xml:space="preserve"> Punkt 25 wyroku ETPC z 23.01.2025 r., skarga 13805/21, HW przeciwko Francji.</w:t>
      </w:r>
    </w:p>
  </w:footnote>
  <w:footnote w:id="4">
    <w:p w14:paraId="26CDF8F5" w14:textId="5B7EF75A" w:rsidR="00D71A77" w:rsidRPr="00D666D9" w:rsidRDefault="00D71A77" w:rsidP="00D71A77">
      <w:pPr>
        <w:pStyle w:val="Tekstprzypisudolnego"/>
        <w:jc w:val="both"/>
        <w:rPr>
          <w:lang w:val="fr-FR"/>
        </w:rPr>
      </w:pPr>
      <w:r>
        <w:rPr>
          <w:rStyle w:val="Odwoanieprzypisudolnego"/>
          <w:rFonts w:eastAsiaTheme="majorEastAsia"/>
        </w:rPr>
        <w:footnoteRef/>
      </w:r>
      <w:r w:rsidRPr="00D666D9">
        <w:rPr>
          <w:lang w:val="fr-FR"/>
        </w:rPr>
        <w:t xml:space="preserve"> Wyrok Cour de cassation (1re civ.) z 1</w:t>
      </w:r>
      <w:r>
        <w:rPr>
          <w:lang w:val="fr-FR"/>
        </w:rPr>
        <w:t>.02.</w:t>
      </w:r>
      <w:r w:rsidRPr="00D666D9">
        <w:rPr>
          <w:lang w:val="fr-FR"/>
        </w:rPr>
        <w:t>2012 r., 11-14.822</w:t>
      </w:r>
      <w:r w:rsidR="00A1413E">
        <w:rPr>
          <w:lang w:val="fr-FR"/>
        </w:rPr>
        <w:t xml:space="preserve">, </w:t>
      </w:r>
      <w:hyperlink r:id="rId4" w:history="1">
        <w:r w:rsidR="00A1413E" w:rsidRPr="00D666D9">
          <w:rPr>
            <w:rStyle w:val="Hipercze"/>
            <w:lang w:val="fr-FR"/>
          </w:rPr>
          <w:t>https://www.legifrance.gouv.fr/juri/id/JURITEXT000025288459</w:t>
        </w:r>
      </w:hyperlink>
      <w:r w:rsidR="00A1413E" w:rsidRPr="00D666D9">
        <w:rPr>
          <w:lang w:val="fr-FR"/>
        </w:rPr>
        <w:t xml:space="preserve"> (dostęp: 1.0</w:t>
      </w:r>
      <w:r w:rsidR="00A1413E">
        <w:rPr>
          <w:lang w:val="fr-FR"/>
        </w:rPr>
        <w:t>9</w:t>
      </w:r>
      <w:r w:rsidR="00A1413E" w:rsidRPr="00D666D9">
        <w:rPr>
          <w:lang w:val="fr-FR"/>
        </w:rPr>
        <w:t>.2025).</w:t>
      </w:r>
      <w:r w:rsidRPr="00D666D9">
        <w:rPr>
          <w:lang w:val="fr-FR"/>
        </w:rPr>
        <w:t>.</w:t>
      </w:r>
    </w:p>
  </w:footnote>
  <w:footnote w:id="5">
    <w:p w14:paraId="46D48421" w14:textId="208010C2" w:rsidR="00D71A77" w:rsidRDefault="00D71A77" w:rsidP="00D71A77">
      <w:pPr>
        <w:pStyle w:val="Tekstprzypisudolnego"/>
        <w:jc w:val="both"/>
      </w:pPr>
      <w:r>
        <w:rPr>
          <w:rStyle w:val="Odwoanieprzypisudolnego"/>
        </w:rPr>
        <w:footnoteRef/>
      </w:r>
      <w:r>
        <w:t xml:space="preserve"> </w:t>
      </w:r>
      <w:r w:rsidRPr="003F6492">
        <w:t xml:space="preserve">Wyrok </w:t>
      </w:r>
      <w:proofErr w:type="spellStart"/>
      <w:r w:rsidRPr="003F6492">
        <w:t>Cour</w:t>
      </w:r>
      <w:proofErr w:type="spellEnd"/>
      <w:r w:rsidRPr="003F6492">
        <w:t xml:space="preserve"> </w:t>
      </w:r>
      <w:proofErr w:type="spellStart"/>
      <w:r w:rsidRPr="003F6492">
        <w:t>d’appel</w:t>
      </w:r>
      <w:proofErr w:type="spellEnd"/>
      <w:r w:rsidRPr="003F6492">
        <w:t xml:space="preserve"> </w:t>
      </w:r>
      <w:proofErr w:type="spellStart"/>
      <w:r w:rsidRPr="003F6492">
        <w:t>d’Aix</w:t>
      </w:r>
      <w:proofErr w:type="spellEnd"/>
      <w:r w:rsidRPr="003F6492">
        <w:t>-en-Provence z 3</w:t>
      </w:r>
      <w:r>
        <w:t>.05.</w:t>
      </w:r>
      <w:r w:rsidRPr="003F6492">
        <w:t>2011</w:t>
      </w:r>
      <w:r>
        <w:t xml:space="preserve"> r.</w:t>
      </w:r>
      <w:r w:rsidRPr="003F6492">
        <w:t>,</w:t>
      </w:r>
      <w:r>
        <w:t xml:space="preserve"> </w:t>
      </w:r>
      <w:r w:rsidRPr="003F6492">
        <w:t>2011/292</w:t>
      </w:r>
      <w:r w:rsidR="00A1413E">
        <w:t xml:space="preserve"> </w:t>
      </w:r>
      <w:hyperlink r:id="rId5" w:history="1">
        <w:r w:rsidR="00A1413E" w:rsidRPr="003F6492">
          <w:rPr>
            <w:rStyle w:val="Hipercze"/>
          </w:rPr>
          <w:t>https://actu.dalloz-etudiant.fr/fileadmin/actualites/pdfs/SEPTEMBRE_2011/arret_devoir_conjugal.txt.pdf</w:t>
        </w:r>
      </w:hyperlink>
      <w:r w:rsidR="00A1413E" w:rsidRPr="003F6492">
        <w:t xml:space="preserve"> (dostę</w:t>
      </w:r>
      <w:r w:rsidR="00A1413E">
        <w:t>p: 1.09.2025)</w:t>
      </w:r>
      <w:r>
        <w:t xml:space="preserve">. W sprawie tej przyznano żonie odszkodowanie </w:t>
      </w:r>
      <w:r w:rsidRPr="00347824">
        <w:t>10</w:t>
      </w:r>
      <w:r>
        <w:t> </w:t>
      </w:r>
      <w:r w:rsidRPr="00347824">
        <w:t>000 euro za brak pożycia fizycznego przez kilka lat. Sąd wskazał, że „oczekiwania żony były o tyle uzasadnione, że relacje seksualne między małżonkami są w szczególności wyrazem ich wzajemnego uczucia, a jednocześnie wpisują się w ciągłość obowiązków wynikających z małżeństwa”</w:t>
      </w:r>
    </w:p>
  </w:footnote>
  <w:footnote w:id="6">
    <w:p w14:paraId="61DDB782" w14:textId="77777777" w:rsidR="00D71A77" w:rsidRPr="004C5284" w:rsidRDefault="00D71A77" w:rsidP="00D71A77">
      <w:pPr>
        <w:pStyle w:val="Tekstprzypisudolnego"/>
        <w:rPr>
          <w:lang w:val="it-IT"/>
        </w:rPr>
      </w:pPr>
      <w:r w:rsidRPr="00C90B53">
        <w:rPr>
          <w:rStyle w:val="Odwoanieprzypisudolnego"/>
          <w:rFonts w:eastAsiaTheme="majorEastAsia"/>
        </w:rPr>
        <w:footnoteRef/>
      </w:r>
      <w:r w:rsidRPr="004C5284">
        <w:rPr>
          <w:lang w:val="it-IT"/>
        </w:rPr>
        <w:t xml:space="preserve"> R. Letteron, </w:t>
      </w:r>
      <w:r w:rsidRPr="004C5284">
        <w:rPr>
          <w:i/>
          <w:iCs/>
          <w:lang w:val="it-IT"/>
        </w:rPr>
        <w:t>La communauté de lit devant la CEDH</w:t>
      </w:r>
      <w:r w:rsidRPr="004C5284">
        <w:rPr>
          <w:lang w:val="it-IT"/>
        </w:rPr>
        <w:t xml:space="preserve">, 28.01.2025, </w:t>
      </w:r>
      <w:hyperlink r:id="rId6" w:history="1">
        <w:r w:rsidRPr="00BD75FD">
          <w:rPr>
            <w:rStyle w:val="Hipercze"/>
            <w:lang w:val="it-IT"/>
          </w:rPr>
          <w:t>https://libertescheries.blogspot.com/2025/01/la-communaute-de-lit-devant-la-cedh.html</w:t>
        </w:r>
      </w:hyperlink>
      <w:r w:rsidRPr="004C5284">
        <w:rPr>
          <w:lang w:val="it-IT"/>
        </w:rPr>
        <w:t xml:space="preserve"> (dostęp: 1.0</w:t>
      </w:r>
      <w:r>
        <w:rPr>
          <w:lang w:val="it-IT"/>
        </w:rPr>
        <w:t>9</w:t>
      </w:r>
      <w:r w:rsidRPr="004C5284">
        <w:rPr>
          <w:lang w:val="it-IT"/>
        </w:rPr>
        <w:t>.2025).</w:t>
      </w:r>
    </w:p>
  </w:footnote>
  <w:footnote w:id="7">
    <w:p w14:paraId="11D5E80C" w14:textId="77777777" w:rsidR="00D71A77" w:rsidRPr="007E2A76" w:rsidRDefault="00D71A77" w:rsidP="00D71A77">
      <w:pPr>
        <w:pStyle w:val="Tekstprzypisudolnego"/>
        <w:rPr>
          <w:lang w:val="en-US"/>
        </w:rPr>
      </w:pPr>
      <w:r>
        <w:rPr>
          <w:rStyle w:val="Odwoanieprzypisudolnego"/>
          <w:rFonts w:eastAsiaTheme="majorEastAsia"/>
        </w:rPr>
        <w:footnoteRef/>
      </w:r>
      <w:r w:rsidRPr="007E2A76">
        <w:rPr>
          <w:lang w:val="en-US"/>
        </w:rPr>
        <w:t xml:space="preserve"> Ibidem.</w:t>
      </w:r>
    </w:p>
  </w:footnote>
  <w:footnote w:id="8">
    <w:p w14:paraId="540144C4" w14:textId="0C49F7D0" w:rsidR="00A251E8" w:rsidRPr="00A251E8" w:rsidRDefault="00A251E8" w:rsidP="00A251E8">
      <w:pPr>
        <w:pStyle w:val="Tekstprzypisudolnego"/>
        <w:jc w:val="both"/>
        <w:rPr>
          <w:lang w:val="en-US"/>
        </w:rPr>
      </w:pPr>
      <w:r>
        <w:rPr>
          <w:rStyle w:val="Odwoanieprzypisudolnego"/>
        </w:rPr>
        <w:footnoteRef/>
      </w:r>
      <w:r w:rsidRPr="00A251E8">
        <w:rPr>
          <w:lang w:val="en-US"/>
        </w:rPr>
        <w:t xml:space="preserve"> M.-C. </w:t>
      </w:r>
      <w:proofErr w:type="spellStart"/>
      <w:r w:rsidRPr="00A251E8">
        <w:rPr>
          <w:lang w:val="en-US"/>
        </w:rPr>
        <w:t>Meyzeaud-Garaud</w:t>
      </w:r>
      <w:proofErr w:type="spellEnd"/>
      <w:r w:rsidRPr="00A251E8">
        <w:rPr>
          <w:lang w:val="en-US"/>
        </w:rPr>
        <w:t xml:space="preserve">, </w:t>
      </w:r>
      <w:r w:rsidRPr="00A251E8">
        <w:rPr>
          <w:i/>
          <w:iCs/>
          <w:lang w:val="en-US"/>
        </w:rPr>
        <w:t xml:space="preserve">La </w:t>
      </w:r>
      <w:proofErr w:type="spellStart"/>
      <w:r w:rsidRPr="00A251E8">
        <w:rPr>
          <w:i/>
          <w:iCs/>
          <w:lang w:val="en-US"/>
        </w:rPr>
        <w:t>Cour</w:t>
      </w:r>
      <w:proofErr w:type="spellEnd"/>
      <w:r w:rsidRPr="00A251E8">
        <w:rPr>
          <w:i/>
          <w:iCs/>
          <w:lang w:val="en-US"/>
        </w:rPr>
        <w:t xml:space="preserve"> EDH </w:t>
      </w:r>
      <w:proofErr w:type="spellStart"/>
      <w:r w:rsidRPr="00A251E8">
        <w:rPr>
          <w:i/>
          <w:iCs/>
          <w:lang w:val="en-US"/>
        </w:rPr>
        <w:t>conjugue</w:t>
      </w:r>
      <w:proofErr w:type="spellEnd"/>
      <w:r w:rsidRPr="00A251E8">
        <w:rPr>
          <w:i/>
          <w:iCs/>
          <w:lang w:val="en-US"/>
        </w:rPr>
        <w:t xml:space="preserve"> au passé le devoir conjugal</w:t>
      </w:r>
      <w:r w:rsidRPr="00A251E8">
        <w:rPr>
          <w:lang w:val="en-US"/>
        </w:rPr>
        <w:t xml:space="preserve">, 2025, </w:t>
      </w:r>
      <w:hyperlink r:id="rId7" w:history="1">
        <w:r w:rsidRPr="00487859">
          <w:rPr>
            <w:rStyle w:val="Hipercze"/>
            <w:lang w:val="en-US"/>
          </w:rPr>
          <w:t>https://www.unilim.fr/omij/wp-content/uploads/sites/9/2025/05/43.-La-Cour-EDH-conjugue-au-passe-le-devoir-conjugal.pdf</w:t>
        </w:r>
      </w:hyperlink>
      <w:r>
        <w:rPr>
          <w:lang w:val="en-US"/>
        </w:rPr>
        <w:t xml:space="preserve"> (</w:t>
      </w:r>
      <w:proofErr w:type="spellStart"/>
      <w:r>
        <w:rPr>
          <w:lang w:val="en-US"/>
        </w:rPr>
        <w:t>dostęp</w:t>
      </w:r>
      <w:proofErr w:type="spellEnd"/>
      <w:r>
        <w:rPr>
          <w:lang w:val="en-US"/>
        </w:rPr>
        <w:t>: 1.09.2025).</w:t>
      </w:r>
    </w:p>
  </w:footnote>
  <w:footnote w:id="9">
    <w:p w14:paraId="5633C476" w14:textId="77777777" w:rsidR="00D71A77" w:rsidRDefault="00D71A77" w:rsidP="00D71A77">
      <w:pPr>
        <w:pStyle w:val="Tekstprzypisudolnego"/>
      </w:pPr>
      <w:r>
        <w:rPr>
          <w:rStyle w:val="Odwoanieprzypisudolnego"/>
        </w:rPr>
        <w:footnoteRef/>
      </w:r>
      <w:r>
        <w:t xml:space="preserve"> J.S. </w:t>
      </w:r>
      <w:proofErr w:type="spellStart"/>
      <w:r>
        <w:t>Piątowski</w:t>
      </w:r>
      <w:proofErr w:type="spellEnd"/>
      <w:r>
        <w:t xml:space="preserve">, </w:t>
      </w:r>
      <w:r>
        <w:rPr>
          <w:i/>
          <w:iCs/>
        </w:rPr>
        <w:t>Prawa i obowiązki niemajątkowe</w:t>
      </w:r>
      <w:r>
        <w:t xml:space="preserve">, [w:] </w:t>
      </w:r>
      <w:proofErr w:type="spellStart"/>
      <w:r w:rsidRPr="00996E30">
        <w:rPr>
          <w:i/>
          <w:iCs/>
        </w:rPr>
        <w:t>idem</w:t>
      </w:r>
      <w:proofErr w:type="spellEnd"/>
      <w:r>
        <w:t xml:space="preserve"> (red.), </w:t>
      </w:r>
      <w:r>
        <w:rPr>
          <w:i/>
          <w:iCs/>
        </w:rPr>
        <w:t>System prawa rodzinnego i opiekuńczego</w:t>
      </w:r>
      <w:r>
        <w:t xml:space="preserve">, Wrocław Warszawa–Kraków–Gdańsk–Łódź 1985, s. 228. </w:t>
      </w:r>
    </w:p>
  </w:footnote>
  <w:footnote w:id="10">
    <w:p w14:paraId="1B04D43C" w14:textId="77777777" w:rsidR="00D71A77" w:rsidRDefault="00D71A77" w:rsidP="00D71A77">
      <w:pPr>
        <w:pStyle w:val="Tekstprzypisudolnego"/>
      </w:pPr>
      <w:r>
        <w:rPr>
          <w:rStyle w:val="Odwoanieprzypisudolnego"/>
          <w:rFonts w:eastAsiaTheme="majorEastAsia"/>
        </w:rPr>
        <w:footnoteRef/>
      </w:r>
      <w:r>
        <w:t xml:space="preserve"> T. Smyczyński, </w:t>
      </w:r>
      <w:r>
        <w:rPr>
          <w:i/>
          <w:iCs/>
        </w:rPr>
        <w:t>Prawa i obowiązki małżonków</w:t>
      </w:r>
      <w:r>
        <w:t>,</w:t>
      </w:r>
      <w:r>
        <w:rPr>
          <w:i/>
          <w:iCs/>
        </w:rPr>
        <w:t xml:space="preserve"> </w:t>
      </w:r>
      <w:r>
        <w:t xml:space="preserve">[w:] </w:t>
      </w:r>
      <w:r>
        <w:rPr>
          <w:i/>
          <w:iCs/>
        </w:rPr>
        <w:t>System Prawa Prywatnego. Prawo rodzinne i opiekuńcze. Tom 11</w:t>
      </w:r>
      <w:r w:rsidRPr="00996E30">
        <w:t xml:space="preserve">, </w:t>
      </w:r>
      <w:r>
        <w:t>Warszawa 2014, s. 218.</w:t>
      </w:r>
    </w:p>
  </w:footnote>
  <w:footnote w:id="11">
    <w:p w14:paraId="234ED4D2" w14:textId="77777777" w:rsidR="00D71A77" w:rsidRDefault="00D71A77" w:rsidP="00D71A77">
      <w:pPr>
        <w:pStyle w:val="Tekstprzypisudolnego"/>
      </w:pPr>
      <w:r>
        <w:rPr>
          <w:rStyle w:val="Odwoanieprzypisudolnego"/>
        </w:rPr>
        <w:footnoteRef/>
      </w:r>
      <w:r>
        <w:t xml:space="preserve"> Wyrok SN z 25.08.2004 r., IV CK 609/03, OSNC 2005, nr 7–8, poz. 139, wyrok SA w Katowicach z 11.03.2010 r., I </w:t>
      </w:r>
      <w:proofErr w:type="spellStart"/>
      <w:r>
        <w:t>ACa</w:t>
      </w:r>
      <w:proofErr w:type="spellEnd"/>
      <w:r>
        <w:t xml:space="preserve"> 46/10, LEX nr 1120372.</w:t>
      </w:r>
    </w:p>
  </w:footnote>
  <w:footnote w:id="12">
    <w:p w14:paraId="224739A8" w14:textId="500A0E98" w:rsidR="00D71A77" w:rsidRPr="005D1EF9" w:rsidRDefault="00D71A77" w:rsidP="00D71A77">
      <w:pPr>
        <w:pStyle w:val="Tekstprzypisudolnego"/>
        <w:jc w:val="both"/>
      </w:pPr>
      <w:r>
        <w:rPr>
          <w:rStyle w:val="Odwoanieprzypisudolnego"/>
          <w:rFonts w:eastAsiaTheme="majorEastAsia"/>
        </w:rPr>
        <w:footnoteRef/>
      </w:r>
      <w:r w:rsidRPr="005D1EF9">
        <w:t xml:space="preserve"> Kwestia rozważana w wyroku </w:t>
      </w:r>
      <w:proofErr w:type="spellStart"/>
      <w:r w:rsidRPr="005D1EF9">
        <w:t>Cour</w:t>
      </w:r>
      <w:proofErr w:type="spellEnd"/>
      <w:r w:rsidRPr="005D1EF9">
        <w:t xml:space="preserve"> </w:t>
      </w:r>
      <w:proofErr w:type="spellStart"/>
      <w:r w:rsidRPr="005D1EF9">
        <w:t>d’appel</w:t>
      </w:r>
      <w:proofErr w:type="spellEnd"/>
      <w:r w:rsidRPr="005D1EF9">
        <w:t xml:space="preserve"> </w:t>
      </w:r>
      <w:proofErr w:type="spellStart"/>
      <w:r w:rsidRPr="005D1EF9">
        <w:t>d’Aix</w:t>
      </w:r>
      <w:proofErr w:type="spellEnd"/>
      <w:r w:rsidRPr="005D1EF9">
        <w:t>-en-Provence z</w:t>
      </w:r>
      <w:r>
        <w:t xml:space="preserve"> </w:t>
      </w:r>
      <w:r w:rsidRPr="005D1EF9">
        <w:t>16</w:t>
      </w:r>
      <w:r>
        <w:t>.06.</w:t>
      </w:r>
      <w:r w:rsidRPr="005D1EF9">
        <w:t>2016</w:t>
      </w:r>
      <w:r>
        <w:t xml:space="preserve"> r.</w:t>
      </w:r>
      <w:r w:rsidRPr="005D1EF9">
        <w:t xml:space="preserve">, 15/20713 utrzymanym w tym zakresie w ramach kontroli kasacyjnej przez </w:t>
      </w:r>
      <w:proofErr w:type="spellStart"/>
      <w:r w:rsidRPr="005D1EF9">
        <w:t>Cour</w:t>
      </w:r>
      <w:proofErr w:type="spellEnd"/>
      <w:r w:rsidRPr="005D1EF9">
        <w:t xml:space="preserve"> de </w:t>
      </w:r>
      <w:proofErr w:type="spellStart"/>
      <w:r w:rsidRPr="005D1EF9">
        <w:t>cassation</w:t>
      </w:r>
      <w:proofErr w:type="spellEnd"/>
      <w:r>
        <w:t xml:space="preserve"> </w:t>
      </w:r>
      <w:r w:rsidRPr="009278FD">
        <w:t>(1re civ.)</w:t>
      </w:r>
      <w:r w:rsidRPr="005D1EF9">
        <w:t xml:space="preserve"> wyrokiem z 27</w:t>
      </w:r>
      <w:r>
        <w:t>.09.</w:t>
      </w:r>
      <w:r w:rsidRPr="005D1EF9">
        <w:t>2017</w:t>
      </w:r>
      <w:r>
        <w:t xml:space="preserve"> r.</w:t>
      </w:r>
      <w:r w:rsidRPr="005D1EF9">
        <w:t>, 16-22240</w:t>
      </w:r>
      <w:r w:rsidR="002F1FC7">
        <w:t xml:space="preserve"> </w:t>
      </w:r>
      <w:hyperlink r:id="rId8" w:history="1">
        <w:r w:rsidR="002F1FC7" w:rsidRPr="00E969F2">
          <w:rPr>
            <w:rStyle w:val="Hipercze"/>
          </w:rPr>
          <w:t>https://juricaf.org/arret/FRANCE-COURDECASSATION-20170927-1622240</w:t>
        </w:r>
      </w:hyperlink>
      <w:r w:rsidR="002F1FC7">
        <w:t xml:space="preserve"> (dostęp: 1.09.2025)</w:t>
      </w:r>
      <w:r>
        <w:t xml:space="preserve">. </w:t>
      </w:r>
    </w:p>
  </w:footnote>
  <w:footnote w:id="13">
    <w:p w14:paraId="217BB2CE" w14:textId="61C2467A" w:rsidR="00D71A77" w:rsidRPr="00D42D1D" w:rsidRDefault="00D71A77" w:rsidP="00D71A77">
      <w:pPr>
        <w:pStyle w:val="Tekstprzypisudolnego"/>
        <w:jc w:val="both"/>
      </w:pPr>
      <w:r>
        <w:rPr>
          <w:rStyle w:val="Odwoanieprzypisudolnego"/>
          <w:rFonts w:eastAsiaTheme="majorEastAsia"/>
        </w:rPr>
        <w:footnoteRef/>
      </w:r>
      <w:r w:rsidRPr="0071571E">
        <w:rPr>
          <w:lang w:val="en-US"/>
        </w:rPr>
        <w:t xml:space="preserve"> </w:t>
      </w:r>
      <w:proofErr w:type="spellStart"/>
      <w:r w:rsidRPr="0071571E">
        <w:rPr>
          <w:lang w:val="en-US"/>
        </w:rPr>
        <w:t>Wyrok</w:t>
      </w:r>
      <w:proofErr w:type="spellEnd"/>
      <w:r w:rsidRPr="0071571E">
        <w:rPr>
          <w:lang w:val="en-US"/>
        </w:rPr>
        <w:t xml:space="preserve"> </w:t>
      </w:r>
      <w:proofErr w:type="spellStart"/>
      <w:r w:rsidRPr="0071571E">
        <w:rPr>
          <w:lang w:val="en-US"/>
        </w:rPr>
        <w:t>Cour</w:t>
      </w:r>
      <w:proofErr w:type="spellEnd"/>
      <w:r w:rsidRPr="0071571E">
        <w:rPr>
          <w:lang w:val="en-US"/>
        </w:rPr>
        <w:t xml:space="preserve"> de cassation (1re civ.) z 15.05.2013 </w:t>
      </w:r>
      <w:r>
        <w:rPr>
          <w:lang w:val="en-US"/>
        </w:rPr>
        <w:t>r.</w:t>
      </w:r>
      <w:r w:rsidRPr="0071571E">
        <w:rPr>
          <w:lang w:val="en-US"/>
        </w:rPr>
        <w:t>, 11-27121</w:t>
      </w:r>
      <w:r w:rsidR="002F1FC7">
        <w:rPr>
          <w:lang w:val="en-US"/>
        </w:rPr>
        <w:t xml:space="preserve"> </w:t>
      </w:r>
      <w:hyperlink r:id="rId9" w:history="1">
        <w:r w:rsidR="002F1FC7" w:rsidRPr="002F1FC7">
          <w:rPr>
            <w:rStyle w:val="Hipercze"/>
            <w:lang w:val="en-US"/>
          </w:rPr>
          <w:t>https://juricaf.org/arret/FRANCE-COURDECASSATION-20130515-1127121</w:t>
        </w:r>
      </w:hyperlink>
      <w:r w:rsidR="002F1FC7" w:rsidRPr="002F1FC7">
        <w:rPr>
          <w:lang w:val="en-US"/>
        </w:rPr>
        <w:t xml:space="preserve"> (</w:t>
      </w:r>
      <w:proofErr w:type="spellStart"/>
      <w:r w:rsidR="002F1FC7" w:rsidRPr="002F1FC7">
        <w:rPr>
          <w:lang w:val="en-US"/>
        </w:rPr>
        <w:t>dostęp</w:t>
      </w:r>
      <w:proofErr w:type="spellEnd"/>
      <w:r w:rsidR="002F1FC7" w:rsidRPr="002F1FC7">
        <w:rPr>
          <w:lang w:val="en-US"/>
        </w:rPr>
        <w:t>: 1.0</w:t>
      </w:r>
      <w:r w:rsidR="002F1FC7">
        <w:rPr>
          <w:lang w:val="en-US"/>
        </w:rPr>
        <w:t>9</w:t>
      </w:r>
      <w:r w:rsidR="002F1FC7" w:rsidRPr="002F1FC7">
        <w:rPr>
          <w:lang w:val="en-US"/>
        </w:rPr>
        <w:t>.2025)</w:t>
      </w:r>
      <w:r w:rsidRPr="0071571E">
        <w:rPr>
          <w:lang w:val="en-US"/>
        </w:rPr>
        <w:t xml:space="preserve">. </w:t>
      </w:r>
      <w:r w:rsidR="002F1FC7" w:rsidRPr="002F1FC7">
        <w:t>Są</w:t>
      </w:r>
      <w:r w:rsidR="002F1FC7">
        <w:t xml:space="preserve">d </w:t>
      </w:r>
      <w:r w:rsidRPr="00D42D1D">
        <w:t>uzna</w:t>
      </w:r>
      <w:r w:rsidR="002F1FC7">
        <w:t>ł</w:t>
      </w:r>
      <w:r w:rsidRPr="00D42D1D">
        <w:t xml:space="preserve"> za usprawiedliwioną odmowę pożycia ze strony ż</w:t>
      </w:r>
      <w:r>
        <w:t xml:space="preserve">ony ze względu na brak higieny męża, który w mieszkaniu hodował myszy i szczury. </w:t>
      </w:r>
    </w:p>
  </w:footnote>
  <w:footnote w:id="14">
    <w:p w14:paraId="21875B56" w14:textId="77777777" w:rsidR="00D71A77" w:rsidRPr="00D42D1D" w:rsidRDefault="00D71A77" w:rsidP="00D71A77">
      <w:pPr>
        <w:pStyle w:val="Tekstprzypisudolnego"/>
        <w:jc w:val="both"/>
      </w:pPr>
      <w:r>
        <w:rPr>
          <w:rStyle w:val="Odwoanieprzypisudolnego"/>
          <w:rFonts w:eastAsiaTheme="majorEastAsia"/>
        </w:rPr>
        <w:footnoteRef/>
      </w:r>
      <w:r w:rsidRPr="00796F1E">
        <w:t xml:space="preserve"> </w:t>
      </w:r>
      <w:r>
        <w:t>Tamże</w:t>
      </w:r>
      <w:r w:rsidRPr="00796F1E">
        <w:t xml:space="preserve">. </w:t>
      </w:r>
      <w:r w:rsidRPr="00D42D1D">
        <w:t>Łącznie okoliczności</w:t>
      </w:r>
      <w:r>
        <w:t xml:space="preserve"> te </w:t>
      </w:r>
      <w:r w:rsidRPr="00D42D1D">
        <w:t>o</w:t>
      </w:r>
      <w:r>
        <w:t>bejmowały: przemoc domową, nieustające konflikty z sąsiadami, brak higieny, hodowlę w mieszkaniu gryzoni, prowokacyjne zachowania wobec sąsiadów – wszystko to powodowało, że żona wstydziła się w relacjach społecznych męża, a w domu czuła uzasadnioną niechęć do zbliżeń.</w:t>
      </w:r>
    </w:p>
  </w:footnote>
  <w:footnote w:id="15">
    <w:p w14:paraId="60C7A531" w14:textId="078EB5BF" w:rsidR="00D71A77" w:rsidRPr="007E2A76" w:rsidRDefault="00D71A77" w:rsidP="00D71A77">
      <w:pPr>
        <w:pStyle w:val="Tekstprzypisudolnego"/>
        <w:rPr>
          <w:lang w:val="en-US"/>
        </w:rPr>
      </w:pPr>
      <w:r>
        <w:rPr>
          <w:rStyle w:val="Odwoanieprzypisudolnego"/>
          <w:rFonts w:eastAsiaTheme="majorEastAsia"/>
        </w:rPr>
        <w:footnoteRef/>
      </w:r>
      <w:r>
        <w:t xml:space="preserve"> Wyrok SN z 8</w:t>
      </w:r>
      <w:r w:rsidR="005E735B">
        <w:t>.04.</w:t>
      </w:r>
      <w:r w:rsidRPr="007E2A76">
        <w:rPr>
          <w:lang w:val="en-US"/>
        </w:rPr>
        <w:t>1999 r. II CKN 248/98, LEX nr 1212978.</w:t>
      </w:r>
    </w:p>
  </w:footnote>
  <w:footnote w:id="16">
    <w:p w14:paraId="6619366B" w14:textId="47BA5B42" w:rsidR="00D71A77" w:rsidRDefault="00D71A77" w:rsidP="00D71A77">
      <w:pPr>
        <w:pStyle w:val="Tekstprzypisudolnego"/>
      </w:pPr>
      <w:r>
        <w:rPr>
          <w:rStyle w:val="Odwoanieprzypisudolnego"/>
          <w:rFonts w:eastAsiaTheme="majorEastAsia"/>
        </w:rPr>
        <w:footnoteRef/>
      </w:r>
      <w:r>
        <w:t xml:space="preserve"> Orzeczenie SN z 2.05.1952 r., </w:t>
      </w:r>
      <w:r w:rsidRPr="00A835C8">
        <w:t xml:space="preserve">C 1096/51, </w:t>
      </w:r>
      <w:r w:rsidR="003819F4">
        <w:t>„</w:t>
      </w:r>
      <w:r w:rsidRPr="00A835C8">
        <w:t>N</w:t>
      </w:r>
      <w:r w:rsidR="003819F4">
        <w:t xml:space="preserve">owe </w:t>
      </w:r>
      <w:r w:rsidRPr="00A835C8">
        <w:t>P</w:t>
      </w:r>
      <w:r w:rsidR="003819F4">
        <w:t>rawo”</w:t>
      </w:r>
      <w:r w:rsidRPr="00A835C8">
        <w:t xml:space="preserve"> 1953, nr 5, s. 81</w:t>
      </w:r>
      <w:r>
        <w:t xml:space="preserve">. </w:t>
      </w:r>
    </w:p>
  </w:footnote>
  <w:footnote w:id="17">
    <w:p w14:paraId="70499D1B" w14:textId="77777777" w:rsidR="00D71A77" w:rsidRDefault="00D71A77" w:rsidP="00D71A77">
      <w:pPr>
        <w:pStyle w:val="Tekstprzypisudolnego"/>
      </w:pPr>
      <w:r>
        <w:rPr>
          <w:rStyle w:val="Odwoanieprzypisudolnego"/>
          <w:rFonts w:eastAsiaTheme="majorEastAsia"/>
        </w:rPr>
        <w:footnoteRef/>
      </w:r>
      <w:r>
        <w:t xml:space="preserve"> Orzeczenie SN z 15.11.1951 r., C 1003/51, </w:t>
      </w:r>
      <w:proofErr w:type="spellStart"/>
      <w:r>
        <w:t>Legalis</w:t>
      </w:r>
      <w:proofErr w:type="spellEnd"/>
      <w:r>
        <w:t xml:space="preserve"> nr 683918.</w:t>
      </w:r>
    </w:p>
  </w:footnote>
  <w:footnote w:id="18">
    <w:p w14:paraId="531D06C6" w14:textId="77777777" w:rsidR="00D71A77" w:rsidRDefault="00D71A77" w:rsidP="00D71A77">
      <w:pPr>
        <w:pStyle w:val="Tekstprzypisudolnego"/>
      </w:pPr>
      <w:r>
        <w:rPr>
          <w:rStyle w:val="Odwoanieprzypisudolnego"/>
          <w:rFonts w:eastAsiaTheme="majorEastAsia"/>
        </w:rPr>
        <w:footnoteRef/>
      </w:r>
      <w:r>
        <w:t xml:space="preserve"> Wyrok SN z 28.01.1999 r., III CKN 137/98, LEX nr 1214379.</w:t>
      </w:r>
    </w:p>
  </w:footnote>
  <w:footnote w:id="19">
    <w:p w14:paraId="0FBDDC3C" w14:textId="0A7816E3" w:rsidR="0042175D" w:rsidRPr="0042175D" w:rsidRDefault="0042175D">
      <w:pPr>
        <w:pStyle w:val="Tekstprzypisudolnego"/>
        <w:rPr>
          <w:lang w:val="en-US"/>
        </w:rPr>
      </w:pPr>
      <w:r>
        <w:rPr>
          <w:rStyle w:val="Odwoanieprzypisudolnego"/>
        </w:rPr>
        <w:footnoteRef/>
      </w:r>
      <w:r w:rsidRPr="0042175D">
        <w:rPr>
          <w:lang w:val="en-US"/>
        </w:rPr>
        <w:t xml:space="preserve"> 3 MAI 2024. - </w:t>
      </w:r>
      <w:proofErr w:type="spellStart"/>
      <w:r w:rsidRPr="0042175D">
        <w:rPr>
          <w:lang w:val="en-US"/>
        </w:rPr>
        <w:t>Loi</w:t>
      </w:r>
      <w:proofErr w:type="spellEnd"/>
      <w:r w:rsidRPr="0042175D">
        <w:rPr>
          <w:lang w:val="en-US"/>
        </w:rPr>
        <w:t xml:space="preserve"> </w:t>
      </w:r>
      <w:proofErr w:type="spellStart"/>
      <w:r w:rsidRPr="0042175D">
        <w:rPr>
          <w:lang w:val="en-US"/>
        </w:rPr>
        <w:t>portant</w:t>
      </w:r>
      <w:proofErr w:type="spellEnd"/>
      <w:r w:rsidRPr="0042175D">
        <w:rPr>
          <w:lang w:val="en-US"/>
        </w:rPr>
        <w:t xml:space="preserve"> des dispositions </w:t>
      </w:r>
      <w:proofErr w:type="spellStart"/>
      <w:r w:rsidRPr="0042175D">
        <w:rPr>
          <w:lang w:val="en-US"/>
        </w:rPr>
        <w:t>en</w:t>
      </w:r>
      <w:proofErr w:type="spellEnd"/>
      <w:r w:rsidRPr="0042175D">
        <w:rPr>
          <w:lang w:val="en-US"/>
        </w:rPr>
        <w:t xml:space="preserve"> matière du travail du </w:t>
      </w:r>
      <w:proofErr w:type="spellStart"/>
      <w:r w:rsidRPr="0042175D">
        <w:rPr>
          <w:lang w:val="en-US"/>
        </w:rPr>
        <w:t>sexe</w:t>
      </w:r>
      <w:proofErr w:type="spellEnd"/>
      <w:r w:rsidRPr="0042175D">
        <w:rPr>
          <w:lang w:val="en-US"/>
        </w:rPr>
        <w:t xml:space="preserve"> sous </w:t>
      </w:r>
      <w:proofErr w:type="spellStart"/>
      <w:r w:rsidRPr="0042175D">
        <w:rPr>
          <w:lang w:val="en-US"/>
        </w:rPr>
        <w:t>contrat</w:t>
      </w:r>
      <w:proofErr w:type="spellEnd"/>
      <w:r w:rsidRPr="0042175D">
        <w:rPr>
          <w:lang w:val="en-US"/>
        </w:rPr>
        <w:t xml:space="preserve"> de travail</w:t>
      </w:r>
      <w:r>
        <w:rPr>
          <w:lang w:val="en-US"/>
        </w:rPr>
        <w:t xml:space="preserve">, </w:t>
      </w:r>
      <w:hyperlink r:id="rId10" w:history="1">
        <w:r w:rsidRPr="00A5482D">
          <w:rPr>
            <w:rStyle w:val="Hipercze"/>
            <w:lang w:val="en-US"/>
          </w:rPr>
          <w:t>https://www.stradalex.com/fr/sl_src_publ_leg_be_moniteur/toc/leg_be_moniteur_fr_06062024_1/doc/mb2024202750</w:t>
        </w:r>
      </w:hyperlink>
      <w:r>
        <w:rPr>
          <w:lang w:val="en-US"/>
        </w:rPr>
        <w:t xml:space="preserve"> (</w:t>
      </w:r>
      <w:proofErr w:type="spellStart"/>
      <w:r>
        <w:rPr>
          <w:lang w:val="en-US"/>
        </w:rPr>
        <w:t>dostęp</w:t>
      </w:r>
      <w:proofErr w:type="spellEnd"/>
      <w:r>
        <w:rPr>
          <w:lang w:val="en-US"/>
        </w:rPr>
        <w:t>: 1.09.2025)</w:t>
      </w:r>
    </w:p>
  </w:footnote>
  <w:footnote w:id="20">
    <w:p w14:paraId="64504743" w14:textId="48A4CDBF" w:rsidR="00655339" w:rsidRPr="00655339" w:rsidRDefault="00655339">
      <w:pPr>
        <w:pStyle w:val="Tekstprzypisudolnego"/>
        <w:rPr>
          <w:b/>
          <w:bCs/>
        </w:rPr>
      </w:pPr>
      <w:r>
        <w:rPr>
          <w:rStyle w:val="Odwoanieprzypisudolnego"/>
        </w:rPr>
        <w:footnoteRef/>
      </w:r>
      <w:r>
        <w:t xml:space="preserve"> Przytoczone przepisy zostały zaskarżone do belgijskiego Trybunału Konstytucyjnego przez dziewięć stowarzyszeń walczących z przemocą seksualną wobec kobiet w dniu 9.12.2024 r. (sygnatura </w:t>
      </w:r>
      <w:r w:rsidRPr="00655339">
        <w:t>8385 (FR).</w:t>
      </w:r>
    </w:p>
  </w:footnote>
  <w:footnote w:id="21">
    <w:p w14:paraId="20C8DCE5" w14:textId="6C3C16E9" w:rsidR="00226FB1" w:rsidRPr="00226FB1" w:rsidRDefault="00226FB1" w:rsidP="00226FB1">
      <w:pPr>
        <w:spacing w:after="120" w:line="240" w:lineRule="auto"/>
        <w:jc w:val="both"/>
        <w:rPr>
          <w:rFonts w:cs="Times New Roman"/>
          <w:sz w:val="20"/>
          <w:szCs w:val="20"/>
          <w:lang w:val="pl-PL"/>
        </w:rPr>
      </w:pPr>
      <w:r w:rsidRPr="00226FB1">
        <w:rPr>
          <w:rStyle w:val="Odwoanieprzypisudolnego"/>
          <w:sz w:val="20"/>
          <w:szCs w:val="20"/>
        </w:rPr>
        <w:footnoteRef/>
      </w:r>
      <w:r w:rsidRPr="00226FB1">
        <w:rPr>
          <w:sz w:val="20"/>
          <w:szCs w:val="20"/>
          <w:lang w:val="pl-PL"/>
        </w:rPr>
        <w:t xml:space="preserve"> </w:t>
      </w:r>
      <w:r w:rsidRPr="00226FB1">
        <w:rPr>
          <w:rFonts w:cs="Times New Roman"/>
          <w:sz w:val="20"/>
          <w:szCs w:val="20"/>
          <w:lang w:val="pl-PL"/>
        </w:rPr>
        <w:t>Konwencja Rady Europy o zapobieganiu i zwalczaniu przemocy wobec kobiet i przemocy domowej porządzona w Stambule dnia 11 maja 2011 r. (Dz.U. 2015, poz.961).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A77"/>
    <w:rsid w:val="00002B0A"/>
    <w:rsid w:val="00005927"/>
    <w:rsid w:val="00030EEB"/>
    <w:rsid w:val="000E3018"/>
    <w:rsid w:val="00173642"/>
    <w:rsid w:val="001D7085"/>
    <w:rsid w:val="001F18DB"/>
    <w:rsid w:val="00226020"/>
    <w:rsid w:val="00226FB1"/>
    <w:rsid w:val="00267D5D"/>
    <w:rsid w:val="002E3273"/>
    <w:rsid w:val="002F1FC7"/>
    <w:rsid w:val="0033699F"/>
    <w:rsid w:val="003819F4"/>
    <w:rsid w:val="0042175D"/>
    <w:rsid w:val="00440511"/>
    <w:rsid w:val="00445EB0"/>
    <w:rsid w:val="004A2467"/>
    <w:rsid w:val="004B3E38"/>
    <w:rsid w:val="00542CC8"/>
    <w:rsid w:val="005A6B81"/>
    <w:rsid w:val="005E735B"/>
    <w:rsid w:val="00626437"/>
    <w:rsid w:val="00655339"/>
    <w:rsid w:val="00761101"/>
    <w:rsid w:val="00762020"/>
    <w:rsid w:val="00772E87"/>
    <w:rsid w:val="0079445D"/>
    <w:rsid w:val="007E2A76"/>
    <w:rsid w:val="0083162D"/>
    <w:rsid w:val="00881E12"/>
    <w:rsid w:val="008C570A"/>
    <w:rsid w:val="008D6D21"/>
    <w:rsid w:val="00972ACD"/>
    <w:rsid w:val="00A1413E"/>
    <w:rsid w:val="00A251E8"/>
    <w:rsid w:val="00AB538B"/>
    <w:rsid w:val="00B26BF9"/>
    <w:rsid w:val="00B7661C"/>
    <w:rsid w:val="00BA5D60"/>
    <w:rsid w:val="00BB717F"/>
    <w:rsid w:val="00BD3130"/>
    <w:rsid w:val="00CA0300"/>
    <w:rsid w:val="00D42ABE"/>
    <w:rsid w:val="00D71A77"/>
    <w:rsid w:val="00E03B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244F82"/>
  <w15:chartTrackingRefBased/>
  <w15:docId w15:val="{7DBB880C-36A8-4BEC-92FB-497B6CF76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D71A77"/>
    <w:pPr>
      <w:spacing w:after="200" w:line="276" w:lineRule="auto"/>
    </w:pPr>
    <w:rPr>
      <w:rFonts w:ascii="Times New Roman" w:eastAsiaTheme="minorEastAsia" w:hAnsi="Times New Roman"/>
      <w:kern w:val="0"/>
      <w:sz w:val="24"/>
      <w:lang w:val="en-US"/>
    </w:rPr>
  </w:style>
  <w:style w:type="paragraph" w:styleId="Nagwek1">
    <w:name w:val="heading 1"/>
    <w:basedOn w:val="Normalny"/>
    <w:next w:val="Normalny"/>
    <w:link w:val="Nagwek1Znak"/>
    <w:autoRedefine/>
    <w:uiPriority w:val="9"/>
    <w:qFormat/>
    <w:rsid w:val="00440511"/>
    <w:pPr>
      <w:keepNext/>
      <w:keepLines/>
      <w:spacing w:before="240" w:after="0"/>
      <w:outlineLvl w:val="0"/>
    </w:pPr>
    <w:rPr>
      <w:rFonts w:eastAsiaTheme="majorEastAsia" w:cstheme="majorBidi"/>
      <w:color w:val="000000" w:themeColor="text1"/>
      <w:szCs w:val="32"/>
    </w:rPr>
  </w:style>
  <w:style w:type="paragraph" w:styleId="Nagwek2">
    <w:name w:val="heading 2"/>
    <w:basedOn w:val="Normalny"/>
    <w:next w:val="Normalny"/>
    <w:link w:val="Nagwek2Znak"/>
    <w:uiPriority w:val="9"/>
    <w:semiHidden/>
    <w:unhideWhenUsed/>
    <w:qFormat/>
    <w:rsid w:val="00626437"/>
    <w:pPr>
      <w:keepNext/>
      <w:keepLines/>
      <w:spacing w:before="40" w:after="0"/>
      <w:outlineLvl w:val="1"/>
    </w:pPr>
    <w:rPr>
      <w:rFonts w:eastAsiaTheme="majorEastAsia" w:cstheme="majorBidi"/>
      <w:color w:val="000000" w:themeColor="text1"/>
      <w:szCs w:val="26"/>
    </w:rPr>
  </w:style>
  <w:style w:type="paragraph" w:styleId="Nagwek3">
    <w:name w:val="heading 3"/>
    <w:basedOn w:val="Normalny"/>
    <w:next w:val="Normalny"/>
    <w:link w:val="Nagwek3Znak"/>
    <w:uiPriority w:val="9"/>
    <w:unhideWhenUsed/>
    <w:qFormat/>
    <w:rsid w:val="00BD3130"/>
    <w:pPr>
      <w:keepNext/>
      <w:keepLines/>
      <w:spacing w:before="40" w:after="0"/>
      <w:outlineLvl w:val="2"/>
    </w:pPr>
    <w:rPr>
      <w:rFonts w:eastAsiaTheme="majorEastAsia" w:cstheme="majorBidi"/>
      <w:color w:val="000000" w:themeColor="text1"/>
      <w:szCs w:val="24"/>
    </w:rPr>
  </w:style>
  <w:style w:type="paragraph" w:styleId="Nagwek4">
    <w:name w:val="heading 4"/>
    <w:basedOn w:val="Normalny"/>
    <w:next w:val="Normalny"/>
    <w:link w:val="Nagwek4Znak"/>
    <w:uiPriority w:val="9"/>
    <w:semiHidden/>
    <w:unhideWhenUsed/>
    <w:qFormat/>
    <w:rsid w:val="00D71A77"/>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D71A77"/>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D71A77"/>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71A77"/>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71A77"/>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71A77"/>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semiHidden/>
    <w:rsid w:val="00626437"/>
    <w:rPr>
      <w:rFonts w:ascii="Times New Roman" w:eastAsiaTheme="majorEastAsia" w:hAnsi="Times New Roman" w:cstheme="majorBidi"/>
      <w:color w:val="000000" w:themeColor="text1"/>
      <w:sz w:val="24"/>
      <w:szCs w:val="26"/>
    </w:rPr>
  </w:style>
  <w:style w:type="character" w:customStyle="1" w:styleId="Nagwek1Znak">
    <w:name w:val="Nagłówek 1 Znak"/>
    <w:basedOn w:val="Domylnaczcionkaakapitu"/>
    <w:link w:val="Nagwek1"/>
    <w:uiPriority w:val="9"/>
    <w:rsid w:val="00440511"/>
    <w:rPr>
      <w:rFonts w:ascii="Times New Roman" w:eastAsiaTheme="majorEastAsia" w:hAnsi="Times New Roman" w:cstheme="majorBidi"/>
      <w:color w:val="000000" w:themeColor="text1"/>
      <w:sz w:val="24"/>
      <w:szCs w:val="32"/>
    </w:rPr>
  </w:style>
  <w:style w:type="character" w:customStyle="1" w:styleId="Nagwek3Znak">
    <w:name w:val="Nagłówek 3 Znak"/>
    <w:basedOn w:val="Domylnaczcionkaakapitu"/>
    <w:link w:val="Nagwek3"/>
    <w:uiPriority w:val="9"/>
    <w:rsid w:val="00BD3130"/>
    <w:rPr>
      <w:rFonts w:ascii="Times New Roman" w:eastAsiaTheme="majorEastAsia" w:hAnsi="Times New Roman" w:cstheme="majorBidi"/>
      <w:color w:val="000000" w:themeColor="text1"/>
      <w:sz w:val="24"/>
      <w:szCs w:val="24"/>
    </w:rPr>
  </w:style>
  <w:style w:type="character" w:customStyle="1" w:styleId="Nagwek4Znak">
    <w:name w:val="Nagłówek 4 Znak"/>
    <w:basedOn w:val="Domylnaczcionkaakapitu"/>
    <w:link w:val="Nagwek4"/>
    <w:uiPriority w:val="9"/>
    <w:semiHidden/>
    <w:rsid w:val="00D71A77"/>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D71A77"/>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D71A7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71A7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71A7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71A77"/>
    <w:rPr>
      <w:rFonts w:eastAsiaTheme="majorEastAsia" w:cstheme="majorBidi"/>
      <w:color w:val="272727" w:themeColor="text1" w:themeTint="D8"/>
    </w:rPr>
  </w:style>
  <w:style w:type="paragraph" w:styleId="Tytu">
    <w:name w:val="Title"/>
    <w:basedOn w:val="Normalny"/>
    <w:next w:val="Normalny"/>
    <w:link w:val="TytuZnak"/>
    <w:uiPriority w:val="10"/>
    <w:qFormat/>
    <w:rsid w:val="00D71A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71A7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71A7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71A7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71A77"/>
    <w:pPr>
      <w:spacing w:before="160"/>
      <w:jc w:val="center"/>
    </w:pPr>
    <w:rPr>
      <w:i/>
      <w:iCs/>
      <w:color w:val="404040" w:themeColor="text1" w:themeTint="BF"/>
    </w:rPr>
  </w:style>
  <w:style w:type="character" w:customStyle="1" w:styleId="CytatZnak">
    <w:name w:val="Cytat Znak"/>
    <w:basedOn w:val="Domylnaczcionkaakapitu"/>
    <w:link w:val="Cytat"/>
    <w:uiPriority w:val="29"/>
    <w:rsid w:val="00D71A77"/>
    <w:rPr>
      <w:i/>
      <w:iCs/>
      <w:color w:val="404040" w:themeColor="text1" w:themeTint="BF"/>
    </w:rPr>
  </w:style>
  <w:style w:type="paragraph" w:styleId="Akapitzlist">
    <w:name w:val="List Paragraph"/>
    <w:basedOn w:val="Normalny"/>
    <w:uiPriority w:val="34"/>
    <w:qFormat/>
    <w:rsid w:val="00D71A77"/>
    <w:pPr>
      <w:ind w:left="720"/>
      <w:contextualSpacing/>
    </w:pPr>
  </w:style>
  <w:style w:type="character" w:styleId="Wyrnienieintensywne">
    <w:name w:val="Intense Emphasis"/>
    <w:basedOn w:val="Domylnaczcionkaakapitu"/>
    <w:uiPriority w:val="21"/>
    <w:qFormat/>
    <w:rsid w:val="00D71A77"/>
    <w:rPr>
      <w:i/>
      <w:iCs/>
      <w:color w:val="0F4761" w:themeColor="accent1" w:themeShade="BF"/>
    </w:rPr>
  </w:style>
  <w:style w:type="paragraph" w:styleId="Cytatintensywny">
    <w:name w:val="Intense Quote"/>
    <w:basedOn w:val="Normalny"/>
    <w:next w:val="Normalny"/>
    <w:link w:val="CytatintensywnyZnak"/>
    <w:uiPriority w:val="30"/>
    <w:qFormat/>
    <w:rsid w:val="00D71A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D71A77"/>
    <w:rPr>
      <w:i/>
      <w:iCs/>
      <w:color w:val="0F4761" w:themeColor="accent1" w:themeShade="BF"/>
    </w:rPr>
  </w:style>
  <w:style w:type="character" w:styleId="Odwoanieintensywne">
    <w:name w:val="Intense Reference"/>
    <w:basedOn w:val="Domylnaczcionkaakapitu"/>
    <w:uiPriority w:val="32"/>
    <w:qFormat/>
    <w:rsid w:val="00D71A77"/>
    <w:rPr>
      <w:b/>
      <w:bCs/>
      <w:smallCaps/>
      <w:color w:val="0F4761" w:themeColor="accent1" w:themeShade="BF"/>
      <w:spacing w:val="5"/>
    </w:rPr>
  </w:style>
  <w:style w:type="paragraph" w:styleId="Tekstprzypisudolnego">
    <w:name w:val="footnote text"/>
    <w:aliases w:val="5_G,2.Tekst przypisu dolnego"/>
    <w:basedOn w:val="Normalny"/>
    <w:link w:val="TekstprzypisudolnegoZnak"/>
    <w:uiPriority w:val="99"/>
    <w:qFormat/>
    <w:rsid w:val="00D71A77"/>
    <w:pPr>
      <w:spacing w:after="0" w:line="240" w:lineRule="auto"/>
    </w:pPr>
    <w:rPr>
      <w:rFonts w:eastAsia="Times New Roman" w:cs="Times New Roman"/>
      <w:sz w:val="20"/>
      <w:szCs w:val="20"/>
      <w:lang w:val="pl-PL" w:eastAsia="pl-PL"/>
    </w:rPr>
  </w:style>
  <w:style w:type="character" w:customStyle="1" w:styleId="TekstprzypisudolnegoZnak">
    <w:name w:val="Tekst przypisu dolnego Znak"/>
    <w:aliases w:val="5_G Znak,2.Tekst przypisu dolnego Znak"/>
    <w:basedOn w:val="Domylnaczcionkaakapitu"/>
    <w:link w:val="Tekstprzypisudolnego"/>
    <w:uiPriority w:val="99"/>
    <w:rsid w:val="00D71A77"/>
    <w:rPr>
      <w:rFonts w:ascii="Times New Roman" w:eastAsia="Times New Roman" w:hAnsi="Times New Roman" w:cs="Times New Roman"/>
      <w:kern w:val="0"/>
      <w:sz w:val="20"/>
      <w:szCs w:val="20"/>
      <w:lang w:eastAsia="pl-PL"/>
    </w:rPr>
  </w:style>
  <w:style w:type="character" w:styleId="Odwoanieprzypisudolnego">
    <w:name w:val="footnote reference"/>
    <w:basedOn w:val="Domylnaczcionkaakapitu"/>
    <w:uiPriority w:val="99"/>
    <w:rsid w:val="00D71A77"/>
    <w:rPr>
      <w:vertAlign w:val="superscript"/>
    </w:rPr>
  </w:style>
  <w:style w:type="character" w:styleId="Hipercze">
    <w:name w:val="Hyperlink"/>
    <w:basedOn w:val="Domylnaczcionkaakapitu"/>
    <w:uiPriority w:val="99"/>
    <w:rsid w:val="00D71A77"/>
    <w:rPr>
      <w:color w:val="467886" w:themeColor="hyperlink"/>
      <w:u w:val="single"/>
    </w:rPr>
  </w:style>
  <w:style w:type="character" w:styleId="Nierozpoznanawzmianka">
    <w:name w:val="Unresolved Mention"/>
    <w:basedOn w:val="Domylnaczcionkaakapitu"/>
    <w:uiPriority w:val="99"/>
    <w:semiHidden/>
    <w:unhideWhenUsed/>
    <w:rsid w:val="002E3273"/>
    <w:rPr>
      <w:color w:val="605E5C"/>
      <w:shd w:val="clear" w:color="auto" w:fill="E1DFDD"/>
    </w:rPr>
  </w:style>
  <w:style w:type="paragraph" w:styleId="Nagwek">
    <w:name w:val="header"/>
    <w:basedOn w:val="Normalny"/>
    <w:link w:val="NagwekZnak"/>
    <w:uiPriority w:val="99"/>
    <w:unhideWhenUsed/>
    <w:rsid w:val="00CA030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A0300"/>
    <w:rPr>
      <w:rFonts w:ascii="Times New Roman" w:eastAsiaTheme="minorEastAsia" w:hAnsi="Times New Roman"/>
      <w:kern w:val="0"/>
      <w:sz w:val="24"/>
      <w:lang w:val="en-US"/>
    </w:rPr>
  </w:style>
  <w:style w:type="paragraph" w:styleId="Stopka">
    <w:name w:val="footer"/>
    <w:basedOn w:val="Normalny"/>
    <w:link w:val="StopkaZnak"/>
    <w:uiPriority w:val="99"/>
    <w:unhideWhenUsed/>
    <w:rsid w:val="00CA030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A0300"/>
    <w:rPr>
      <w:rFonts w:ascii="Times New Roman" w:eastAsiaTheme="minorEastAsia" w:hAnsi="Times New Roman"/>
      <w:kern w:val="0"/>
      <w:sz w:val="24"/>
      <w:lang w:val="en-US"/>
    </w:rPr>
  </w:style>
  <w:style w:type="paragraph" w:styleId="Poprawka">
    <w:name w:val="Revision"/>
    <w:hidden/>
    <w:uiPriority w:val="99"/>
    <w:semiHidden/>
    <w:rsid w:val="00B26BF9"/>
    <w:pPr>
      <w:spacing w:after="0" w:line="240" w:lineRule="auto"/>
    </w:pPr>
    <w:rPr>
      <w:rFonts w:ascii="Times New Roman" w:eastAsiaTheme="minorEastAsia" w:hAnsi="Times New Roman"/>
      <w:kern w:val="0"/>
      <w:sz w:val="24"/>
      <w:lang w:val="en-US"/>
    </w:rPr>
  </w:style>
  <w:style w:type="paragraph" w:styleId="Tekstdymka">
    <w:name w:val="Balloon Text"/>
    <w:basedOn w:val="Normalny"/>
    <w:link w:val="TekstdymkaZnak"/>
    <w:uiPriority w:val="99"/>
    <w:semiHidden/>
    <w:unhideWhenUsed/>
    <w:rsid w:val="007E2A7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E2A76"/>
    <w:rPr>
      <w:rFonts w:ascii="Segoe UI" w:eastAsiaTheme="minorEastAsia" w:hAnsi="Segoe UI" w:cs="Segoe UI"/>
      <w:kern w:val="0"/>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egifrance.gouv.fr/codes/texte_lc/LEGITEXT000006070721" TargetMode="Externa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8" Type="http://schemas.openxmlformats.org/officeDocument/2006/relationships/hyperlink" Target="https://juricaf.org/arret/FRANCE-COURDECASSATION-20170927-1622240" TargetMode="External"/><Relationship Id="rId3" Type="http://schemas.openxmlformats.org/officeDocument/2006/relationships/hyperlink" Target="https://www.legifrance.gouv.fr/juri/id/JURITEXT000007363333" TargetMode="External"/><Relationship Id="rId7" Type="http://schemas.openxmlformats.org/officeDocument/2006/relationships/hyperlink" Target="https://www.unilim.fr/omij/wp-content/uploads/sites/9/2025/05/43.-La-Cour-EDH-conjugue-au-passe-le-devoir-conjugal.pdf" TargetMode="External"/><Relationship Id="rId2" Type="http://schemas.openxmlformats.org/officeDocument/2006/relationships/hyperlink" Target="https://www.legifrance.gouv.fr/juri/id/JURITEXT000006984384" TargetMode="External"/><Relationship Id="rId1" Type="http://schemas.openxmlformats.org/officeDocument/2006/relationships/hyperlink" Target="https://www.legifrance.gouv.fr/juri/id/JURITEXT000006967306" TargetMode="External"/><Relationship Id="rId6" Type="http://schemas.openxmlformats.org/officeDocument/2006/relationships/hyperlink" Target="https://libertescheries.blogspot.com/2025/01/la-communaute-de-lit-devant-la-cedh.html" TargetMode="External"/><Relationship Id="rId5" Type="http://schemas.openxmlformats.org/officeDocument/2006/relationships/hyperlink" Target="https://actu.dalloz-etudiant.fr/fileadmin/actualites/pdfs/SEPTEMBRE_2011/arret_devoir_conjugal.txt.pdf" TargetMode="External"/><Relationship Id="rId10" Type="http://schemas.openxmlformats.org/officeDocument/2006/relationships/hyperlink" Target="https://www.stradalex.com/fr/sl_src_publ_leg_be_moniteur/toc/leg_be_moniteur_fr_06062024_1/doc/mb2024202750" TargetMode="External"/><Relationship Id="rId4" Type="http://schemas.openxmlformats.org/officeDocument/2006/relationships/hyperlink" Target="https://www.legifrance.gouv.fr/juri/id/JURITEXT000025288459" TargetMode="External"/><Relationship Id="rId9" Type="http://schemas.openxmlformats.org/officeDocument/2006/relationships/hyperlink" Target="https://juricaf.org/arret/FRANCE-COURDECASSATION-20130515-1127121"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Pages>15</Pages>
  <Words>4422</Words>
  <Characters>26533</Characters>
  <Application>Microsoft Office Word</Application>
  <DocSecurity>0</DocSecurity>
  <Lines>221</Lines>
  <Paragraphs>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Paweł</cp:lastModifiedBy>
  <cp:revision>6</cp:revision>
  <dcterms:created xsi:type="dcterms:W3CDTF">2025-09-02T09:32:00Z</dcterms:created>
  <dcterms:modified xsi:type="dcterms:W3CDTF">2025-10-27T09:20:00Z</dcterms:modified>
</cp:coreProperties>
</file>