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7186C3" w14:textId="77777777" w:rsidR="00404D24" w:rsidRDefault="00404D24" w:rsidP="00404D24">
      <w:pPr>
        <w:spacing w:line="480" w:lineRule="auto"/>
        <w:rPr>
          <w:lang w:val="en-GB"/>
        </w:rPr>
      </w:pPr>
      <w:r>
        <w:rPr>
          <w:noProof/>
        </w:rPr>
        <w:drawing>
          <wp:inline distT="0" distB="0" distL="0" distR="0" wp14:anchorId="3B743D89" wp14:editId="756980CA">
            <wp:extent cx="2895600" cy="2095500"/>
            <wp:effectExtent l="0" t="0" r="0" b="0"/>
            <wp:docPr id="6" name="Wykres 6">
              <a:extLst xmlns:a="http://schemas.openxmlformats.org/drawingml/2006/main">
                <a:ext uri="{FF2B5EF4-FFF2-40B4-BE49-F238E27FC236}">
                  <a16:creationId xmlns:a16="http://schemas.microsoft.com/office/drawing/2014/main" id="{921846DA-38D2-4E81-B050-7A7BBB25116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B7EC548" wp14:editId="79635DC1">
            <wp:extent cx="2804160" cy="2095500"/>
            <wp:effectExtent l="0" t="0" r="15240" b="0"/>
            <wp:docPr id="2" name="Wykres 2">
              <a:extLst xmlns:a="http://schemas.openxmlformats.org/drawingml/2006/main">
                <a:ext uri="{FF2B5EF4-FFF2-40B4-BE49-F238E27FC236}">
                  <a16:creationId xmlns:a16="http://schemas.microsoft.com/office/drawing/2014/main" id="{60A735D9-0894-47EC-8DF1-5A97764FF30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514BC686" w14:textId="77777777" w:rsidR="00404D24" w:rsidRDefault="00404D24" w:rsidP="00404D24">
      <w:pPr>
        <w:spacing w:line="480" w:lineRule="auto"/>
        <w:rPr>
          <w:lang w:val="en-GB"/>
        </w:rPr>
      </w:pPr>
      <w:r>
        <w:rPr>
          <w:noProof/>
        </w:rPr>
        <w:drawing>
          <wp:inline distT="0" distB="0" distL="0" distR="0" wp14:anchorId="7410A607" wp14:editId="3DBE508E">
            <wp:extent cx="2857500" cy="1996440"/>
            <wp:effectExtent l="0" t="0" r="0" b="3810"/>
            <wp:docPr id="3" name="Wykres 3">
              <a:extLst xmlns:a="http://schemas.openxmlformats.org/drawingml/2006/main">
                <a:ext uri="{FF2B5EF4-FFF2-40B4-BE49-F238E27FC236}">
                  <a16:creationId xmlns:a16="http://schemas.microsoft.com/office/drawing/2014/main" id="{2C5F4644-FBC4-44FB-8235-9550F31070C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92534B9" wp14:editId="33646E95">
            <wp:extent cx="2857500" cy="1988820"/>
            <wp:effectExtent l="0" t="0" r="0" b="11430"/>
            <wp:docPr id="5" name="Wykres 5">
              <a:extLst xmlns:a="http://schemas.openxmlformats.org/drawingml/2006/main">
                <a:ext uri="{FF2B5EF4-FFF2-40B4-BE49-F238E27FC236}">
                  <a16:creationId xmlns:a16="http://schemas.microsoft.com/office/drawing/2014/main" id="{8BAD6E61-2739-4697-AF4B-F68197A2A09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630BDACB" w14:textId="434E3911" w:rsidR="00404D24" w:rsidRPr="000F0878" w:rsidRDefault="00404D24" w:rsidP="00404D24">
      <w:pPr>
        <w:rPr>
          <w:sz w:val="20"/>
          <w:szCs w:val="20"/>
          <w:lang w:val="en-GB"/>
        </w:rPr>
      </w:pPr>
      <w:r w:rsidRPr="000F0878">
        <w:rPr>
          <w:sz w:val="20"/>
          <w:szCs w:val="20"/>
          <w:lang w:val="en-GB"/>
        </w:rPr>
        <w:t xml:space="preserve">Fig. </w:t>
      </w:r>
      <w:r>
        <w:rPr>
          <w:sz w:val="20"/>
          <w:szCs w:val="20"/>
          <w:lang w:val="en-GB"/>
        </w:rPr>
        <w:t>2</w:t>
      </w:r>
      <w:r w:rsidRPr="000F0878">
        <w:rPr>
          <w:sz w:val="20"/>
          <w:szCs w:val="20"/>
          <w:lang w:val="en-GB"/>
        </w:rPr>
        <w:t>. Comparative analysis of selected general economic factors in the compared countries: a) inflation rate, b) growth of GDP per capita, c) gross domestic savings in GDP (%), d) interest rates*</w:t>
      </w:r>
    </w:p>
    <w:p w14:paraId="58D58EF6" w14:textId="77777777" w:rsidR="00404D24" w:rsidRPr="000F0878" w:rsidRDefault="00404D24" w:rsidP="00404D24">
      <w:pPr>
        <w:jc w:val="center"/>
        <w:rPr>
          <w:sz w:val="16"/>
          <w:szCs w:val="16"/>
          <w:lang w:val="en-GB"/>
        </w:rPr>
      </w:pPr>
      <w:r w:rsidRPr="000F0878">
        <w:rPr>
          <w:sz w:val="16"/>
          <w:szCs w:val="16"/>
          <w:lang w:val="en-GB"/>
        </w:rPr>
        <w:t>Source: own elaboration based on World Bank data, ECB and NBP (access: 9.04.2020)</w:t>
      </w:r>
    </w:p>
    <w:p w14:paraId="13DA5ED1" w14:textId="77777777" w:rsidR="00404D24" w:rsidRPr="00AD164B" w:rsidRDefault="00404D24" w:rsidP="00404D24">
      <w:pPr>
        <w:rPr>
          <w:sz w:val="20"/>
          <w:szCs w:val="20"/>
          <w:lang w:val="en-GB"/>
        </w:rPr>
      </w:pPr>
      <w:r w:rsidRPr="000F0878">
        <w:rPr>
          <w:sz w:val="20"/>
          <w:szCs w:val="20"/>
          <w:lang w:val="en-GB"/>
        </w:rPr>
        <w:t>*</w:t>
      </w:r>
      <w:r w:rsidRPr="000F0878">
        <w:rPr>
          <w:lang w:val="en-GB"/>
        </w:rPr>
        <w:t xml:space="preserve"> </w:t>
      </w:r>
      <w:r w:rsidRPr="000F0878">
        <w:rPr>
          <w:sz w:val="20"/>
          <w:szCs w:val="20"/>
          <w:lang w:val="en-GB"/>
        </w:rPr>
        <w:t>The reference rate in Poland means the profitability of 7-day treasury bills, while in France the rates published by the European Central Bank were applied - the interest rate on the main refinancing operations (MRO), which provide the bulk of liquidity to the banking system.</w:t>
      </w:r>
    </w:p>
    <w:p w14:paraId="142499A1" w14:textId="77777777" w:rsidR="00172853" w:rsidRPr="00404D24" w:rsidRDefault="00172853">
      <w:pPr>
        <w:rPr>
          <w:lang w:val="en-GB"/>
        </w:rPr>
      </w:pPr>
    </w:p>
    <w:sectPr w:rsidR="00172853" w:rsidRPr="00404D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D24"/>
    <w:rsid w:val="00172853"/>
    <w:rsid w:val="00404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8CE24"/>
  <w15:chartTrackingRefBased/>
  <w15:docId w15:val="{403C5BA6-C587-4BBA-A358-838EBF550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4D24"/>
    <w:pPr>
      <w:spacing w:after="0"/>
      <w:jc w:val="both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4" Type="http://schemas.openxmlformats.org/officeDocument/2006/relationships/chart" Target="charts/chart1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9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 sz="900"/>
              <a:t>inflation rate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inflacja!$B$5</c:f>
              <c:strCache>
                <c:ptCount val="1"/>
                <c:pt idx="0">
                  <c:v>Polska</c:v>
                </c:pt>
              </c:strCache>
            </c:strRef>
          </c:tx>
          <c:spPr>
            <a:ln w="28575" cap="rnd">
              <a:solidFill>
                <a:schemeClr val="bg1">
                  <a:lumMod val="75000"/>
                </a:schemeClr>
              </a:solidFill>
              <a:round/>
            </a:ln>
            <a:effectLst/>
          </c:spPr>
          <c:marker>
            <c:symbol val="none"/>
          </c:marker>
          <c:cat>
            <c:numRef>
              <c:f>inflacja!$C$4:$AA$4</c:f>
              <c:numCache>
                <c:formatCode>General</c:formatCode>
                <c:ptCount val="25"/>
                <c:pt idx="0">
                  <c:v>1995</c:v>
                </c:pt>
                <c:pt idx="1">
                  <c:v>1996</c:v>
                </c:pt>
                <c:pt idx="2">
                  <c:v>1997</c:v>
                </c:pt>
                <c:pt idx="3">
                  <c:v>1998</c:v>
                </c:pt>
                <c:pt idx="4">
                  <c:v>1999</c:v>
                </c:pt>
                <c:pt idx="5">
                  <c:v>2000</c:v>
                </c:pt>
                <c:pt idx="6">
                  <c:v>2001</c:v>
                </c:pt>
                <c:pt idx="7">
                  <c:v>2002</c:v>
                </c:pt>
                <c:pt idx="8">
                  <c:v>2003</c:v>
                </c:pt>
                <c:pt idx="9">
                  <c:v>2004</c:v>
                </c:pt>
                <c:pt idx="10">
                  <c:v>2005</c:v>
                </c:pt>
                <c:pt idx="11">
                  <c:v>2006</c:v>
                </c:pt>
                <c:pt idx="12">
                  <c:v>2007</c:v>
                </c:pt>
                <c:pt idx="13">
                  <c:v>2008</c:v>
                </c:pt>
                <c:pt idx="14">
                  <c:v>2009</c:v>
                </c:pt>
                <c:pt idx="15">
                  <c:v>2010</c:v>
                </c:pt>
                <c:pt idx="16">
                  <c:v>2011</c:v>
                </c:pt>
                <c:pt idx="17">
                  <c:v>2012</c:v>
                </c:pt>
                <c:pt idx="18">
                  <c:v>2013</c:v>
                </c:pt>
                <c:pt idx="19">
                  <c:v>2014</c:v>
                </c:pt>
                <c:pt idx="20">
                  <c:v>2015</c:v>
                </c:pt>
                <c:pt idx="21">
                  <c:v>2016</c:v>
                </c:pt>
                <c:pt idx="22">
                  <c:v>2017</c:v>
                </c:pt>
                <c:pt idx="23">
                  <c:v>2018</c:v>
                </c:pt>
                <c:pt idx="24">
                  <c:v>2019</c:v>
                </c:pt>
              </c:numCache>
            </c:numRef>
          </c:cat>
          <c:val>
            <c:numRef>
              <c:f>inflacja!$C$5:$AA$5</c:f>
              <c:numCache>
                <c:formatCode>General</c:formatCode>
                <c:ptCount val="25"/>
                <c:pt idx="0">
                  <c:v>27.951388563304</c:v>
                </c:pt>
                <c:pt idx="1">
                  <c:v>19.794966919670699</c:v>
                </c:pt>
                <c:pt idx="2">
                  <c:v>14.913158614959899</c:v>
                </c:pt>
                <c:pt idx="3">
                  <c:v>11.5978554257236</c:v>
                </c:pt>
                <c:pt idx="4">
                  <c:v>7.1540729117986004</c:v>
                </c:pt>
                <c:pt idx="5">
                  <c:v>9.9001753884306201</c:v>
                </c:pt>
                <c:pt idx="6">
                  <c:v>5.4083354556615104</c:v>
                </c:pt>
                <c:pt idx="7">
                  <c:v>1.9052821504805399</c:v>
                </c:pt>
                <c:pt idx="8">
                  <c:v>0.68270137578765699</c:v>
                </c:pt>
                <c:pt idx="9">
                  <c:v>3.3826468188469399</c:v>
                </c:pt>
                <c:pt idx="10">
                  <c:v>2.18379872390258</c:v>
                </c:pt>
                <c:pt idx="11">
                  <c:v>1.2846939436640901</c:v>
                </c:pt>
                <c:pt idx="12">
                  <c:v>2.4587431238539699</c:v>
                </c:pt>
                <c:pt idx="13">
                  <c:v>4.1649719352477002</c:v>
                </c:pt>
                <c:pt idx="14">
                  <c:v>3.79539242483406</c:v>
                </c:pt>
                <c:pt idx="15">
                  <c:v>2.5806937025054602</c:v>
                </c:pt>
                <c:pt idx="16">
                  <c:v>4.23940149625935</c:v>
                </c:pt>
                <c:pt idx="17">
                  <c:v>3.56037151702788</c:v>
                </c:pt>
                <c:pt idx="18">
                  <c:v>0.99198260633235003</c:v>
                </c:pt>
                <c:pt idx="19">
                  <c:v>5.38213132400467E-2</c:v>
                </c:pt>
                <c:pt idx="20">
                  <c:v>-0.87412587412584897</c:v>
                </c:pt>
                <c:pt idx="21">
                  <c:v>-0.664767331434023</c:v>
                </c:pt>
                <c:pt idx="22">
                  <c:v>2.0759355367386201</c:v>
                </c:pt>
                <c:pt idx="23">
                  <c:v>1.81295156542681</c:v>
                </c:pt>
                <c:pt idx="24">
                  <c:v>2.2274788093829998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9642-41FB-BC38-B4C9B314711F}"/>
            </c:ext>
          </c:extLst>
        </c:ser>
        <c:ser>
          <c:idx val="1"/>
          <c:order val="1"/>
          <c:tx>
            <c:strRef>
              <c:f>inflacja!$B$6</c:f>
              <c:strCache>
                <c:ptCount val="1"/>
                <c:pt idx="0">
                  <c:v>Francja</c:v>
                </c:pt>
              </c:strCache>
            </c:strRef>
          </c:tx>
          <c:spPr>
            <a:ln w="28575" cap="rnd">
              <a:solidFill>
                <a:schemeClr val="tx1"/>
              </a:solidFill>
              <a:round/>
            </a:ln>
            <a:effectLst/>
          </c:spPr>
          <c:marker>
            <c:symbol val="none"/>
          </c:marker>
          <c:cat>
            <c:numRef>
              <c:f>inflacja!$C$4:$AA$4</c:f>
              <c:numCache>
                <c:formatCode>General</c:formatCode>
                <c:ptCount val="25"/>
                <c:pt idx="0">
                  <c:v>1995</c:v>
                </c:pt>
                <c:pt idx="1">
                  <c:v>1996</c:v>
                </c:pt>
                <c:pt idx="2">
                  <c:v>1997</c:v>
                </c:pt>
                <c:pt idx="3">
                  <c:v>1998</c:v>
                </c:pt>
                <c:pt idx="4">
                  <c:v>1999</c:v>
                </c:pt>
                <c:pt idx="5">
                  <c:v>2000</c:v>
                </c:pt>
                <c:pt idx="6">
                  <c:v>2001</c:v>
                </c:pt>
                <c:pt idx="7">
                  <c:v>2002</c:v>
                </c:pt>
                <c:pt idx="8">
                  <c:v>2003</c:v>
                </c:pt>
                <c:pt idx="9">
                  <c:v>2004</c:v>
                </c:pt>
                <c:pt idx="10">
                  <c:v>2005</c:v>
                </c:pt>
                <c:pt idx="11">
                  <c:v>2006</c:v>
                </c:pt>
                <c:pt idx="12">
                  <c:v>2007</c:v>
                </c:pt>
                <c:pt idx="13">
                  <c:v>2008</c:v>
                </c:pt>
                <c:pt idx="14">
                  <c:v>2009</c:v>
                </c:pt>
                <c:pt idx="15">
                  <c:v>2010</c:v>
                </c:pt>
                <c:pt idx="16">
                  <c:v>2011</c:v>
                </c:pt>
                <c:pt idx="17">
                  <c:v>2012</c:v>
                </c:pt>
                <c:pt idx="18">
                  <c:v>2013</c:v>
                </c:pt>
                <c:pt idx="19">
                  <c:v>2014</c:v>
                </c:pt>
                <c:pt idx="20">
                  <c:v>2015</c:v>
                </c:pt>
                <c:pt idx="21">
                  <c:v>2016</c:v>
                </c:pt>
                <c:pt idx="22">
                  <c:v>2017</c:v>
                </c:pt>
                <c:pt idx="23">
                  <c:v>2018</c:v>
                </c:pt>
                <c:pt idx="24">
                  <c:v>2019</c:v>
                </c:pt>
              </c:numCache>
            </c:numRef>
          </c:cat>
          <c:val>
            <c:numRef>
              <c:f>inflacja!$C$6:$AA$6</c:f>
              <c:numCache>
                <c:formatCode>General</c:formatCode>
                <c:ptCount val="25"/>
                <c:pt idx="0">
                  <c:v>1.7964814209559501</c:v>
                </c:pt>
                <c:pt idx="1">
                  <c:v>1.98288365089736</c:v>
                </c:pt>
                <c:pt idx="2">
                  <c:v>1.20394294026966</c:v>
                </c:pt>
                <c:pt idx="3">
                  <c:v>0.65112686783301998</c:v>
                </c:pt>
                <c:pt idx="4">
                  <c:v>0.53714163913461299</c:v>
                </c:pt>
                <c:pt idx="5">
                  <c:v>1.6759598872093</c:v>
                </c:pt>
                <c:pt idx="6">
                  <c:v>1.6347807954959901</c:v>
                </c:pt>
                <c:pt idx="7">
                  <c:v>1.9234122872706001</c:v>
                </c:pt>
                <c:pt idx="8">
                  <c:v>2.0984721914692201</c:v>
                </c:pt>
                <c:pt idx="9">
                  <c:v>2.1420896464024199</c:v>
                </c:pt>
                <c:pt idx="10">
                  <c:v>1.7458693638048099</c:v>
                </c:pt>
                <c:pt idx="11">
                  <c:v>1.67512449608728</c:v>
                </c:pt>
                <c:pt idx="12">
                  <c:v>1.48799805953858</c:v>
                </c:pt>
                <c:pt idx="13">
                  <c:v>2.8128619491478699</c:v>
                </c:pt>
                <c:pt idx="14">
                  <c:v>8.76204781574529E-2</c:v>
                </c:pt>
                <c:pt idx="15">
                  <c:v>1.5311227042092399</c:v>
                </c:pt>
                <c:pt idx="16">
                  <c:v>2.1115979517499701</c:v>
                </c:pt>
                <c:pt idx="17">
                  <c:v>1.95419531613507</c:v>
                </c:pt>
                <c:pt idx="18">
                  <c:v>0.863715497861826</c:v>
                </c:pt>
                <c:pt idx="19">
                  <c:v>0.50775882293795704</c:v>
                </c:pt>
                <c:pt idx="20">
                  <c:v>3.7514380512536298E-2</c:v>
                </c:pt>
                <c:pt idx="21">
                  <c:v>0.183334861123848</c:v>
                </c:pt>
                <c:pt idx="22">
                  <c:v>1.03228275064674</c:v>
                </c:pt>
                <c:pt idx="23">
                  <c:v>1.8508150831549399</c:v>
                </c:pt>
                <c:pt idx="24">
                  <c:v>1.1082549228829199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9642-41FB-BC38-B4C9B314711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057073807"/>
        <c:axId val="1164877631"/>
      </c:lineChart>
      <c:catAx>
        <c:axId val="105707380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164877631"/>
        <c:crosses val="autoZero"/>
        <c:auto val="1"/>
        <c:lblAlgn val="ctr"/>
        <c:lblOffset val="100"/>
        <c:noMultiLvlLbl val="0"/>
      </c:catAx>
      <c:valAx>
        <c:axId val="116487763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057073807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9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 sz="900"/>
              <a:t>growth of GDP per</a:t>
            </a:r>
            <a:r>
              <a:rPr lang="pl-PL" sz="900" baseline="0"/>
              <a:t> capita </a:t>
            </a:r>
            <a:endParaRPr lang="pl-PL" sz="90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GDP!$B$5</c:f>
              <c:strCache>
                <c:ptCount val="1"/>
                <c:pt idx="0">
                  <c:v>Polska</c:v>
                </c:pt>
              </c:strCache>
            </c:strRef>
          </c:tx>
          <c:spPr>
            <a:ln w="28575" cap="rnd">
              <a:solidFill>
                <a:schemeClr val="bg1">
                  <a:lumMod val="75000"/>
                </a:schemeClr>
              </a:solidFill>
              <a:round/>
            </a:ln>
            <a:effectLst/>
          </c:spPr>
          <c:marker>
            <c:symbol val="none"/>
          </c:marker>
          <c:cat>
            <c:numRef>
              <c:f>GDP!$C$4:$AE$4</c:f>
              <c:numCache>
                <c:formatCode>General</c:formatCode>
                <c:ptCount val="29"/>
                <c:pt idx="0">
                  <c:v>1990</c:v>
                </c:pt>
                <c:pt idx="1">
                  <c:v>1991</c:v>
                </c:pt>
                <c:pt idx="2">
                  <c:v>1992</c:v>
                </c:pt>
                <c:pt idx="3">
                  <c:v>1993</c:v>
                </c:pt>
                <c:pt idx="4">
                  <c:v>1994</c:v>
                </c:pt>
                <c:pt idx="5">
                  <c:v>1995</c:v>
                </c:pt>
                <c:pt idx="6">
                  <c:v>1996</c:v>
                </c:pt>
                <c:pt idx="7">
                  <c:v>1997</c:v>
                </c:pt>
                <c:pt idx="8">
                  <c:v>1998</c:v>
                </c:pt>
                <c:pt idx="9">
                  <c:v>1999</c:v>
                </c:pt>
                <c:pt idx="10">
                  <c:v>2000</c:v>
                </c:pt>
                <c:pt idx="11">
                  <c:v>2001</c:v>
                </c:pt>
                <c:pt idx="12">
                  <c:v>2002</c:v>
                </c:pt>
                <c:pt idx="13">
                  <c:v>2003</c:v>
                </c:pt>
                <c:pt idx="14">
                  <c:v>2004</c:v>
                </c:pt>
                <c:pt idx="15">
                  <c:v>2005</c:v>
                </c:pt>
                <c:pt idx="16">
                  <c:v>2006</c:v>
                </c:pt>
                <c:pt idx="17">
                  <c:v>2007</c:v>
                </c:pt>
                <c:pt idx="18">
                  <c:v>2008</c:v>
                </c:pt>
                <c:pt idx="19">
                  <c:v>2009</c:v>
                </c:pt>
                <c:pt idx="20">
                  <c:v>2010</c:v>
                </c:pt>
                <c:pt idx="21">
                  <c:v>2011</c:v>
                </c:pt>
                <c:pt idx="22">
                  <c:v>2012</c:v>
                </c:pt>
                <c:pt idx="23">
                  <c:v>2013</c:v>
                </c:pt>
                <c:pt idx="24">
                  <c:v>2014</c:v>
                </c:pt>
                <c:pt idx="25">
                  <c:v>2015</c:v>
                </c:pt>
                <c:pt idx="26">
                  <c:v>2016</c:v>
                </c:pt>
                <c:pt idx="27">
                  <c:v>2017</c:v>
                </c:pt>
                <c:pt idx="28">
                  <c:v>2018</c:v>
                </c:pt>
              </c:numCache>
            </c:numRef>
          </c:cat>
          <c:val>
            <c:numRef>
              <c:f>GDP!$C$5:$AE$5</c:f>
              <c:numCache>
                <c:formatCode>General</c:formatCode>
                <c:ptCount val="29"/>
                <c:pt idx="0">
                  <c:v>6175.624299100281</c:v>
                </c:pt>
                <c:pt idx="1">
                  <c:v>5915.5405886155113</c:v>
                </c:pt>
                <c:pt idx="2">
                  <c:v>6183.5251210009828</c:v>
                </c:pt>
                <c:pt idx="3">
                  <c:v>6549.9836149210514</c:v>
                </c:pt>
                <c:pt idx="4">
                  <c:v>7029.0813716852235</c:v>
                </c:pt>
                <c:pt idx="5">
                  <c:v>7664.9550287143365</c:v>
                </c:pt>
                <c:pt idx="6">
                  <c:v>8254.577353044182</c:v>
                </c:pt>
                <c:pt idx="7">
                  <c:v>8922.2356271914032</c:v>
                </c:pt>
                <c:pt idx="8">
                  <c:v>9471.4404943425561</c:v>
                </c:pt>
                <c:pt idx="9">
                  <c:v>10022.395363238513</c:v>
                </c:pt>
                <c:pt idx="10">
                  <c:v>10652.908289011915</c:v>
                </c:pt>
                <c:pt idx="11">
                  <c:v>11101.97471171235</c:v>
                </c:pt>
                <c:pt idx="12">
                  <c:v>11781.056352439515</c:v>
                </c:pt>
                <c:pt idx="13">
                  <c:v>12257.144866807408</c:v>
                </c:pt>
                <c:pt idx="14">
                  <c:v>13341.099999251574</c:v>
                </c:pt>
                <c:pt idx="15">
                  <c:v>13895.923541690619</c:v>
                </c:pt>
                <c:pt idx="16">
                  <c:v>15142.184873536298</c:v>
                </c:pt>
                <c:pt idx="17">
                  <c:v>16787.970246315177</c:v>
                </c:pt>
                <c:pt idx="18">
                  <c:v>18310.443208668483</c:v>
                </c:pt>
                <c:pt idx="19">
                  <c:v>19246.448675482818</c:v>
                </c:pt>
                <c:pt idx="20">
                  <c:v>21048.330521310847</c:v>
                </c:pt>
                <c:pt idx="21">
                  <c:v>22850.638846028618</c:v>
                </c:pt>
                <c:pt idx="22">
                  <c:v>23833.209704918652</c:v>
                </c:pt>
                <c:pt idx="23">
                  <c:v>24719.247505352094</c:v>
                </c:pt>
                <c:pt idx="24">
                  <c:v>25612.257831143841</c:v>
                </c:pt>
                <c:pt idx="25">
                  <c:v>26856.035219263318</c:v>
                </c:pt>
                <c:pt idx="26">
                  <c:v>27735.350849501872</c:v>
                </c:pt>
                <c:pt idx="27">
                  <c:v>29922.204979343991</c:v>
                </c:pt>
                <c:pt idx="28">
                  <c:v>31336.603496668569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4BB8-4992-9C20-0BDA3C3163BA}"/>
            </c:ext>
          </c:extLst>
        </c:ser>
        <c:ser>
          <c:idx val="1"/>
          <c:order val="1"/>
          <c:tx>
            <c:strRef>
              <c:f>GDP!$B$6</c:f>
              <c:strCache>
                <c:ptCount val="1"/>
                <c:pt idx="0">
                  <c:v>Francja</c:v>
                </c:pt>
              </c:strCache>
            </c:strRef>
          </c:tx>
          <c:spPr>
            <a:ln w="28575" cap="rnd">
              <a:solidFill>
                <a:schemeClr val="tx1"/>
              </a:solidFill>
              <a:round/>
            </a:ln>
            <a:effectLst/>
          </c:spPr>
          <c:marker>
            <c:symbol val="none"/>
          </c:marker>
          <c:cat>
            <c:numRef>
              <c:f>GDP!$C$4:$AE$4</c:f>
              <c:numCache>
                <c:formatCode>General</c:formatCode>
                <c:ptCount val="29"/>
                <c:pt idx="0">
                  <c:v>1990</c:v>
                </c:pt>
                <c:pt idx="1">
                  <c:v>1991</c:v>
                </c:pt>
                <c:pt idx="2">
                  <c:v>1992</c:v>
                </c:pt>
                <c:pt idx="3">
                  <c:v>1993</c:v>
                </c:pt>
                <c:pt idx="4">
                  <c:v>1994</c:v>
                </c:pt>
                <c:pt idx="5">
                  <c:v>1995</c:v>
                </c:pt>
                <c:pt idx="6">
                  <c:v>1996</c:v>
                </c:pt>
                <c:pt idx="7">
                  <c:v>1997</c:v>
                </c:pt>
                <c:pt idx="8">
                  <c:v>1998</c:v>
                </c:pt>
                <c:pt idx="9">
                  <c:v>1999</c:v>
                </c:pt>
                <c:pt idx="10">
                  <c:v>2000</c:v>
                </c:pt>
                <c:pt idx="11">
                  <c:v>2001</c:v>
                </c:pt>
                <c:pt idx="12">
                  <c:v>2002</c:v>
                </c:pt>
                <c:pt idx="13">
                  <c:v>2003</c:v>
                </c:pt>
                <c:pt idx="14">
                  <c:v>2004</c:v>
                </c:pt>
                <c:pt idx="15">
                  <c:v>2005</c:v>
                </c:pt>
                <c:pt idx="16">
                  <c:v>2006</c:v>
                </c:pt>
                <c:pt idx="17">
                  <c:v>2007</c:v>
                </c:pt>
                <c:pt idx="18">
                  <c:v>2008</c:v>
                </c:pt>
                <c:pt idx="19">
                  <c:v>2009</c:v>
                </c:pt>
                <c:pt idx="20">
                  <c:v>2010</c:v>
                </c:pt>
                <c:pt idx="21">
                  <c:v>2011</c:v>
                </c:pt>
                <c:pt idx="22">
                  <c:v>2012</c:v>
                </c:pt>
                <c:pt idx="23">
                  <c:v>2013</c:v>
                </c:pt>
                <c:pt idx="24">
                  <c:v>2014</c:v>
                </c:pt>
                <c:pt idx="25">
                  <c:v>2015</c:v>
                </c:pt>
                <c:pt idx="26">
                  <c:v>2016</c:v>
                </c:pt>
                <c:pt idx="27">
                  <c:v>2017</c:v>
                </c:pt>
                <c:pt idx="28">
                  <c:v>2018</c:v>
                </c:pt>
              </c:numCache>
            </c:numRef>
          </c:cat>
          <c:val>
            <c:numRef>
              <c:f>GDP!$C$6:$AE$6</c:f>
              <c:numCache>
                <c:formatCode>General</c:formatCode>
                <c:ptCount val="29"/>
                <c:pt idx="0">
                  <c:v>17624.237966825542</c:v>
                </c:pt>
                <c:pt idx="1">
                  <c:v>18309.47205922729</c:v>
                </c:pt>
                <c:pt idx="2">
                  <c:v>18931.869947536052</c:v>
                </c:pt>
                <c:pt idx="3">
                  <c:v>19175.312677803322</c:v>
                </c:pt>
                <c:pt idx="4">
                  <c:v>19972.179324661683</c:v>
                </c:pt>
                <c:pt idx="5">
                  <c:v>20745.458230331878</c:v>
                </c:pt>
                <c:pt idx="6">
                  <c:v>21331.450429476499</c:v>
                </c:pt>
                <c:pt idx="7">
                  <c:v>22241.412900079446</c:v>
                </c:pt>
                <c:pt idx="8">
                  <c:v>23359.058493456243</c:v>
                </c:pt>
                <c:pt idx="9">
                  <c:v>24307.498787648354</c:v>
                </c:pt>
                <c:pt idx="10">
                  <c:v>26094.252563443068</c:v>
                </c:pt>
                <c:pt idx="11">
                  <c:v>27501.542410609778</c:v>
                </c:pt>
                <c:pt idx="12">
                  <c:v>28523.885727138237</c:v>
                </c:pt>
                <c:pt idx="13">
                  <c:v>28141.461397433526</c:v>
                </c:pt>
                <c:pt idx="14">
                  <c:v>29034.000708698935</c:v>
                </c:pt>
                <c:pt idx="15">
                  <c:v>30498.579294360941</c:v>
                </c:pt>
                <c:pt idx="16">
                  <c:v>32434.86026412265</c:v>
                </c:pt>
                <c:pt idx="17">
                  <c:v>34088.360083530555</c:v>
                </c:pt>
                <c:pt idx="18">
                  <c:v>35095.262957449086</c:v>
                </c:pt>
                <c:pt idx="19">
                  <c:v>34685.173796929972</c:v>
                </c:pt>
                <c:pt idx="20">
                  <c:v>35900.045568261819</c:v>
                </c:pt>
                <c:pt idx="21">
                  <c:v>37440.638629868474</c:v>
                </c:pt>
                <c:pt idx="22">
                  <c:v>37679.121779860528</c:v>
                </c:pt>
                <c:pt idx="23">
                  <c:v>39523.853954218073</c:v>
                </c:pt>
                <c:pt idx="24">
                  <c:v>40141.585477621971</c:v>
                </c:pt>
                <c:pt idx="25">
                  <c:v>40833.242066458442</c:v>
                </c:pt>
                <c:pt idx="26">
                  <c:v>42047.287238237652</c:v>
                </c:pt>
                <c:pt idx="27">
                  <c:v>44255.941640102305</c:v>
                </c:pt>
                <c:pt idx="28">
                  <c:v>45342.395736083228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4BB8-4992-9C20-0BDA3C3163B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991532079"/>
        <c:axId val="1164879295"/>
      </c:lineChart>
      <c:catAx>
        <c:axId val="99153207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164879295"/>
        <c:crosses val="autoZero"/>
        <c:auto val="1"/>
        <c:lblAlgn val="ctr"/>
        <c:lblOffset val="100"/>
        <c:noMultiLvlLbl val="0"/>
      </c:catAx>
      <c:valAx>
        <c:axId val="116487929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99153207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9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 sz="900"/>
              <a:t>Gross domestic savings in GDP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oszczędności!$B$4</c:f>
              <c:strCache>
                <c:ptCount val="1"/>
                <c:pt idx="0">
                  <c:v>Polska</c:v>
                </c:pt>
              </c:strCache>
            </c:strRef>
          </c:tx>
          <c:spPr>
            <a:ln w="28575" cap="rnd">
              <a:solidFill>
                <a:schemeClr val="bg1">
                  <a:lumMod val="75000"/>
                </a:schemeClr>
              </a:solidFill>
              <a:round/>
            </a:ln>
            <a:effectLst/>
          </c:spPr>
          <c:marker>
            <c:symbol val="none"/>
          </c:marker>
          <c:cat>
            <c:numRef>
              <c:f>oszczędności!$C$3:$Z$3</c:f>
              <c:numCache>
                <c:formatCode>General</c:formatCode>
                <c:ptCount val="24"/>
                <c:pt idx="0">
                  <c:v>1995</c:v>
                </c:pt>
                <c:pt idx="1">
                  <c:v>1996</c:v>
                </c:pt>
                <c:pt idx="2">
                  <c:v>1997</c:v>
                </c:pt>
                <c:pt idx="3">
                  <c:v>1998</c:v>
                </c:pt>
                <c:pt idx="4">
                  <c:v>1999</c:v>
                </c:pt>
                <c:pt idx="5">
                  <c:v>2000</c:v>
                </c:pt>
                <c:pt idx="6">
                  <c:v>2001</c:v>
                </c:pt>
                <c:pt idx="7">
                  <c:v>2002</c:v>
                </c:pt>
                <c:pt idx="8">
                  <c:v>2003</c:v>
                </c:pt>
                <c:pt idx="9">
                  <c:v>2004</c:v>
                </c:pt>
                <c:pt idx="10">
                  <c:v>2005</c:v>
                </c:pt>
                <c:pt idx="11">
                  <c:v>2006</c:v>
                </c:pt>
                <c:pt idx="12">
                  <c:v>2007</c:v>
                </c:pt>
                <c:pt idx="13">
                  <c:v>2008</c:v>
                </c:pt>
                <c:pt idx="14">
                  <c:v>2009</c:v>
                </c:pt>
                <c:pt idx="15">
                  <c:v>2010</c:v>
                </c:pt>
                <c:pt idx="16">
                  <c:v>2011</c:v>
                </c:pt>
                <c:pt idx="17">
                  <c:v>2012</c:v>
                </c:pt>
                <c:pt idx="18">
                  <c:v>2013</c:v>
                </c:pt>
                <c:pt idx="19">
                  <c:v>2014</c:v>
                </c:pt>
                <c:pt idx="20">
                  <c:v>2015</c:v>
                </c:pt>
                <c:pt idx="21">
                  <c:v>2016</c:v>
                </c:pt>
                <c:pt idx="22">
                  <c:v>2017</c:v>
                </c:pt>
                <c:pt idx="23">
                  <c:v>2018</c:v>
                </c:pt>
              </c:numCache>
            </c:numRef>
          </c:cat>
          <c:val>
            <c:numRef>
              <c:f>oszczędności!$C$4:$Z$4</c:f>
              <c:numCache>
                <c:formatCode>General</c:formatCode>
                <c:ptCount val="24"/>
                <c:pt idx="0">
                  <c:v>21.92130160176162</c:v>
                </c:pt>
                <c:pt idx="1">
                  <c:v>20.418717041338336</c:v>
                </c:pt>
                <c:pt idx="2">
                  <c:v>19.947297310246363</c:v>
                </c:pt>
                <c:pt idx="3">
                  <c:v>20.484961283286225</c:v>
                </c:pt>
                <c:pt idx="4">
                  <c:v>19.691156965751606</c:v>
                </c:pt>
                <c:pt idx="5">
                  <c:v>18.298814508615425</c:v>
                </c:pt>
                <c:pt idx="6">
                  <c:v>16.942594313920317</c:v>
                </c:pt>
                <c:pt idx="7">
                  <c:v>15.037311085259747</c:v>
                </c:pt>
                <c:pt idx="8">
                  <c:v>16.17710685281288</c:v>
                </c:pt>
                <c:pt idx="9">
                  <c:v>17.547065468318291</c:v>
                </c:pt>
                <c:pt idx="10">
                  <c:v>18.849473178335899</c:v>
                </c:pt>
                <c:pt idx="11">
                  <c:v>19.632948971045707</c:v>
                </c:pt>
                <c:pt idx="12">
                  <c:v>21.67488348398668</c:v>
                </c:pt>
                <c:pt idx="13">
                  <c:v>19.615510520819647</c:v>
                </c:pt>
                <c:pt idx="14">
                  <c:v>19.716107179086553</c:v>
                </c:pt>
                <c:pt idx="15">
                  <c:v>19.315186210733014</c:v>
                </c:pt>
                <c:pt idx="16">
                  <c:v>20.483411027658498</c:v>
                </c:pt>
                <c:pt idx="17">
                  <c:v>20.550623686269695</c:v>
                </c:pt>
                <c:pt idx="18">
                  <c:v>20.928966530769905</c:v>
                </c:pt>
                <c:pt idx="19">
                  <c:v>21.799550112471884</c:v>
                </c:pt>
                <c:pt idx="20">
                  <c:v>23.552265104492438</c:v>
                </c:pt>
                <c:pt idx="21">
                  <c:v>23.621254389848652</c:v>
                </c:pt>
                <c:pt idx="22">
                  <c:v>23.97635677040121</c:v>
                </c:pt>
                <c:pt idx="23">
                  <c:v>24.139176510300004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8ACF-4CF9-8FF3-837F48D29BD9}"/>
            </c:ext>
          </c:extLst>
        </c:ser>
        <c:ser>
          <c:idx val="1"/>
          <c:order val="1"/>
          <c:tx>
            <c:strRef>
              <c:f>oszczędności!$B$5</c:f>
              <c:strCache>
                <c:ptCount val="1"/>
                <c:pt idx="0">
                  <c:v>Francja</c:v>
                </c:pt>
              </c:strCache>
            </c:strRef>
          </c:tx>
          <c:spPr>
            <a:ln w="28575" cap="rnd">
              <a:solidFill>
                <a:schemeClr val="tx1"/>
              </a:solidFill>
              <a:round/>
            </a:ln>
            <a:effectLst/>
          </c:spPr>
          <c:marker>
            <c:symbol val="none"/>
          </c:marker>
          <c:cat>
            <c:numRef>
              <c:f>oszczędności!$C$3:$Z$3</c:f>
              <c:numCache>
                <c:formatCode>General</c:formatCode>
                <c:ptCount val="24"/>
                <c:pt idx="0">
                  <c:v>1995</c:v>
                </c:pt>
                <c:pt idx="1">
                  <c:v>1996</c:v>
                </c:pt>
                <c:pt idx="2">
                  <c:v>1997</c:v>
                </c:pt>
                <c:pt idx="3">
                  <c:v>1998</c:v>
                </c:pt>
                <c:pt idx="4">
                  <c:v>1999</c:v>
                </c:pt>
                <c:pt idx="5">
                  <c:v>2000</c:v>
                </c:pt>
                <c:pt idx="6">
                  <c:v>2001</c:v>
                </c:pt>
                <c:pt idx="7">
                  <c:v>2002</c:v>
                </c:pt>
                <c:pt idx="8">
                  <c:v>2003</c:v>
                </c:pt>
                <c:pt idx="9">
                  <c:v>2004</c:v>
                </c:pt>
                <c:pt idx="10">
                  <c:v>2005</c:v>
                </c:pt>
                <c:pt idx="11">
                  <c:v>2006</c:v>
                </c:pt>
                <c:pt idx="12">
                  <c:v>2007</c:v>
                </c:pt>
                <c:pt idx="13">
                  <c:v>2008</c:v>
                </c:pt>
                <c:pt idx="14">
                  <c:v>2009</c:v>
                </c:pt>
                <c:pt idx="15">
                  <c:v>2010</c:v>
                </c:pt>
                <c:pt idx="16">
                  <c:v>2011</c:v>
                </c:pt>
                <c:pt idx="17">
                  <c:v>2012</c:v>
                </c:pt>
                <c:pt idx="18">
                  <c:v>2013</c:v>
                </c:pt>
                <c:pt idx="19">
                  <c:v>2014</c:v>
                </c:pt>
                <c:pt idx="20">
                  <c:v>2015</c:v>
                </c:pt>
                <c:pt idx="21">
                  <c:v>2016</c:v>
                </c:pt>
                <c:pt idx="22">
                  <c:v>2017</c:v>
                </c:pt>
                <c:pt idx="23">
                  <c:v>2018</c:v>
                </c:pt>
              </c:numCache>
            </c:numRef>
          </c:cat>
          <c:val>
            <c:numRef>
              <c:f>oszczędności!$C$5:$Z$5</c:f>
              <c:numCache>
                <c:formatCode>General</c:formatCode>
                <c:ptCount val="24"/>
                <c:pt idx="0">
                  <c:v>22.112941844726102</c:v>
                </c:pt>
                <c:pt idx="1">
                  <c:v>21.404238396634582</c:v>
                </c:pt>
                <c:pt idx="2">
                  <c:v>22.464895337710988</c:v>
                </c:pt>
                <c:pt idx="3">
                  <c:v>23.426802061697053</c:v>
                </c:pt>
                <c:pt idx="4">
                  <c:v>23.75597698499428</c:v>
                </c:pt>
                <c:pt idx="5">
                  <c:v>23.816757237493956</c:v>
                </c:pt>
                <c:pt idx="6">
                  <c:v>23.737290339357692</c:v>
                </c:pt>
                <c:pt idx="7">
                  <c:v>23.305658228940271</c:v>
                </c:pt>
                <c:pt idx="8">
                  <c:v>22.612233283823908</c:v>
                </c:pt>
                <c:pt idx="9">
                  <c:v>22.902326793304535</c:v>
                </c:pt>
                <c:pt idx="10">
                  <c:v>22.538075377780796</c:v>
                </c:pt>
                <c:pt idx="11">
                  <c:v>23.004451476096921</c:v>
                </c:pt>
                <c:pt idx="12">
                  <c:v>23.450570733918489</c:v>
                </c:pt>
                <c:pt idx="13">
                  <c:v>22.9715214969032</c:v>
                </c:pt>
                <c:pt idx="14">
                  <c:v>20.541751746261923</c:v>
                </c:pt>
                <c:pt idx="15">
                  <c:v>20.655052977288001</c:v>
                </c:pt>
                <c:pt idx="16">
                  <c:v>21.272959318761604</c:v>
                </c:pt>
                <c:pt idx="17">
                  <c:v>21.330627478691156</c:v>
                </c:pt>
                <c:pt idx="18">
                  <c:v>21.252613725085478</c:v>
                </c:pt>
                <c:pt idx="19">
                  <c:v>21.564403551085817</c:v>
                </c:pt>
                <c:pt idx="20">
                  <c:v>22.145874878094933</c:v>
                </c:pt>
                <c:pt idx="21">
                  <c:v>22.004324727891721</c:v>
                </c:pt>
                <c:pt idx="22">
                  <c:v>22.307448640843411</c:v>
                </c:pt>
                <c:pt idx="23">
                  <c:v>22.681877871224646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8ACF-4CF9-8FF3-837F48D29BD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067566159"/>
        <c:axId val="1056780767"/>
      </c:lineChart>
      <c:catAx>
        <c:axId val="106756615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056780767"/>
        <c:crosses val="autoZero"/>
        <c:auto val="1"/>
        <c:lblAlgn val="ctr"/>
        <c:lblOffset val="100"/>
        <c:noMultiLvlLbl val="0"/>
      </c:catAx>
      <c:valAx>
        <c:axId val="105678076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06756615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9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 sz="900"/>
              <a:t>Interest rate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Arkusz1!$B$2</c:f>
              <c:strCache>
                <c:ptCount val="1"/>
                <c:pt idx="0">
                  <c:v>Francja (EBC)</c:v>
                </c:pt>
              </c:strCache>
            </c:strRef>
          </c:tx>
          <c:spPr>
            <a:ln w="28575" cap="rnd">
              <a:solidFill>
                <a:schemeClr val="tx1"/>
              </a:solidFill>
              <a:round/>
            </a:ln>
            <a:effectLst/>
          </c:spPr>
          <c:marker>
            <c:symbol val="none"/>
          </c:marker>
          <c:cat>
            <c:numRef>
              <c:f>Arkusz1!$A$3:$A$141</c:f>
              <c:numCache>
                <c:formatCode>mmm\-yy</c:formatCode>
                <c:ptCount val="139"/>
                <c:pt idx="0">
                  <c:v>39722</c:v>
                </c:pt>
                <c:pt idx="1">
                  <c:v>39753</c:v>
                </c:pt>
                <c:pt idx="2">
                  <c:v>39783</c:v>
                </c:pt>
                <c:pt idx="3">
                  <c:v>39814</c:v>
                </c:pt>
                <c:pt idx="4">
                  <c:v>39845</c:v>
                </c:pt>
                <c:pt idx="5">
                  <c:v>39873</c:v>
                </c:pt>
                <c:pt idx="6">
                  <c:v>39904</c:v>
                </c:pt>
                <c:pt idx="7">
                  <c:v>39934</c:v>
                </c:pt>
                <c:pt idx="8">
                  <c:v>39965</c:v>
                </c:pt>
                <c:pt idx="9">
                  <c:v>39995</c:v>
                </c:pt>
                <c:pt idx="10">
                  <c:v>40026</c:v>
                </c:pt>
                <c:pt idx="11">
                  <c:v>40057</c:v>
                </c:pt>
                <c:pt idx="12">
                  <c:v>40087</c:v>
                </c:pt>
                <c:pt idx="13">
                  <c:v>40118</c:v>
                </c:pt>
                <c:pt idx="14">
                  <c:v>40148</c:v>
                </c:pt>
                <c:pt idx="15">
                  <c:v>40179</c:v>
                </c:pt>
                <c:pt idx="16">
                  <c:v>40210</c:v>
                </c:pt>
                <c:pt idx="17">
                  <c:v>40238</c:v>
                </c:pt>
                <c:pt idx="18">
                  <c:v>40269</c:v>
                </c:pt>
                <c:pt idx="19">
                  <c:v>40299</c:v>
                </c:pt>
                <c:pt idx="20">
                  <c:v>40330</c:v>
                </c:pt>
                <c:pt idx="21">
                  <c:v>40360</c:v>
                </c:pt>
                <c:pt idx="22">
                  <c:v>40391</c:v>
                </c:pt>
                <c:pt idx="23">
                  <c:v>40422</c:v>
                </c:pt>
                <c:pt idx="24">
                  <c:v>40452</c:v>
                </c:pt>
                <c:pt idx="25">
                  <c:v>40483</c:v>
                </c:pt>
                <c:pt idx="26">
                  <c:v>40513</c:v>
                </c:pt>
                <c:pt idx="27">
                  <c:v>40544</c:v>
                </c:pt>
                <c:pt idx="28">
                  <c:v>40575</c:v>
                </c:pt>
                <c:pt idx="29">
                  <c:v>40603</c:v>
                </c:pt>
                <c:pt idx="30">
                  <c:v>40634</c:v>
                </c:pt>
                <c:pt idx="31">
                  <c:v>40664</c:v>
                </c:pt>
                <c:pt idx="32">
                  <c:v>40695</c:v>
                </c:pt>
                <c:pt idx="33">
                  <c:v>40725</c:v>
                </c:pt>
                <c:pt idx="34">
                  <c:v>40756</c:v>
                </c:pt>
                <c:pt idx="35">
                  <c:v>40787</c:v>
                </c:pt>
                <c:pt idx="36">
                  <c:v>40817</c:v>
                </c:pt>
                <c:pt idx="37">
                  <c:v>40848</c:v>
                </c:pt>
                <c:pt idx="38">
                  <c:v>40878</c:v>
                </c:pt>
                <c:pt idx="39">
                  <c:v>40909</c:v>
                </c:pt>
                <c:pt idx="40">
                  <c:v>40940</c:v>
                </c:pt>
                <c:pt idx="41">
                  <c:v>40969</c:v>
                </c:pt>
                <c:pt idx="42">
                  <c:v>41000</c:v>
                </c:pt>
                <c:pt idx="43">
                  <c:v>41030</c:v>
                </c:pt>
                <c:pt idx="44">
                  <c:v>41061</c:v>
                </c:pt>
                <c:pt idx="45">
                  <c:v>41091</c:v>
                </c:pt>
                <c:pt idx="46">
                  <c:v>41122</c:v>
                </c:pt>
                <c:pt idx="47">
                  <c:v>41153</c:v>
                </c:pt>
                <c:pt idx="48">
                  <c:v>41183</c:v>
                </c:pt>
                <c:pt idx="49">
                  <c:v>41214</c:v>
                </c:pt>
                <c:pt idx="50">
                  <c:v>41244</c:v>
                </c:pt>
                <c:pt idx="51">
                  <c:v>41275</c:v>
                </c:pt>
                <c:pt idx="52">
                  <c:v>41306</c:v>
                </c:pt>
                <c:pt idx="53">
                  <c:v>41334</c:v>
                </c:pt>
                <c:pt idx="54">
                  <c:v>41365</c:v>
                </c:pt>
                <c:pt idx="55">
                  <c:v>41395</c:v>
                </c:pt>
                <c:pt idx="56">
                  <c:v>41426</c:v>
                </c:pt>
                <c:pt idx="57">
                  <c:v>41456</c:v>
                </c:pt>
                <c:pt idx="58">
                  <c:v>41487</c:v>
                </c:pt>
                <c:pt idx="59">
                  <c:v>41518</c:v>
                </c:pt>
                <c:pt idx="60">
                  <c:v>41548</c:v>
                </c:pt>
                <c:pt idx="61">
                  <c:v>41579</c:v>
                </c:pt>
                <c:pt idx="62">
                  <c:v>41609</c:v>
                </c:pt>
                <c:pt idx="63">
                  <c:v>41640</c:v>
                </c:pt>
                <c:pt idx="64">
                  <c:v>41671</c:v>
                </c:pt>
                <c:pt idx="65">
                  <c:v>41699</c:v>
                </c:pt>
                <c:pt idx="66">
                  <c:v>41730</c:v>
                </c:pt>
                <c:pt idx="67">
                  <c:v>41760</c:v>
                </c:pt>
                <c:pt idx="68">
                  <c:v>41791</c:v>
                </c:pt>
                <c:pt idx="69">
                  <c:v>41821</c:v>
                </c:pt>
                <c:pt idx="70">
                  <c:v>41852</c:v>
                </c:pt>
                <c:pt idx="71">
                  <c:v>41883</c:v>
                </c:pt>
                <c:pt idx="72">
                  <c:v>41913</c:v>
                </c:pt>
                <c:pt idx="73">
                  <c:v>41944</c:v>
                </c:pt>
                <c:pt idx="74">
                  <c:v>41974</c:v>
                </c:pt>
                <c:pt idx="75">
                  <c:v>42005</c:v>
                </c:pt>
                <c:pt idx="76">
                  <c:v>42036</c:v>
                </c:pt>
                <c:pt idx="77">
                  <c:v>42064</c:v>
                </c:pt>
                <c:pt idx="78">
                  <c:v>42095</c:v>
                </c:pt>
                <c:pt idx="79">
                  <c:v>42125</c:v>
                </c:pt>
                <c:pt idx="80">
                  <c:v>42156</c:v>
                </c:pt>
                <c:pt idx="81">
                  <c:v>42186</c:v>
                </c:pt>
                <c:pt idx="82">
                  <c:v>42217</c:v>
                </c:pt>
                <c:pt idx="83">
                  <c:v>42248</c:v>
                </c:pt>
                <c:pt idx="84">
                  <c:v>42278</c:v>
                </c:pt>
                <c:pt idx="85">
                  <c:v>42309</c:v>
                </c:pt>
                <c:pt idx="86">
                  <c:v>42339</c:v>
                </c:pt>
                <c:pt idx="87">
                  <c:v>42370</c:v>
                </c:pt>
                <c:pt idx="88">
                  <c:v>42401</c:v>
                </c:pt>
                <c:pt idx="89">
                  <c:v>42430</c:v>
                </c:pt>
                <c:pt idx="90">
                  <c:v>42461</c:v>
                </c:pt>
                <c:pt idx="91">
                  <c:v>42491</c:v>
                </c:pt>
                <c:pt idx="92">
                  <c:v>42522</c:v>
                </c:pt>
                <c:pt idx="93">
                  <c:v>42552</c:v>
                </c:pt>
                <c:pt idx="94">
                  <c:v>42583</c:v>
                </c:pt>
                <c:pt idx="95">
                  <c:v>42614</c:v>
                </c:pt>
                <c:pt idx="96">
                  <c:v>42644</c:v>
                </c:pt>
                <c:pt idx="97">
                  <c:v>42675</c:v>
                </c:pt>
                <c:pt idx="98">
                  <c:v>42705</c:v>
                </c:pt>
                <c:pt idx="99">
                  <c:v>42736</c:v>
                </c:pt>
                <c:pt idx="100">
                  <c:v>42767</c:v>
                </c:pt>
                <c:pt idx="101">
                  <c:v>42795</c:v>
                </c:pt>
                <c:pt idx="102">
                  <c:v>42826</c:v>
                </c:pt>
                <c:pt idx="103">
                  <c:v>42856</c:v>
                </c:pt>
                <c:pt idx="104">
                  <c:v>42887</c:v>
                </c:pt>
                <c:pt idx="105">
                  <c:v>42917</c:v>
                </c:pt>
                <c:pt idx="106">
                  <c:v>42948</c:v>
                </c:pt>
                <c:pt idx="107">
                  <c:v>42979</c:v>
                </c:pt>
                <c:pt idx="108">
                  <c:v>43009</c:v>
                </c:pt>
                <c:pt idx="109">
                  <c:v>43040</c:v>
                </c:pt>
                <c:pt idx="110">
                  <c:v>43070</c:v>
                </c:pt>
                <c:pt idx="111">
                  <c:v>43101</c:v>
                </c:pt>
                <c:pt idx="112">
                  <c:v>43132</c:v>
                </c:pt>
                <c:pt idx="113">
                  <c:v>43160</c:v>
                </c:pt>
                <c:pt idx="114">
                  <c:v>43191</c:v>
                </c:pt>
                <c:pt idx="115">
                  <c:v>43221</c:v>
                </c:pt>
                <c:pt idx="116">
                  <c:v>43252</c:v>
                </c:pt>
                <c:pt idx="117">
                  <c:v>43282</c:v>
                </c:pt>
                <c:pt idx="118">
                  <c:v>43313</c:v>
                </c:pt>
                <c:pt idx="119">
                  <c:v>43344</c:v>
                </c:pt>
                <c:pt idx="120">
                  <c:v>43374</c:v>
                </c:pt>
                <c:pt idx="121">
                  <c:v>43405</c:v>
                </c:pt>
                <c:pt idx="122">
                  <c:v>43435</c:v>
                </c:pt>
                <c:pt idx="123">
                  <c:v>43466</c:v>
                </c:pt>
                <c:pt idx="124">
                  <c:v>43497</c:v>
                </c:pt>
                <c:pt idx="125">
                  <c:v>43525</c:v>
                </c:pt>
                <c:pt idx="126">
                  <c:v>43556</c:v>
                </c:pt>
                <c:pt idx="127">
                  <c:v>43586</c:v>
                </c:pt>
                <c:pt idx="128">
                  <c:v>43617</c:v>
                </c:pt>
                <c:pt idx="129">
                  <c:v>43647</c:v>
                </c:pt>
                <c:pt idx="130">
                  <c:v>43678</c:v>
                </c:pt>
                <c:pt idx="131">
                  <c:v>43709</c:v>
                </c:pt>
                <c:pt idx="132">
                  <c:v>43739</c:v>
                </c:pt>
                <c:pt idx="133">
                  <c:v>43770</c:v>
                </c:pt>
                <c:pt idx="134">
                  <c:v>43800</c:v>
                </c:pt>
                <c:pt idx="135">
                  <c:v>43831</c:v>
                </c:pt>
                <c:pt idx="136">
                  <c:v>43862</c:v>
                </c:pt>
                <c:pt idx="137">
                  <c:v>43891</c:v>
                </c:pt>
                <c:pt idx="138">
                  <c:v>43922</c:v>
                </c:pt>
              </c:numCache>
            </c:numRef>
          </c:cat>
          <c:val>
            <c:numRef>
              <c:f>Arkusz1!$B$3:$B$141</c:f>
              <c:numCache>
                <c:formatCode>General</c:formatCode>
                <c:ptCount val="139"/>
                <c:pt idx="0">
                  <c:v>3.75</c:v>
                </c:pt>
                <c:pt idx="1">
                  <c:v>3.25</c:v>
                </c:pt>
                <c:pt idx="2">
                  <c:v>2.5</c:v>
                </c:pt>
                <c:pt idx="3">
                  <c:v>2</c:v>
                </c:pt>
                <c:pt idx="4">
                  <c:v>2</c:v>
                </c:pt>
                <c:pt idx="5">
                  <c:v>1.5</c:v>
                </c:pt>
                <c:pt idx="6">
                  <c:v>1.25</c:v>
                </c:pt>
                <c:pt idx="7">
                  <c:v>1</c:v>
                </c:pt>
                <c:pt idx="8">
                  <c:v>1</c:v>
                </c:pt>
                <c:pt idx="9">
                  <c:v>1</c:v>
                </c:pt>
                <c:pt idx="10">
                  <c:v>1</c:v>
                </c:pt>
                <c:pt idx="11">
                  <c:v>1</c:v>
                </c:pt>
                <c:pt idx="12">
                  <c:v>1</c:v>
                </c:pt>
                <c:pt idx="13">
                  <c:v>1</c:v>
                </c:pt>
                <c:pt idx="14">
                  <c:v>1</c:v>
                </c:pt>
                <c:pt idx="15">
                  <c:v>1</c:v>
                </c:pt>
                <c:pt idx="16">
                  <c:v>1</c:v>
                </c:pt>
                <c:pt idx="17">
                  <c:v>1</c:v>
                </c:pt>
                <c:pt idx="18">
                  <c:v>1</c:v>
                </c:pt>
                <c:pt idx="19">
                  <c:v>1</c:v>
                </c:pt>
                <c:pt idx="20">
                  <c:v>1</c:v>
                </c:pt>
                <c:pt idx="21">
                  <c:v>1</c:v>
                </c:pt>
                <c:pt idx="22">
                  <c:v>1</c:v>
                </c:pt>
                <c:pt idx="23">
                  <c:v>1</c:v>
                </c:pt>
                <c:pt idx="24">
                  <c:v>1</c:v>
                </c:pt>
                <c:pt idx="25">
                  <c:v>1</c:v>
                </c:pt>
                <c:pt idx="26">
                  <c:v>1</c:v>
                </c:pt>
                <c:pt idx="27">
                  <c:v>1</c:v>
                </c:pt>
                <c:pt idx="28">
                  <c:v>1</c:v>
                </c:pt>
                <c:pt idx="29">
                  <c:v>1</c:v>
                </c:pt>
                <c:pt idx="30">
                  <c:v>1.25</c:v>
                </c:pt>
                <c:pt idx="31">
                  <c:v>1.25</c:v>
                </c:pt>
                <c:pt idx="32">
                  <c:v>1.25</c:v>
                </c:pt>
                <c:pt idx="33">
                  <c:v>1.5</c:v>
                </c:pt>
                <c:pt idx="34">
                  <c:v>1.5</c:v>
                </c:pt>
                <c:pt idx="35">
                  <c:v>1.5</c:v>
                </c:pt>
                <c:pt idx="36">
                  <c:v>1.5</c:v>
                </c:pt>
                <c:pt idx="37">
                  <c:v>1.25</c:v>
                </c:pt>
                <c:pt idx="38">
                  <c:v>1</c:v>
                </c:pt>
                <c:pt idx="39">
                  <c:v>1</c:v>
                </c:pt>
                <c:pt idx="40">
                  <c:v>1</c:v>
                </c:pt>
                <c:pt idx="41">
                  <c:v>1</c:v>
                </c:pt>
                <c:pt idx="42">
                  <c:v>1</c:v>
                </c:pt>
                <c:pt idx="43">
                  <c:v>1</c:v>
                </c:pt>
                <c:pt idx="44">
                  <c:v>1</c:v>
                </c:pt>
                <c:pt idx="45">
                  <c:v>0.75</c:v>
                </c:pt>
                <c:pt idx="46">
                  <c:v>0.75</c:v>
                </c:pt>
                <c:pt idx="47">
                  <c:v>0.75</c:v>
                </c:pt>
                <c:pt idx="48">
                  <c:v>0.75</c:v>
                </c:pt>
                <c:pt idx="49">
                  <c:v>0.75</c:v>
                </c:pt>
                <c:pt idx="50">
                  <c:v>0.75</c:v>
                </c:pt>
                <c:pt idx="51">
                  <c:v>0.75</c:v>
                </c:pt>
                <c:pt idx="52">
                  <c:v>0.75</c:v>
                </c:pt>
                <c:pt idx="53">
                  <c:v>0.75</c:v>
                </c:pt>
                <c:pt idx="54">
                  <c:v>0.75</c:v>
                </c:pt>
                <c:pt idx="55">
                  <c:v>0.5</c:v>
                </c:pt>
                <c:pt idx="56">
                  <c:v>0.5</c:v>
                </c:pt>
                <c:pt idx="57">
                  <c:v>0.5</c:v>
                </c:pt>
                <c:pt idx="58">
                  <c:v>0.5</c:v>
                </c:pt>
                <c:pt idx="59">
                  <c:v>0.5</c:v>
                </c:pt>
                <c:pt idx="60">
                  <c:v>0.5</c:v>
                </c:pt>
                <c:pt idx="61">
                  <c:v>0.25</c:v>
                </c:pt>
                <c:pt idx="62">
                  <c:v>0.25</c:v>
                </c:pt>
                <c:pt idx="63">
                  <c:v>0.15</c:v>
                </c:pt>
                <c:pt idx="64">
                  <c:v>0.15</c:v>
                </c:pt>
                <c:pt idx="65">
                  <c:v>0.15</c:v>
                </c:pt>
                <c:pt idx="66">
                  <c:v>0.15</c:v>
                </c:pt>
                <c:pt idx="67">
                  <c:v>0.15</c:v>
                </c:pt>
                <c:pt idx="68">
                  <c:v>0.15</c:v>
                </c:pt>
                <c:pt idx="69">
                  <c:v>0.15</c:v>
                </c:pt>
                <c:pt idx="70">
                  <c:v>0.15</c:v>
                </c:pt>
                <c:pt idx="71">
                  <c:v>0.05</c:v>
                </c:pt>
                <c:pt idx="72">
                  <c:v>0.05</c:v>
                </c:pt>
                <c:pt idx="73">
                  <c:v>0.05</c:v>
                </c:pt>
                <c:pt idx="74">
                  <c:v>0.05</c:v>
                </c:pt>
                <c:pt idx="75">
                  <c:v>0.05</c:v>
                </c:pt>
                <c:pt idx="76">
                  <c:v>0.05</c:v>
                </c:pt>
                <c:pt idx="77">
                  <c:v>0.05</c:v>
                </c:pt>
                <c:pt idx="78">
                  <c:v>0.05</c:v>
                </c:pt>
                <c:pt idx="79">
                  <c:v>0.05</c:v>
                </c:pt>
                <c:pt idx="80">
                  <c:v>0.05</c:v>
                </c:pt>
                <c:pt idx="81">
                  <c:v>0.05</c:v>
                </c:pt>
                <c:pt idx="82">
                  <c:v>0.05</c:v>
                </c:pt>
                <c:pt idx="83">
                  <c:v>0.05</c:v>
                </c:pt>
                <c:pt idx="84">
                  <c:v>0.05</c:v>
                </c:pt>
                <c:pt idx="85">
                  <c:v>0.05</c:v>
                </c:pt>
                <c:pt idx="86">
                  <c:v>0.05</c:v>
                </c:pt>
                <c:pt idx="87">
                  <c:v>0.05</c:v>
                </c:pt>
                <c:pt idx="88">
                  <c:v>0.05</c:v>
                </c:pt>
                <c:pt idx="89">
                  <c:v>0</c:v>
                </c:pt>
                <c:pt idx="90">
                  <c:v>0</c:v>
                </c:pt>
                <c:pt idx="91">
                  <c:v>0</c:v>
                </c:pt>
                <c:pt idx="92">
                  <c:v>0</c:v>
                </c:pt>
                <c:pt idx="93">
                  <c:v>0</c:v>
                </c:pt>
                <c:pt idx="94">
                  <c:v>0</c:v>
                </c:pt>
                <c:pt idx="95">
                  <c:v>0</c:v>
                </c:pt>
                <c:pt idx="96">
                  <c:v>0</c:v>
                </c:pt>
                <c:pt idx="97">
                  <c:v>0</c:v>
                </c:pt>
                <c:pt idx="98">
                  <c:v>0</c:v>
                </c:pt>
                <c:pt idx="99">
                  <c:v>0</c:v>
                </c:pt>
                <c:pt idx="100">
                  <c:v>0</c:v>
                </c:pt>
                <c:pt idx="101">
                  <c:v>0</c:v>
                </c:pt>
                <c:pt idx="102">
                  <c:v>0</c:v>
                </c:pt>
                <c:pt idx="103">
                  <c:v>0</c:v>
                </c:pt>
                <c:pt idx="104">
                  <c:v>0</c:v>
                </c:pt>
                <c:pt idx="105">
                  <c:v>0</c:v>
                </c:pt>
                <c:pt idx="106">
                  <c:v>0</c:v>
                </c:pt>
                <c:pt idx="107">
                  <c:v>0</c:v>
                </c:pt>
                <c:pt idx="108">
                  <c:v>0</c:v>
                </c:pt>
                <c:pt idx="109">
                  <c:v>0</c:v>
                </c:pt>
                <c:pt idx="110">
                  <c:v>0</c:v>
                </c:pt>
                <c:pt idx="111">
                  <c:v>0</c:v>
                </c:pt>
                <c:pt idx="112">
                  <c:v>0</c:v>
                </c:pt>
                <c:pt idx="113">
                  <c:v>0</c:v>
                </c:pt>
                <c:pt idx="114">
                  <c:v>0</c:v>
                </c:pt>
                <c:pt idx="115">
                  <c:v>0</c:v>
                </c:pt>
                <c:pt idx="116">
                  <c:v>0</c:v>
                </c:pt>
                <c:pt idx="117">
                  <c:v>0</c:v>
                </c:pt>
                <c:pt idx="118">
                  <c:v>0</c:v>
                </c:pt>
                <c:pt idx="119">
                  <c:v>0</c:v>
                </c:pt>
                <c:pt idx="120">
                  <c:v>0</c:v>
                </c:pt>
                <c:pt idx="121">
                  <c:v>0</c:v>
                </c:pt>
                <c:pt idx="122">
                  <c:v>0</c:v>
                </c:pt>
                <c:pt idx="123">
                  <c:v>0</c:v>
                </c:pt>
                <c:pt idx="124">
                  <c:v>0</c:v>
                </c:pt>
                <c:pt idx="125">
                  <c:v>0</c:v>
                </c:pt>
                <c:pt idx="126">
                  <c:v>0</c:v>
                </c:pt>
                <c:pt idx="127">
                  <c:v>0</c:v>
                </c:pt>
                <c:pt idx="128">
                  <c:v>0</c:v>
                </c:pt>
                <c:pt idx="129">
                  <c:v>0</c:v>
                </c:pt>
                <c:pt idx="130">
                  <c:v>0</c:v>
                </c:pt>
                <c:pt idx="131">
                  <c:v>0</c:v>
                </c:pt>
                <c:pt idx="132">
                  <c:v>0</c:v>
                </c:pt>
                <c:pt idx="133">
                  <c:v>0</c:v>
                </c:pt>
                <c:pt idx="134">
                  <c:v>0</c:v>
                </c:pt>
                <c:pt idx="135">
                  <c:v>0</c:v>
                </c:pt>
                <c:pt idx="136">
                  <c:v>0</c:v>
                </c:pt>
                <c:pt idx="137">
                  <c:v>0</c:v>
                </c:pt>
                <c:pt idx="138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6288-4A80-96F5-3C8EFEDC933F}"/>
            </c:ext>
          </c:extLst>
        </c:ser>
        <c:ser>
          <c:idx val="1"/>
          <c:order val="1"/>
          <c:tx>
            <c:strRef>
              <c:f>Arkusz1!$C$2</c:f>
              <c:strCache>
                <c:ptCount val="1"/>
                <c:pt idx="0">
                  <c:v>Polska (NBP)</c:v>
                </c:pt>
              </c:strCache>
            </c:strRef>
          </c:tx>
          <c:spPr>
            <a:ln w="28575" cap="rnd">
              <a:solidFill>
                <a:schemeClr val="bg1">
                  <a:lumMod val="75000"/>
                </a:schemeClr>
              </a:solidFill>
              <a:round/>
            </a:ln>
            <a:effectLst/>
          </c:spPr>
          <c:marker>
            <c:symbol val="none"/>
          </c:marker>
          <c:cat>
            <c:numRef>
              <c:f>Arkusz1!$A$3:$A$141</c:f>
              <c:numCache>
                <c:formatCode>mmm\-yy</c:formatCode>
                <c:ptCount val="139"/>
                <c:pt idx="0">
                  <c:v>39722</c:v>
                </c:pt>
                <c:pt idx="1">
                  <c:v>39753</c:v>
                </c:pt>
                <c:pt idx="2">
                  <c:v>39783</c:v>
                </c:pt>
                <c:pt idx="3">
                  <c:v>39814</c:v>
                </c:pt>
                <c:pt idx="4">
                  <c:v>39845</c:v>
                </c:pt>
                <c:pt idx="5">
                  <c:v>39873</c:v>
                </c:pt>
                <c:pt idx="6">
                  <c:v>39904</c:v>
                </c:pt>
                <c:pt idx="7">
                  <c:v>39934</c:v>
                </c:pt>
                <c:pt idx="8">
                  <c:v>39965</c:v>
                </c:pt>
                <c:pt idx="9">
                  <c:v>39995</c:v>
                </c:pt>
                <c:pt idx="10">
                  <c:v>40026</c:v>
                </c:pt>
                <c:pt idx="11">
                  <c:v>40057</c:v>
                </c:pt>
                <c:pt idx="12">
                  <c:v>40087</c:v>
                </c:pt>
                <c:pt idx="13">
                  <c:v>40118</c:v>
                </c:pt>
                <c:pt idx="14">
                  <c:v>40148</c:v>
                </c:pt>
                <c:pt idx="15">
                  <c:v>40179</c:v>
                </c:pt>
                <c:pt idx="16">
                  <c:v>40210</c:v>
                </c:pt>
                <c:pt idx="17">
                  <c:v>40238</c:v>
                </c:pt>
                <c:pt idx="18">
                  <c:v>40269</c:v>
                </c:pt>
                <c:pt idx="19">
                  <c:v>40299</c:v>
                </c:pt>
                <c:pt idx="20">
                  <c:v>40330</c:v>
                </c:pt>
                <c:pt idx="21">
                  <c:v>40360</c:v>
                </c:pt>
                <c:pt idx="22">
                  <c:v>40391</c:v>
                </c:pt>
                <c:pt idx="23">
                  <c:v>40422</c:v>
                </c:pt>
                <c:pt idx="24">
                  <c:v>40452</c:v>
                </c:pt>
                <c:pt idx="25">
                  <c:v>40483</c:v>
                </c:pt>
                <c:pt idx="26">
                  <c:v>40513</c:v>
                </c:pt>
                <c:pt idx="27">
                  <c:v>40544</c:v>
                </c:pt>
                <c:pt idx="28">
                  <c:v>40575</c:v>
                </c:pt>
                <c:pt idx="29">
                  <c:v>40603</c:v>
                </c:pt>
                <c:pt idx="30">
                  <c:v>40634</c:v>
                </c:pt>
                <c:pt idx="31">
                  <c:v>40664</c:v>
                </c:pt>
                <c:pt idx="32">
                  <c:v>40695</c:v>
                </c:pt>
                <c:pt idx="33">
                  <c:v>40725</c:v>
                </c:pt>
                <c:pt idx="34">
                  <c:v>40756</c:v>
                </c:pt>
                <c:pt idx="35">
                  <c:v>40787</c:v>
                </c:pt>
                <c:pt idx="36">
                  <c:v>40817</c:v>
                </c:pt>
                <c:pt idx="37">
                  <c:v>40848</c:v>
                </c:pt>
                <c:pt idx="38">
                  <c:v>40878</c:v>
                </c:pt>
                <c:pt idx="39">
                  <c:v>40909</c:v>
                </c:pt>
                <c:pt idx="40">
                  <c:v>40940</c:v>
                </c:pt>
                <c:pt idx="41">
                  <c:v>40969</c:v>
                </c:pt>
                <c:pt idx="42">
                  <c:v>41000</c:v>
                </c:pt>
                <c:pt idx="43">
                  <c:v>41030</c:v>
                </c:pt>
                <c:pt idx="44">
                  <c:v>41061</c:v>
                </c:pt>
                <c:pt idx="45">
                  <c:v>41091</c:v>
                </c:pt>
                <c:pt idx="46">
                  <c:v>41122</c:v>
                </c:pt>
                <c:pt idx="47">
                  <c:v>41153</c:v>
                </c:pt>
                <c:pt idx="48">
                  <c:v>41183</c:v>
                </c:pt>
                <c:pt idx="49">
                  <c:v>41214</c:v>
                </c:pt>
                <c:pt idx="50">
                  <c:v>41244</c:v>
                </c:pt>
                <c:pt idx="51">
                  <c:v>41275</c:v>
                </c:pt>
                <c:pt idx="52">
                  <c:v>41306</c:v>
                </c:pt>
                <c:pt idx="53">
                  <c:v>41334</c:v>
                </c:pt>
                <c:pt idx="54">
                  <c:v>41365</c:v>
                </c:pt>
                <c:pt idx="55">
                  <c:v>41395</c:v>
                </c:pt>
                <c:pt idx="56">
                  <c:v>41426</c:v>
                </c:pt>
                <c:pt idx="57">
                  <c:v>41456</c:v>
                </c:pt>
                <c:pt idx="58">
                  <c:v>41487</c:v>
                </c:pt>
                <c:pt idx="59">
                  <c:v>41518</c:v>
                </c:pt>
                <c:pt idx="60">
                  <c:v>41548</c:v>
                </c:pt>
                <c:pt idx="61">
                  <c:v>41579</c:v>
                </c:pt>
                <c:pt idx="62">
                  <c:v>41609</c:v>
                </c:pt>
                <c:pt idx="63">
                  <c:v>41640</c:v>
                </c:pt>
                <c:pt idx="64">
                  <c:v>41671</c:v>
                </c:pt>
                <c:pt idx="65">
                  <c:v>41699</c:v>
                </c:pt>
                <c:pt idx="66">
                  <c:v>41730</c:v>
                </c:pt>
                <c:pt idx="67">
                  <c:v>41760</c:v>
                </c:pt>
                <c:pt idx="68">
                  <c:v>41791</c:v>
                </c:pt>
                <c:pt idx="69">
                  <c:v>41821</c:v>
                </c:pt>
                <c:pt idx="70">
                  <c:v>41852</c:v>
                </c:pt>
                <c:pt idx="71">
                  <c:v>41883</c:v>
                </c:pt>
                <c:pt idx="72">
                  <c:v>41913</c:v>
                </c:pt>
                <c:pt idx="73">
                  <c:v>41944</c:v>
                </c:pt>
                <c:pt idx="74">
                  <c:v>41974</c:v>
                </c:pt>
                <c:pt idx="75">
                  <c:v>42005</c:v>
                </c:pt>
                <c:pt idx="76">
                  <c:v>42036</c:v>
                </c:pt>
                <c:pt idx="77">
                  <c:v>42064</c:v>
                </c:pt>
                <c:pt idx="78">
                  <c:v>42095</c:v>
                </c:pt>
                <c:pt idx="79">
                  <c:v>42125</c:v>
                </c:pt>
                <c:pt idx="80">
                  <c:v>42156</c:v>
                </c:pt>
                <c:pt idx="81">
                  <c:v>42186</c:v>
                </c:pt>
                <c:pt idx="82">
                  <c:v>42217</c:v>
                </c:pt>
                <c:pt idx="83">
                  <c:v>42248</c:v>
                </c:pt>
                <c:pt idx="84">
                  <c:v>42278</c:v>
                </c:pt>
                <c:pt idx="85">
                  <c:v>42309</c:v>
                </c:pt>
                <c:pt idx="86">
                  <c:v>42339</c:v>
                </c:pt>
                <c:pt idx="87">
                  <c:v>42370</c:v>
                </c:pt>
                <c:pt idx="88">
                  <c:v>42401</c:v>
                </c:pt>
                <c:pt idx="89">
                  <c:v>42430</c:v>
                </c:pt>
                <c:pt idx="90">
                  <c:v>42461</c:v>
                </c:pt>
                <c:pt idx="91">
                  <c:v>42491</c:v>
                </c:pt>
                <c:pt idx="92">
                  <c:v>42522</c:v>
                </c:pt>
                <c:pt idx="93">
                  <c:v>42552</c:v>
                </c:pt>
                <c:pt idx="94">
                  <c:v>42583</c:v>
                </c:pt>
                <c:pt idx="95">
                  <c:v>42614</c:v>
                </c:pt>
                <c:pt idx="96">
                  <c:v>42644</c:v>
                </c:pt>
                <c:pt idx="97">
                  <c:v>42675</c:v>
                </c:pt>
                <c:pt idx="98">
                  <c:v>42705</c:v>
                </c:pt>
                <c:pt idx="99">
                  <c:v>42736</c:v>
                </c:pt>
                <c:pt idx="100">
                  <c:v>42767</c:v>
                </c:pt>
                <c:pt idx="101">
                  <c:v>42795</c:v>
                </c:pt>
                <c:pt idx="102">
                  <c:v>42826</c:v>
                </c:pt>
                <c:pt idx="103">
                  <c:v>42856</c:v>
                </c:pt>
                <c:pt idx="104">
                  <c:v>42887</c:v>
                </c:pt>
                <c:pt idx="105">
                  <c:v>42917</c:v>
                </c:pt>
                <c:pt idx="106">
                  <c:v>42948</c:v>
                </c:pt>
                <c:pt idx="107">
                  <c:v>42979</c:v>
                </c:pt>
                <c:pt idx="108">
                  <c:v>43009</c:v>
                </c:pt>
                <c:pt idx="109">
                  <c:v>43040</c:v>
                </c:pt>
                <c:pt idx="110">
                  <c:v>43070</c:v>
                </c:pt>
                <c:pt idx="111">
                  <c:v>43101</c:v>
                </c:pt>
                <c:pt idx="112">
                  <c:v>43132</c:v>
                </c:pt>
                <c:pt idx="113">
                  <c:v>43160</c:v>
                </c:pt>
                <c:pt idx="114">
                  <c:v>43191</c:v>
                </c:pt>
                <c:pt idx="115">
                  <c:v>43221</c:v>
                </c:pt>
                <c:pt idx="116">
                  <c:v>43252</c:v>
                </c:pt>
                <c:pt idx="117">
                  <c:v>43282</c:v>
                </c:pt>
                <c:pt idx="118">
                  <c:v>43313</c:v>
                </c:pt>
                <c:pt idx="119">
                  <c:v>43344</c:v>
                </c:pt>
                <c:pt idx="120">
                  <c:v>43374</c:v>
                </c:pt>
                <c:pt idx="121">
                  <c:v>43405</c:v>
                </c:pt>
                <c:pt idx="122">
                  <c:v>43435</c:v>
                </c:pt>
                <c:pt idx="123">
                  <c:v>43466</c:v>
                </c:pt>
                <c:pt idx="124">
                  <c:v>43497</c:v>
                </c:pt>
                <c:pt idx="125">
                  <c:v>43525</c:v>
                </c:pt>
                <c:pt idx="126">
                  <c:v>43556</c:v>
                </c:pt>
                <c:pt idx="127">
                  <c:v>43586</c:v>
                </c:pt>
                <c:pt idx="128">
                  <c:v>43617</c:v>
                </c:pt>
                <c:pt idx="129">
                  <c:v>43647</c:v>
                </c:pt>
                <c:pt idx="130">
                  <c:v>43678</c:v>
                </c:pt>
                <c:pt idx="131">
                  <c:v>43709</c:v>
                </c:pt>
                <c:pt idx="132">
                  <c:v>43739</c:v>
                </c:pt>
                <c:pt idx="133">
                  <c:v>43770</c:v>
                </c:pt>
                <c:pt idx="134">
                  <c:v>43800</c:v>
                </c:pt>
                <c:pt idx="135">
                  <c:v>43831</c:v>
                </c:pt>
                <c:pt idx="136">
                  <c:v>43862</c:v>
                </c:pt>
                <c:pt idx="137">
                  <c:v>43891</c:v>
                </c:pt>
                <c:pt idx="138">
                  <c:v>43922</c:v>
                </c:pt>
              </c:numCache>
            </c:numRef>
          </c:cat>
          <c:val>
            <c:numRef>
              <c:f>Arkusz1!$C$3:$C$141</c:f>
              <c:numCache>
                <c:formatCode>General</c:formatCode>
                <c:ptCount val="139"/>
                <c:pt idx="0">
                  <c:v>6</c:v>
                </c:pt>
                <c:pt idx="1">
                  <c:v>5.75</c:v>
                </c:pt>
                <c:pt idx="2">
                  <c:v>5</c:v>
                </c:pt>
                <c:pt idx="3">
                  <c:v>4.25</c:v>
                </c:pt>
                <c:pt idx="4">
                  <c:v>4</c:v>
                </c:pt>
                <c:pt idx="5">
                  <c:v>3.75</c:v>
                </c:pt>
                <c:pt idx="6">
                  <c:v>3.75</c:v>
                </c:pt>
                <c:pt idx="7">
                  <c:v>3.75</c:v>
                </c:pt>
                <c:pt idx="8">
                  <c:v>3.5</c:v>
                </c:pt>
                <c:pt idx="9">
                  <c:v>3.5</c:v>
                </c:pt>
                <c:pt idx="10">
                  <c:v>3.5</c:v>
                </c:pt>
                <c:pt idx="11">
                  <c:v>3.5</c:v>
                </c:pt>
                <c:pt idx="12">
                  <c:v>3.5</c:v>
                </c:pt>
                <c:pt idx="13">
                  <c:v>3.5</c:v>
                </c:pt>
                <c:pt idx="14">
                  <c:v>3.5</c:v>
                </c:pt>
                <c:pt idx="15">
                  <c:v>3.5</c:v>
                </c:pt>
                <c:pt idx="16">
                  <c:v>3.5</c:v>
                </c:pt>
                <c:pt idx="17">
                  <c:v>3.5</c:v>
                </c:pt>
                <c:pt idx="18">
                  <c:v>3.5</c:v>
                </c:pt>
                <c:pt idx="19">
                  <c:v>3.5</c:v>
                </c:pt>
                <c:pt idx="20">
                  <c:v>3.5</c:v>
                </c:pt>
                <c:pt idx="21">
                  <c:v>3.5</c:v>
                </c:pt>
                <c:pt idx="22">
                  <c:v>3.5</c:v>
                </c:pt>
                <c:pt idx="23">
                  <c:v>3.5</c:v>
                </c:pt>
                <c:pt idx="24">
                  <c:v>3.5</c:v>
                </c:pt>
                <c:pt idx="25">
                  <c:v>3.5</c:v>
                </c:pt>
                <c:pt idx="26">
                  <c:v>3.5</c:v>
                </c:pt>
                <c:pt idx="27">
                  <c:v>3.75</c:v>
                </c:pt>
                <c:pt idx="28">
                  <c:v>3.75</c:v>
                </c:pt>
                <c:pt idx="29">
                  <c:v>3.75</c:v>
                </c:pt>
                <c:pt idx="30">
                  <c:v>4</c:v>
                </c:pt>
                <c:pt idx="31">
                  <c:v>4.25</c:v>
                </c:pt>
                <c:pt idx="32">
                  <c:v>4.5</c:v>
                </c:pt>
                <c:pt idx="33">
                  <c:v>4.5</c:v>
                </c:pt>
                <c:pt idx="34">
                  <c:v>4.5</c:v>
                </c:pt>
                <c:pt idx="35">
                  <c:v>4.5</c:v>
                </c:pt>
                <c:pt idx="36">
                  <c:v>4.5</c:v>
                </c:pt>
                <c:pt idx="37">
                  <c:v>4.5</c:v>
                </c:pt>
                <c:pt idx="38">
                  <c:v>4.5</c:v>
                </c:pt>
                <c:pt idx="39">
                  <c:v>4.5</c:v>
                </c:pt>
                <c:pt idx="40">
                  <c:v>4.5</c:v>
                </c:pt>
                <c:pt idx="41">
                  <c:v>4.5</c:v>
                </c:pt>
                <c:pt idx="42">
                  <c:v>4.5</c:v>
                </c:pt>
                <c:pt idx="43">
                  <c:v>4.75</c:v>
                </c:pt>
                <c:pt idx="44">
                  <c:v>4.75</c:v>
                </c:pt>
                <c:pt idx="45">
                  <c:v>4.75</c:v>
                </c:pt>
                <c:pt idx="46">
                  <c:v>4.75</c:v>
                </c:pt>
                <c:pt idx="47">
                  <c:v>4.75</c:v>
                </c:pt>
                <c:pt idx="48">
                  <c:v>4.75</c:v>
                </c:pt>
                <c:pt idx="49">
                  <c:v>4.5</c:v>
                </c:pt>
                <c:pt idx="50">
                  <c:v>4.25</c:v>
                </c:pt>
                <c:pt idx="51">
                  <c:v>4</c:v>
                </c:pt>
                <c:pt idx="52">
                  <c:v>3.75</c:v>
                </c:pt>
                <c:pt idx="53">
                  <c:v>3.25</c:v>
                </c:pt>
                <c:pt idx="54">
                  <c:v>3.25</c:v>
                </c:pt>
                <c:pt idx="55">
                  <c:v>3</c:v>
                </c:pt>
                <c:pt idx="56">
                  <c:v>2.75</c:v>
                </c:pt>
                <c:pt idx="57">
                  <c:v>2.5</c:v>
                </c:pt>
                <c:pt idx="58">
                  <c:v>2.5</c:v>
                </c:pt>
                <c:pt idx="59">
                  <c:v>2.5</c:v>
                </c:pt>
                <c:pt idx="60">
                  <c:v>2.5</c:v>
                </c:pt>
                <c:pt idx="61">
                  <c:v>2.5</c:v>
                </c:pt>
                <c:pt idx="62">
                  <c:v>2.5</c:v>
                </c:pt>
                <c:pt idx="63">
                  <c:v>2.5</c:v>
                </c:pt>
                <c:pt idx="64">
                  <c:v>2.5</c:v>
                </c:pt>
                <c:pt idx="65">
                  <c:v>2.5</c:v>
                </c:pt>
                <c:pt idx="66">
                  <c:v>2.5</c:v>
                </c:pt>
                <c:pt idx="67">
                  <c:v>2.5</c:v>
                </c:pt>
                <c:pt idx="68">
                  <c:v>2.5</c:v>
                </c:pt>
                <c:pt idx="69">
                  <c:v>2.5</c:v>
                </c:pt>
                <c:pt idx="70">
                  <c:v>2.5</c:v>
                </c:pt>
                <c:pt idx="71">
                  <c:v>2.5</c:v>
                </c:pt>
                <c:pt idx="72">
                  <c:v>2</c:v>
                </c:pt>
                <c:pt idx="73">
                  <c:v>2</c:v>
                </c:pt>
                <c:pt idx="74">
                  <c:v>2</c:v>
                </c:pt>
                <c:pt idx="75">
                  <c:v>2</c:v>
                </c:pt>
                <c:pt idx="76">
                  <c:v>2</c:v>
                </c:pt>
                <c:pt idx="77">
                  <c:v>1.5</c:v>
                </c:pt>
                <c:pt idx="78">
                  <c:v>1.5</c:v>
                </c:pt>
                <c:pt idx="79">
                  <c:v>1.5</c:v>
                </c:pt>
                <c:pt idx="80">
                  <c:v>1.5</c:v>
                </c:pt>
                <c:pt idx="81">
                  <c:v>1.5</c:v>
                </c:pt>
                <c:pt idx="82">
                  <c:v>1.5</c:v>
                </c:pt>
                <c:pt idx="83">
                  <c:v>1.5</c:v>
                </c:pt>
                <c:pt idx="84">
                  <c:v>1.5</c:v>
                </c:pt>
                <c:pt idx="85">
                  <c:v>1.5</c:v>
                </c:pt>
                <c:pt idx="86">
                  <c:v>1.5</c:v>
                </c:pt>
                <c:pt idx="87">
                  <c:v>1.5</c:v>
                </c:pt>
                <c:pt idx="88">
                  <c:v>1.5</c:v>
                </c:pt>
                <c:pt idx="89">
                  <c:v>1.5</c:v>
                </c:pt>
                <c:pt idx="90">
                  <c:v>1.5</c:v>
                </c:pt>
                <c:pt idx="91">
                  <c:v>1.5</c:v>
                </c:pt>
                <c:pt idx="92">
                  <c:v>1.5</c:v>
                </c:pt>
                <c:pt idx="93">
                  <c:v>1.5</c:v>
                </c:pt>
                <c:pt idx="94">
                  <c:v>1.5</c:v>
                </c:pt>
                <c:pt idx="95">
                  <c:v>1.5</c:v>
                </c:pt>
                <c:pt idx="96">
                  <c:v>1.5</c:v>
                </c:pt>
                <c:pt idx="97">
                  <c:v>1.5</c:v>
                </c:pt>
                <c:pt idx="98">
                  <c:v>1.5</c:v>
                </c:pt>
                <c:pt idx="99">
                  <c:v>1.5</c:v>
                </c:pt>
                <c:pt idx="100">
                  <c:v>1.5</c:v>
                </c:pt>
                <c:pt idx="101">
                  <c:v>1.5</c:v>
                </c:pt>
                <c:pt idx="102">
                  <c:v>1.5</c:v>
                </c:pt>
                <c:pt idx="103">
                  <c:v>1.5</c:v>
                </c:pt>
                <c:pt idx="104">
                  <c:v>1.5</c:v>
                </c:pt>
                <c:pt idx="105">
                  <c:v>1.5</c:v>
                </c:pt>
                <c:pt idx="106">
                  <c:v>1.5</c:v>
                </c:pt>
                <c:pt idx="107">
                  <c:v>1.5</c:v>
                </c:pt>
                <c:pt idx="108">
                  <c:v>1.5</c:v>
                </c:pt>
                <c:pt idx="109">
                  <c:v>1.5</c:v>
                </c:pt>
                <c:pt idx="110">
                  <c:v>1.5</c:v>
                </c:pt>
                <c:pt idx="111">
                  <c:v>1.5</c:v>
                </c:pt>
                <c:pt idx="112">
                  <c:v>1.5</c:v>
                </c:pt>
                <c:pt idx="113">
                  <c:v>1.5</c:v>
                </c:pt>
                <c:pt idx="114">
                  <c:v>1.5</c:v>
                </c:pt>
                <c:pt idx="115">
                  <c:v>1.5</c:v>
                </c:pt>
                <c:pt idx="116">
                  <c:v>1.5</c:v>
                </c:pt>
                <c:pt idx="117">
                  <c:v>1.5</c:v>
                </c:pt>
                <c:pt idx="118">
                  <c:v>1.5</c:v>
                </c:pt>
                <c:pt idx="119">
                  <c:v>1.5</c:v>
                </c:pt>
                <c:pt idx="120">
                  <c:v>1.5</c:v>
                </c:pt>
                <c:pt idx="121">
                  <c:v>1.5</c:v>
                </c:pt>
                <c:pt idx="122">
                  <c:v>1.5</c:v>
                </c:pt>
                <c:pt idx="123">
                  <c:v>1.5</c:v>
                </c:pt>
                <c:pt idx="124">
                  <c:v>1.5</c:v>
                </c:pt>
                <c:pt idx="125">
                  <c:v>1.5</c:v>
                </c:pt>
                <c:pt idx="126">
                  <c:v>1.5</c:v>
                </c:pt>
                <c:pt idx="127">
                  <c:v>1.5</c:v>
                </c:pt>
                <c:pt idx="128">
                  <c:v>1.5</c:v>
                </c:pt>
                <c:pt idx="129">
                  <c:v>1.5</c:v>
                </c:pt>
                <c:pt idx="130">
                  <c:v>1.5</c:v>
                </c:pt>
                <c:pt idx="131">
                  <c:v>1.5</c:v>
                </c:pt>
                <c:pt idx="132">
                  <c:v>1.5</c:v>
                </c:pt>
                <c:pt idx="133">
                  <c:v>1.5</c:v>
                </c:pt>
                <c:pt idx="134">
                  <c:v>1.5</c:v>
                </c:pt>
                <c:pt idx="135">
                  <c:v>1.5</c:v>
                </c:pt>
                <c:pt idx="136">
                  <c:v>1.5</c:v>
                </c:pt>
                <c:pt idx="137">
                  <c:v>1</c:v>
                </c:pt>
                <c:pt idx="138">
                  <c:v>0.5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6288-4A80-96F5-3C8EFEDC933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640080655"/>
        <c:axId val="588974783"/>
      </c:lineChart>
      <c:dateAx>
        <c:axId val="640080655"/>
        <c:scaling>
          <c:orientation val="minMax"/>
        </c:scaling>
        <c:delete val="0"/>
        <c:axPos val="b"/>
        <c:numFmt formatCode="mmm\-yy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588974783"/>
        <c:crosses val="autoZero"/>
        <c:auto val="1"/>
        <c:lblOffset val="100"/>
        <c:baseTimeUnit val="months"/>
      </c:dateAx>
      <c:valAx>
        <c:axId val="58897478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640080655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486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</dc:creator>
  <cp:keywords/>
  <dc:description/>
  <cp:lastModifiedBy>Komputer</cp:lastModifiedBy>
  <cp:revision>1</cp:revision>
  <dcterms:created xsi:type="dcterms:W3CDTF">2020-05-15T18:17:00Z</dcterms:created>
  <dcterms:modified xsi:type="dcterms:W3CDTF">2020-05-15T18:18:00Z</dcterms:modified>
</cp:coreProperties>
</file>