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02D" w:rsidRPr="00CF051D" w:rsidRDefault="00D77E31" w:rsidP="00D77E31">
      <w:pPr>
        <w:jc w:val="center"/>
        <w:rPr>
          <w:rFonts w:eastAsia="Times New Roman" w:cs="Times New Roman"/>
          <w:sz w:val="20"/>
          <w:szCs w:val="20"/>
          <w:lang w:val="en-GB"/>
        </w:rPr>
      </w:pPr>
      <w:r w:rsidRPr="00CF051D">
        <w:rPr>
          <w:rFonts w:eastAsia="Times New Roman" w:cs="Times New Roman"/>
          <w:sz w:val="20"/>
          <w:szCs w:val="20"/>
          <w:lang w:val="en-GB"/>
        </w:rPr>
        <w:t>WALDEMAR A. GORZYM-WILKOWSKI</w:t>
      </w:r>
    </w:p>
    <w:p w:rsidR="00D77E31" w:rsidRPr="00CF051D" w:rsidRDefault="00D77E31" w:rsidP="00D77E31">
      <w:pPr>
        <w:jc w:val="center"/>
        <w:rPr>
          <w:rFonts w:eastAsia="Times New Roman" w:cs="Times New Roman"/>
          <w:sz w:val="16"/>
          <w:szCs w:val="16"/>
          <w:lang w:val="en-GB"/>
        </w:rPr>
      </w:pPr>
      <w:r w:rsidRPr="00CF051D">
        <w:rPr>
          <w:rFonts w:eastAsia="Times New Roman" w:cs="Times New Roman"/>
          <w:sz w:val="16"/>
          <w:szCs w:val="16"/>
          <w:lang w:val="en-GB"/>
        </w:rPr>
        <w:t>waldemar.gorzym-wilkowski@mail.umcs.pl</w:t>
      </w:r>
    </w:p>
    <w:p w:rsidR="00114368" w:rsidRDefault="00B9202D" w:rsidP="00D77E31">
      <w:pPr>
        <w:jc w:val="center"/>
        <w:rPr>
          <w:rFonts w:eastAsia="Times New Roman" w:cs="Times New Roman"/>
          <w:iCs/>
          <w:sz w:val="16"/>
          <w:szCs w:val="16"/>
        </w:rPr>
      </w:pPr>
      <w:r w:rsidRPr="00D77E31">
        <w:rPr>
          <w:rFonts w:eastAsia="Times New Roman" w:cs="Times New Roman"/>
          <w:sz w:val="16"/>
          <w:szCs w:val="16"/>
        </w:rPr>
        <w:t>Instytut Geografii Społeczno-Ekonomicznej i Gospodarki Przestrzennej UMCS</w:t>
      </w:r>
      <w:r w:rsidR="00362C42" w:rsidRPr="00D77E31">
        <w:rPr>
          <w:rFonts w:eastAsia="Times New Roman" w:cs="Times New Roman"/>
          <w:sz w:val="16"/>
          <w:szCs w:val="16"/>
        </w:rPr>
        <w:t xml:space="preserve"> </w:t>
      </w:r>
      <w:r w:rsidR="00114368" w:rsidRPr="00D77E31">
        <w:rPr>
          <w:rFonts w:eastAsia="Times New Roman" w:cs="Times New Roman"/>
          <w:sz w:val="16"/>
          <w:szCs w:val="16"/>
        </w:rPr>
        <w:t>(Institute of Socio-Economic Geography and Spatial Management</w:t>
      </w:r>
      <w:r w:rsidR="0043064B" w:rsidRPr="00D77E31">
        <w:rPr>
          <w:rFonts w:eastAsia="Times New Roman" w:cs="Times New Roman"/>
          <w:sz w:val="16"/>
          <w:szCs w:val="16"/>
        </w:rPr>
        <w:t>, UMCS</w:t>
      </w:r>
      <w:r w:rsidR="00114368" w:rsidRPr="00D77E31">
        <w:rPr>
          <w:rFonts w:eastAsia="Times New Roman" w:cs="Times New Roman"/>
          <w:iCs/>
          <w:sz w:val="16"/>
          <w:szCs w:val="16"/>
        </w:rPr>
        <w:t>)</w:t>
      </w:r>
    </w:p>
    <w:p w:rsidR="00D77E31" w:rsidRPr="0064087A" w:rsidRDefault="0064087A" w:rsidP="00D77E31">
      <w:pPr>
        <w:jc w:val="center"/>
        <w:rPr>
          <w:rFonts w:eastAsia="Times New Roman" w:cs="Times New Roman"/>
          <w:color w:val="FF0000"/>
          <w:sz w:val="16"/>
          <w:szCs w:val="16"/>
        </w:rPr>
      </w:pPr>
      <w:r w:rsidRPr="00CF051D">
        <w:rPr>
          <w:rStyle w:val="Pogrubienie"/>
          <w:rFonts w:cs="Times New Roman"/>
          <w:b w:val="0"/>
          <w:iCs/>
          <w:sz w:val="16"/>
          <w:szCs w:val="16"/>
        </w:rPr>
        <w:t>https://orcid.org/</w:t>
      </w:r>
      <w:r w:rsidRPr="0064087A">
        <w:rPr>
          <w:rFonts w:cs="Times New Roman"/>
          <w:color w:val="000000"/>
          <w:sz w:val="16"/>
          <w:szCs w:val="16"/>
          <w:shd w:val="clear" w:color="auto" w:fill="FFFFFF"/>
        </w:rPr>
        <w:t xml:space="preserve"> 0000-0001-6559-4717</w:t>
      </w:r>
    </w:p>
    <w:p w:rsidR="00B9202D" w:rsidRPr="00D77E31" w:rsidRDefault="00D77E31" w:rsidP="00D77E31">
      <w:pPr>
        <w:jc w:val="center"/>
        <w:rPr>
          <w:rFonts w:eastAsia="Times New Roman" w:cs="Times New Roman"/>
          <w:sz w:val="20"/>
          <w:szCs w:val="20"/>
        </w:rPr>
      </w:pPr>
      <w:r w:rsidRPr="00D77E31">
        <w:rPr>
          <w:rFonts w:eastAsia="Times New Roman" w:cs="Times New Roman"/>
          <w:sz w:val="20"/>
          <w:szCs w:val="20"/>
        </w:rPr>
        <w:t>BOGUSŁAW GULSKI</w:t>
      </w:r>
    </w:p>
    <w:p w:rsidR="00D77E31" w:rsidRPr="00CF051D" w:rsidRDefault="00D77E31" w:rsidP="00D77E31">
      <w:pPr>
        <w:pStyle w:val="NormalnyWeb"/>
        <w:spacing w:before="0" w:beforeAutospacing="0" w:after="0" w:afterAutospacing="0" w:line="360" w:lineRule="auto"/>
        <w:jc w:val="center"/>
        <w:rPr>
          <w:sz w:val="16"/>
          <w:szCs w:val="16"/>
        </w:rPr>
      </w:pPr>
      <w:r w:rsidRPr="00CF051D">
        <w:rPr>
          <w:sz w:val="16"/>
          <w:szCs w:val="16"/>
        </w:rPr>
        <w:t>boguslaw.gulski@mail.umcs.pl</w:t>
      </w:r>
    </w:p>
    <w:p w:rsidR="00D77E31" w:rsidRDefault="00B9202D" w:rsidP="00D77E31">
      <w:pPr>
        <w:pStyle w:val="NormalnyWeb"/>
        <w:spacing w:before="0" w:beforeAutospacing="0" w:after="120" w:afterAutospacing="0" w:line="360" w:lineRule="auto"/>
        <w:jc w:val="center"/>
        <w:rPr>
          <w:rStyle w:val="Pogrubienie"/>
          <w:b w:val="0"/>
          <w:iCs/>
          <w:sz w:val="16"/>
          <w:szCs w:val="16"/>
          <w:lang w:val="en-GB"/>
        </w:rPr>
      </w:pPr>
      <w:r w:rsidRPr="00D77E31">
        <w:rPr>
          <w:sz w:val="16"/>
          <w:szCs w:val="16"/>
          <w:lang w:val="en-GB"/>
        </w:rPr>
        <w:t>Instytut Nauk o Zarządzaniu i Jakości UMCS</w:t>
      </w:r>
      <w:r w:rsidR="00362C42" w:rsidRPr="00D77E31">
        <w:rPr>
          <w:sz w:val="16"/>
          <w:szCs w:val="16"/>
          <w:lang w:val="en-GB"/>
        </w:rPr>
        <w:t xml:space="preserve"> </w:t>
      </w:r>
      <w:r w:rsidR="00B83661" w:rsidRPr="00D77E31">
        <w:rPr>
          <w:b/>
          <w:iCs/>
          <w:sz w:val="16"/>
          <w:szCs w:val="16"/>
          <w:lang w:val="en-GB"/>
        </w:rPr>
        <w:t>(</w:t>
      </w:r>
      <w:r w:rsidR="00B83661" w:rsidRPr="00D77E31">
        <w:rPr>
          <w:rStyle w:val="Pogrubienie"/>
          <w:b w:val="0"/>
          <w:sz w:val="16"/>
          <w:szCs w:val="16"/>
          <w:lang w:val="en-GB"/>
        </w:rPr>
        <w:t>Institute</w:t>
      </w:r>
      <w:r w:rsidR="0043064B" w:rsidRPr="00D77E31">
        <w:rPr>
          <w:rStyle w:val="Pogrubienie"/>
          <w:b w:val="0"/>
          <w:sz w:val="16"/>
          <w:szCs w:val="16"/>
          <w:lang w:val="en-GB"/>
        </w:rPr>
        <w:t xml:space="preserve"> of </w:t>
      </w:r>
      <w:r w:rsidR="00B83661" w:rsidRPr="00D77E31">
        <w:rPr>
          <w:rStyle w:val="Pogrubienie"/>
          <w:b w:val="0"/>
          <w:sz w:val="16"/>
          <w:szCs w:val="16"/>
          <w:lang w:val="en-GB"/>
        </w:rPr>
        <w:t>Management and Quality Sciences</w:t>
      </w:r>
      <w:r w:rsidR="0043064B" w:rsidRPr="00D77E31">
        <w:rPr>
          <w:rStyle w:val="Pogrubienie"/>
          <w:b w:val="0"/>
          <w:sz w:val="16"/>
          <w:szCs w:val="16"/>
          <w:lang w:val="en-GB"/>
        </w:rPr>
        <w:t>,</w:t>
      </w:r>
      <w:r w:rsidR="00B83661" w:rsidRPr="00D77E31">
        <w:rPr>
          <w:rStyle w:val="Pogrubienie"/>
          <w:b w:val="0"/>
          <w:sz w:val="16"/>
          <w:szCs w:val="16"/>
          <w:lang w:val="en-GB"/>
        </w:rPr>
        <w:t xml:space="preserve"> UMCS</w:t>
      </w:r>
      <w:r w:rsidR="00B83661" w:rsidRPr="00D77E31">
        <w:rPr>
          <w:rStyle w:val="Pogrubienie"/>
          <w:b w:val="0"/>
          <w:iCs/>
          <w:sz w:val="16"/>
          <w:szCs w:val="16"/>
          <w:lang w:val="en-GB"/>
        </w:rPr>
        <w:t>)</w:t>
      </w:r>
    </w:p>
    <w:p w:rsidR="00B83661" w:rsidRPr="00D77E31" w:rsidRDefault="00D77E31" w:rsidP="00D77E31">
      <w:pPr>
        <w:pStyle w:val="NormalnyWeb"/>
        <w:spacing w:before="0" w:beforeAutospacing="0" w:after="300" w:afterAutospacing="0" w:line="360" w:lineRule="auto"/>
        <w:jc w:val="center"/>
        <w:rPr>
          <w:sz w:val="16"/>
          <w:szCs w:val="16"/>
          <w:lang w:val="en-GB"/>
        </w:rPr>
      </w:pPr>
      <w:r>
        <w:rPr>
          <w:rStyle w:val="Pogrubienie"/>
          <w:b w:val="0"/>
          <w:iCs/>
          <w:sz w:val="16"/>
          <w:szCs w:val="16"/>
          <w:lang w:val="en-GB"/>
        </w:rPr>
        <w:t>https://orcid.org/0000-0002-2681-7815</w:t>
      </w:r>
    </w:p>
    <w:p w:rsidR="00B9202D" w:rsidRPr="00AB07B0" w:rsidRDefault="00B9202D" w:rsidP="00297CBF">
      <w:pPr>
        <w:jc w:val="center"/>
        <w:rPr>
          <w:b/>
          <w:bCs/>
          <w:lang w:val="en-GB"/>
        </w:rPr>
      </w:pPr>
    </w:p>
    <w:p w:rsidR="00297CBF" w:rsidRPr="00CF051D" w:rsidRDefault="00297CBF" w:rsidP="00297CBF">
      <w:pPr>
        <w:jc w:val="center"/>
        <w:rPr>
          <w:i/>
          <w:lang w:val="en-GB"/>
        </w:rPr>
      </w:pPr>
      <w:r w:rsidRPr="00CF051D">
        <w:rPr>
          <w:bCs/>
          <w:i/>
          <w:lang w:val="en-GB"/>
        </w:rPr>
        <w:t xml:space="preserve">Spatial planning </w:t>
      </w:r>
      <w:r w:rsidR="00787B77" w:rsidRPr="00CF051D">
        <w:rPr>
          <w:bCs/>
          <w:i/>
          <w:lang w:val="en-GB"/>
        </w:rPr>
        <w:t xml:space="preserve">as a </w:t>
      </w:r>
      <w:r w:rsidRPr="00CF051D">
        <w:rPr>
          <w:bCs/>
          <w:i/>
          <w:lang w:val="en-GB"/>
        </w:rPr>
        <w:t xml:space="preserve">public </w:t>
      </w:r>
      <w:r w:rsidR="00176C53" w:rsidRPr="00CF051D">
        <w:rPr>
          <w:bCs/>
          <w:i/>
          <w:lang w:val="en-GB"/>
        </w:rPr>
        <w:t>management</w:t>
      </w:r>
      <w:r w:rsidR="00362C42" w:rsidRPr="00CF051D">
        <w:rPr>
          <w:bCs/>
          <w:i/>
          <w:lang w:val="en-GB"/>
        </w:rPr>
        <w:t xml:space="preserve"> </w:t>
      </w:r>
      <w:r w:rsidR="00AE3751" w:rsidRPr="00CF051D">
        <w:rPr>
          <w:bCs/>
          <w:i/>
          <w:lang w:val="en-GB"/>
        </w:rPr>
        <w:t xml:space="preserve">tool </w:t>
      </w:r>
      <w:r w:rsidRPr="00CF051D">
        <w:rPr>
          <w:bCs/>
          <w:i/>
          <w:lang w:val="en-GB"/>
        </w:rPr>
        <w:t>in Poland:</w:t>
      </w:r>
    </w:p>
    <w:p w:rsidR="00297CBF" w:rsidRPr="00CF051D" w:rsidRDefault="00297CBF" w:rsidP="00297CBF">
      <w:pPr>
        <w:jc w:val="center"/>
        <w:rPr>
          <w:i/>
          <w:lang w:val="en-GB"/>
        </w:rPr>
      </w:pPr>
      <w:r w:rsidRPr="00CF051D">
        <w:rPr>
          <w:bCs/>
          <w:i/>
          <w:lang w:val="en-GB"/>
        </w:rPr>
        <w:t xml:space="preserve">Premises and </w:t>
      </w:r>
      <w:r w:rsidR="00F83A69" w:rsidRPr="00CF051D">
        <w:rPr>
          <w:bCs/>
          <w:i/>
          <w:lang w:val="en-GB"/>
        </w:rPr>
        <w:t>reality</w:t>
      </w:r>
    </w:p>
    <w:p w:rsidR="00D77E31" w:rsidRDefault="00D77E31" w:rsidP="00911574">
      <w:pPr>
        <w:rPr>
          <w:b/>
          <w:bCs/>
          <w:lang w:val="en-GB"/>
        </w:rPr>
      </w:pPr>
    </w:p>
    <w:p w:rsidR="00D77E31" w:rsidRPr="00D77E31" w:rsidRDefault="00D77E31" w:rsidP="00D77E31">
      <w:pPr>
        <w:rPr>
          <w:sz w:val="16"/>
          <w:szCs w:val="16"/>
          <w:lang w:val="en-GB"/>
        </w:rPr>
      </w:pPr>
      <w:r w:rsidRPr="00D77E31">
        <w:rPr>
          <w:bCs/>
          <w:sz w:val="16"/>
          <w:szCs w:val="16"/>
          <w:lang w:val="en-GB"/>
        </w:rPr>
        <w:t>Keywords:</w:t>
      </w:r>
    </w:p>
    <w:p w:rsidR="00D77E31" w:rsidRPr="00D77E31" w:rsidRDefault="00D77E31" w:rsidP="00D77E31">
      <w:pPr>
        <w:rPr>
          <w:sz w:val="16"/>
          <w:szCs w:val="16"/>
          <w:lang w:val="en-GB"/>
        </w:rPr>
      </w:pPr>
      <w:r>
        <w:rPr>
          <w:sz w:val="16"/>
          <w:szCs w:val="16"/>
          <w:lang w:val="en-GB"/>
        </w:rPr>
        <w:t xml:space="preserve">spatial planning; </w:t>
      </w:r>
      <w:r w:rsidRPr="00D77E31">
        <w:rPr>
          <w:sz w:val="16"/>
          <w:szCs w:val="16"/>
          <w:lang w:val="en-GB"/>
        </w:rPr>
        <w:t>stakeholders</w:t>
      </w:r>
      <w:r>
        <w:rPr>
          <w:sz w:val="16"/>
          <w:szCs w:val="16"/>
          <w:lang w:val="en-GB"/>
        </w:rPr>
        <w:t>; aberrations;</w:t>
      </w:r>
      <w:r w:rsidRPr="00D77E31">
        <w:rPr>
          <w:sz w:val="16"/>
          <w:szCs w:val="16"/>
          <w:lang w:val="en-GB"/>
        </w:rPr>
        <w:t xml:space="preserve"> values</w:t>
      </w:r>
    </w:p>
    <w:p w:rsidR="00D77E31" w:rsidRPr="00BD3F0B" w:rsidRDefault="00D77E31" w:rsidP="00911574">
      <w:pPr>
        <w:rPr>
          <w:bCs/>
          <w:sz w:val="16"/>
          <w:szCs w:val="16"/>
          <w:lang w:val="en-GB"/>
        </w:rPr>
      </w:pPr>
      <w:r w:rsidRPr="00BD3F0B">
        <w:rPr>
          <w:bCs/>
          <w:sz w:val="16"/>
          <w:szCs w:val="16"/>
          <w:lang w:val="en-GB"/>
        </w:rPr>
        <w:t>JEL:</w:t>
      </w:r>
      <w:r w:rsidR="00BD3F0B" w:rsidRPr="00BD3F0B">
        <w:rPr>
          <w:bCs/>
          <w:sz w:val="16"/>
          <w:szCs w:val="16"/>
          <w:lang w:val="en-GB"/>
        </w:rPr>
        <w:t>A13; D</w:t>
      </w:r>
      <w:r w:rsidR="00BD3F0B">
        <w:rPr>
          <w:bCs/>
          <w:sz w:val="16"/>
          <w:szCs w:val="16"/>
          <w:lang w:val="en-GB"/>
        </w:rPr>
        <w:t xml:space="preserve">61; </w:t>
      </w:r>
      <w:r w:rsidR="00BD3F0B" w:rsidRPr="00BD3F0B">
        <w:rPr>
          <w:bCs/>
          <w:sz w:val="16"/>
          <w:szCs w:val="16"/>
          <w:lang w:val="en-GB"/>
        </w:rPr>
        <w:t>D72;</w:t>
      </w:r>
      <w:r w:rsidR="00BD3F0B">
        <w:rPr>
          <w:bCs/>
          <w:sz w:val="16"/>
          <w:szCs w:val="16"/>
          <w:lang w:val="en-GB"/>
        </w:rPr>
        <w:t xml:space="preserve"> </w:t>
      </w:r>
      <w:r w:rsidR="00BD3F0B" w:rsidRPr="00BD3F0B">
        <w:rPr>
          <w:bCs/>
          <w:sz w:val="16"/>
          <w:szCs w:val="16"/>
          <w:lang w:val="en-GB"/>
        </w:rPr>
        <w:t>L37</w:t>
      </w:r>
    </w:p>
    <w:p w:rsidR="00D77E31" w:rsidRDefault="00D77E31" w:rsidP="00911574">
      <w:pPr>
        <w:rPr>
          <w:b/>
          <w:bCs/>
          <w:lang w:val="en-GB"/>
        </w:rPr>
      </w:pPr>
    </w:p>
    <w:p w:rsidR="00D77E31" w:rsidRDefault="00D77E31" w:rsidP="00911574">
      <w:pPr>
        <w:rPr>
          <w:b/>
          <w:bCs/>
          <w:lang w:val="en-GB"/>
        </w:rPr>
      </w:pPr>
    </w:p>
    <w:p w:rsidR="00B9013D" w:rsidRPr="007F139D" w:rsidRDefault="00B9013D" w:rsidP="00911574">
      <w:pPr>
        <w:rPr>
          <w:b/>
          <w:lang w:val="en-GB"/>
        </w:rPr>
      </w:pPr>
      <w:r w:rsidRPr="007F139D">
        <w:rPr>
          <w:b/>
          <w:bCs/>
          <w:lang w:val="en-GB"/>
        </w:rPr>
        <w:t>Abstract</w:t>
      </w:r>
    </w:p>
    <w:p w:rsidR="007D024A" w:rsidRPr="007F139D" w:rsidRDefault="00911574" w:rsidP="00E759A0">
      <w:pPr>
        <w:pStyle w:val="gwpc823ce06msonormal"/>
        <w:spacing w:before="0" w:beforeAutospacing="0" w:after="0" w:afterAutospacing="0" w:line="360" w:lineRule="auto"/>
        <w:ind w:firstLine="708"/>
        <w:jc w:val="both"/>
        <w:rPr>
          <w:lang w:val="en-GB"/>
        </w:rPr>
      </w:pPr>
      <w:r w:rsidRPr="007F139D">
        <w:rPr>
          <w:lang w:val="en-GB"/>
        </w:rPr>
        <w:t>The aim of this paper is to assess the functioning of spatial planning in Poland in the context of public management</w:t>
      </w:r>
      <w:r w:rsidR="00EA2CEC" w:rsidRPr="007F139D">
        <w:rPr>
          <w:lang w:val="en-GB"/>
        </w:rPr>
        <w:t xml:space="preserve"> objectives</w:t>
      </w:r>
      <w:r w:rsidRPr="007F139D">
        <w:rPr>
          <w:lang w:val="en-GB"/>
        </w:rPr>
        <w:t xml:space="preserve">. </w:t>
      </w:r>
      <w:r w:rsidR="00EA2CEC" w:rsidRPr="007F139D">
        <w:rPr>
          <w:lang w:val="en-GB"/>
        </w:rPr>
        <w:t xml:space="preserve">Drawing on </w:t>
      </w:r>
      <w:r w:rsidRPr="007F139D">
        <w:rPr>
          <w:lang w:val="en-GB"/>
        </w:rPr>
        <w:t>the concepts of New Public Management</w:t>
      </w:r>
      <w:r w:rsidR="00EA2CEC" w:rsidRPr="007F139D">
        <w:rPr>
          <w:lang w:val="en-GB"/>
        </w:rPr>
        <w:t xml:space="preserve">, we </w:t>
      </w:r>
      <w:r w:rsidRPr="007F139D">
        <w:rPr>
          <w:lang w:val="en-GB"/>
        </w:rPr>
        <w:t>us</w:t>
      </w:r>
      <w:r w:rsidR="00EA2CEC" w:rsidRPr="007F139D">
        <w:rPr>
          <w:lang w:val="en-GB"/>
        </w:rPr>
        <w:t xml:space="preserve">e </w:t>
      </w:r>
      <w:r w:rsidRPr="007F139D">
        <w:rPr>
          <w:lang w:val="en-GB"/>
        </w:rPr>
        <w:t>the category of stakeholders and public value generated for stakeholders. Two groups of stakeholders in spatial planning are distinguished</w:t>
      </w:r>
      <w:r w:rsidR="00EA2CEC" w:rsidRPr="007F139D">
        <w:rPr>
          <w:lang w:val="en-GB"/>
        </w:rPr>
        <w:t xml:space="preserve">, namely </w:t>
      </w:r>
      <w:r w:rsidRPr="007F139D">
        <w:rPr>
          <w:lang w:val="en-GB"/>
        </w:rPr>
        <w:t>public (</w:t>
      </w:r>
      <w:r w:rsidR="00EA2CEC" w:rsidRPr="007F139D">
        <w:rPr>
          <w:lang w:val="en-GB"/>
        </w:rPr>
        <w:t xml:space="preserve">national </w:t>
      </w:r>
      <w:r w:rsidRPr="007F139D">
        <w:rPr>
          <w:lang w:val="en-GB"/>
        </w:rPr>
        <w:t xml:space="preserve">and local government) </w:t>
      </w:r>
      <w:r w:rsidR="00EA2CEC" w:rsidRPr="007F139D">
        <w:rPr>
          <w:lang w:val="en-GB"/>
        </w:rPr>
        <w:t>entities</w:t>
      </w:r>
      <w:r w:rsidRPr="007F139D">
        <w:rPr>
          <w:lang w:val="en-GB"/>
        </w:rPr>
        <w:t xml:space="preserve">, </w:t>
      </w:r>
      <w:r w:rsidR="00EA2CEC" w:rsidRPr="007F139D">
        <w:rPr>
          <w:lang w:val="en-GB"/>
        </w:rPr>
        <w:t xml:space="preserve">and </w:t>
      </w:r>
      <w:r w:rsidRPr="007F139D">
        <w:rPr>
          <w:lang w:val="en-GB"/>
        </w:rPr>
        <w:t>private entities</w:t>
      </w:r>
      <w:r w:rsidR="00EA2CEC" w:rsidRPr="007F139D">
        <w:rPr>
          <w:lang w:val="en-GB"/>
        </w:rPr>
        <w:t xml:space="preserve"> (</w:t>
      </w:r>
      <w:r w:rsidRPr="007F139D">
        <w:rPr>
          <w:lang w:val="en-GB"/>
        </w:rPr>
        <w:t>including individuals and business</w:t>
      </w:r>
      <w:r w:rsidR="00EA2CEC" w:rsidRPr="007F139D">
        <w:rPr>
          <w:lang w:val="en-GB"/>
        </w:rPr>
        <w:t>es)</w:t>
      </w:r>
      <w:r w:rsidRPr="007F139D">
        <w:rPr>
          <w:lang w:val="en-GB"/>
        </w:rPr>
        <w:t xml:space="preserve">. </w:t>
      </w:r>
      <w:r w:rsidR="002C633E" w:rsidRPr="007F139D">
        <w:rPr>
          <w:lang w:val="en-GB"/>
        </w:rPr>
        <w:t xml:space="preserve">We </w:t>
      </w:r>
      <w:r w:rsidRPr="007F139D">
        <w:rPr>
          <w:lang w:val="en-GB"/>
        </w:rPr>
        <w:t>describe the mechanisms of stakeholders</w:t>
      </w:r>
      <w:r w:rsidR="002C633E" w:rsidRPr="007F139D">
        <w:rPr>
          <w:lang w:val="en-GB"/>
        </w:rPr>
        <w:t>’</w:t>
      </w:r>
      <w:r w:rsidRPr="007F139D">
        <w:rPr>
          <w:lang w:val="en-GB"/>
        </w:rPr>
        <w:t xml:space="preserve"> influence </w:t>
      </w:r>
      <w:r w:rsidR="002C633E" w:rsidRPr="007F139D">
        <w:rPr>
          <w:lang w:val="en-GB"/>
        </w:rPr>
        <w:t xml:space="preserve">on </w:t>
      </w:r>
      <w:r w:rsidRPr="007F139D">
        <w:rPr>
          <w:lang w:val="en-GB"/>
        </w:rPr>
        <w:t xml:space="preserve">spatial planning </w:t>
      </w:r>
      <w:r w:rsidR="002C633E" w:rsidRPr="007F139D">
        <w:rPr>
          <w:lang w:val="en-GB"/>
        </w:rPr>
        <w:t xml:space="preserve">and the effects of this influence </w:t>
      </w:r>
      <w:r w:rsidRPr="007F139D">
        <w:rPr>
          <w:lang w:val="en-GB"/>
        </w:rPr>
        <w:t>on the development of space.</w:t>
      </w:r>
    </w:p>
    <w:p w:rsidR="00E759A0" w:rsidRPr="007F139D" w:rsidRDefault="002C633E" w:rsidP="007D024A">
      <w:pPr>
        <w:pStyle w:val="gwpc823ce06msonormal"/>
        <w:spacing w:before="0" w:beforeAutospacing="0" w:after="0" w:afterAutospacing="0" w:line="360" w:lineRule="auto"/>
        <w:ind w:firstLine="709"/>
        <w:jc w:val="both"/>
        <w:rPr>
          <w:lang w:val="en-GB"/>
        </w:rPr>
      </w:pPr>
      <w:r w:rsidRPr="007F139D">
        <w:rPr>
          <w:lang w:val="en-GB"/>
        </w:rPr>
        <w:t xml:space="preserve">We </w:t>
      </w:r>
      <w:r w:rsidR="00E759A0" w:rsidRPr="007F139D">
        <w:rPr>
          <w:lang w:val="en-GB"/>
        </w:rPr>
        <w:t xml:space="preserve">found that the actual spatial planning </w:t>
      </w:r>
      <w:r w:rsidRPr="007F139D">
        <w:rPr>
          <w:lang w:val="en-GB"/>
        </w:rPr>
        <w:t xml:space="preserve">mechanisms </w:t>
      </w:r>
      <w:r w:rsidR="00E759A0" w:rsidRPr="007F139D">
        <w:rPr>
          <w:lang w:val="en-GB"/>
        </w:rPr>
        <w:t xml:space="preserve">in Poland are aberrational from the perspective of public management. The </w:t>
      </w:r>
      <w:r w:rsidRPr="007F139D">
        <w:rPr>
          <w:lang w:val="en-GB"/>
        </w:rPr>
        <w:t xml:space="preserve">ubiquity </w:t>
      </w:r>
      <w:r w:rsidR="00E759A0" w:rsidRPr="007F139D">
        <w:rPr>
          <w:lang w:val="en-GB"/>
        </w:rPr>
        <w:t xml:space="preserve">of these aberrations (in diverse </w:t>
      </w:r>
      <w:r w:rsidRPr="007F139D">
        <w:rPr>
          <w:lang w:val="en-GB"/>
        </w:rPr>
        <w:t>municipalities</w:t>
      </w:r>
      <w:r w:rsidR="00E759A0" w:rsidRPr="007F139D">
        <w:rPr>
          <w:lang w:val="en-GB"/>
        </w:rPr>
        <w:t xml:space="preserve">) </w:t>
      </w:r>
      <w:r w:rsidRPr="007F139D">
        <w:rPr>
          <w:lang w:val="en-GB"/>
        </w:rPr>
        <w:t>allows us to</w:t>
      </w:r>
      <w:r w:rsidR="00E759A0" w:rsidRPr="007F139D">
        <w:rPr>
          <w:lang w:val="en-GB"/>
        </w:rPr>
        <w:t xml:space="preserve"> rul</w:t>
      </w:r>
      <w:r w:rsidRPr="007F139D">
        <w:rPr>
          <w:lang w:val="en-GB"/>
        </w:rPr>
        <w:t xml:space="preserve">e </w:t>
      </w:r>
      <w:r w:rsidR="00E759A0" w:rsidRPr="007F139D">
        <w:rPr>
          <w:lang w:val="en-GB"/>
        </w:rPr>
        <w:t xml:space="preserve">out the most obvious types of causes, particularly the incompetence or corruption of local authorities or administrative apparatus. Therefore, it is postulated that the causes of the aberrations are structural </w:t>
      </w:r>
      <w:r w:rsidRPr="007F139D">
        <w:rPr>
          <w:lang w:val="en-GB"/>
        </w:rPr>
        <w:t>and</w:t>
      </w:r>
      <w:r w:rsidR="00E759A0" w:rsidRPr="007F139D">
        <w:rPr>
          <w:lang w:val="en-GB"/>
        </w:rPr>
        <w:t xml:space="preserve"> inherent to the legal system that </w:t>
      </w:r>
      <w:r w:rsidRPr="007F139D">
        <w:rPr>
          <w:lang w:val="en-GB"/>
        </w:rPr>
        <w:t xml:space="preserve">impacts </w:t>
      </w:r>
      <w:r w:rsidR="00E759A0" w:rsidRPr="007F139D">
        <w:rPr>
          <w:lang w:val="en-GB"/>
        </w:rPr>
        <w:t xml:space="preserve">spatial planning </w:t>
      </w:r>
      <w:r w:rsidRPr="007F139D">
        <w:rPr>
          <w:lang w:val="en-GB"/>
        </w:rPr>
        <w:t xml:space="preserve">both </w:t>
      </w:r>
      <w:r w:rsidR="00E759A0" w:rsidRPr="007F139D">
        <w:rPr>
          <w:lang w:val="en-GB"/>
        </w:rPr>
        <w:t xml:space="preserve">directly </w:t>
      </w:r>
      <w:r w:rsidRPr="007F139D">
        <w:rPr>
          <w:lang w:val="en-GB"/>
        </w:rPr>
        <w:t>and indirectly.</w:t>
      </w:r>
    </w:p>
    <w:p w:rsidR="007D024A" w:rsidRPr="007F139D" w:rsidRDefault="000C4974" w:rsidP="007D024A">
      <w:pPr>
        <w:pStyle w:val="gwpc823ce06msonormal"/>
        <w:spacing w:before="0" w:beforeAutospacing="0" w:after="0" w:afterAutospacing="0" w:line="360" w:lineRule="auto"/>
        <w:ind w:firstLine="709"/>
        <w:jc w:val="both"/>
        <w:rPr>
          <w:lang w:val="en-GB"/>
        </w:rPr>
      </w:pPr>
      <w:r w:rsidRPr="007F139D">
        <w:rPr>
          <w:lang w:val="en-GB"/>
        </w:rPr>
        <w:t xml:space="preserve">We </w:t>
      </w:r>
      <w:r w:rsidR="00E759A0" w:rsidRPr="007F139D">
        <w:rPr>
          <w:lang w:val="en-GB"/>
        </w:rPr>
        <w:t xml:space="preserve">propose solutions </w:t>
      </w:r>
      <w:r w:rsidR="00AA6BC1" w:rsidRPr="007F139D">
        <w:rPr>
          <w:lang w:val="en-GB"/>
        </w:rPr>
        <w:t xml:space="preserve">to </w:t>
      </w:r>
      <w:r w:rsidR="00E759A0" w:rsidRPr="007F139D">
        <w:rPr>
          <w:lang w:val="en-GB"/>
        </w:rPr>
        <w:t>improv</w:t>
      </w:r>
      <w:r w:rsidR="00AA6BC1" w:rsidRPr="007F139D">
        <w:rPr>
          <w:lang w:val="en-GB"/>
        </w:rPr>
        <w:t xml:space="preserve">e </w:t>
      </w:r>
      <w:r w:rsidR="00E759A0" w:rsidRPr="007F139D">
        <w:rPr>
          <w:lang w:val="en-GB"/>
        </w:rPr>
        <w:t>the situatio</w:t>
      </w:r>
      <w:r w:rsidR="00AA6BC1" w:rsidRPr="007F139D">
        <w:rPr>
          <w:lang w:val="en-GB"/>
        </w:rPr>
        <w:t xml:space="preserve">n </w:t>
      </w:r>
      <w:r w:rsidR="00E759A0" w:rsidRPr="007F139D">
        <w:rPr>
          <w:lang w:val="en-GB"/>
        </w:rPr>
        <w:t xml:space="preserve">through the appropriate management of relations with stakeholders in processes implemented by a public entity. The article presents a model of such management. A change in the legal context—above all an amendment of the law </w:t>
      </w:r>
      <w:r w:rsidR="00E759A0" w:rsidRPr="007F139D">
        <w:rPr>
          <w:lang w:val="en-GB"/>
        </w:rPr>
        <w:lastRenderedPageBreak/>
        <w:t>regulating spatial planning procedures–</w:t>
      </w:r>
      <w:r w:rsidR="000674D7" w:rsidRPr="007F139D">
        <w:rPr>
          <w:lang w:val="en-GB"/>
        </w:rPr>
        <w:t xml:space="preserve">provides an </w:t>
      </w:r>
      <w:r w:rsidR="00E759A0" w:rsidRPr="007F139D">
        <w:rPr>
          <w:lang w:val="en-GB"/>
        </w:rPr>
        <w:t xml:space="preserve">opportunity </w:t>
      </w:r>
      <w:r w:rsidR="000674D7" w:rsidRPr="007F139D">
        <w:rPr>
          <w:lang w:val="en-GB"/>
        </w:rPr>
        <w:t xml:space="preserve">to </w:t>
      </w:r>
      <w:r w:rsidR="00E759A0" w:rsidRPr="007F139D">
        <w:rPr>
          <w:lang w:val="en-GB"/>
        </w:rPr>
        <w:t>balanc</w:t>
      </w:r>
      <w:r w:rsidR="000674D7" w:rsidRPr="007F139D">
        <w:rPr>
          <w:lang w:val="en-GB"/>
        </w:rPr>
        <w:t xml:space="preserve">e </w:t>
      </w:r>
      <w:r w:rsidR="00E759A0" w:rsidRPr="007F139D">
        <w:rPr>
          <w:lang w:val="en-GB"/>
        </w:rPr>
        <w:t>the impact of various stakeholders on spatial planning arrangements.</w:t>
      </w:r>
    </w:p>
    <w:p w:rsidR="00B9013D" w:rsidRPr="007F139D" w:rsidRDefault="00B9013D" w:rsidP="00297CBF">
      <w:pPr>
        <w:rPr>
          <w:b/>
          <w:lang w:val="en-GB"/>
        </w:rPr>
      </w:pPr>
    </w:p>
    <w:p w:rsidR="00E759A0" w:rsidRPr="007F139D" w:rsidRDefault="00E759A0" w:rsidP="00297CBF">
      <w:pPr>
        <w:rPr>
          <w:b/>
          <w:lang w:val="en-GB"/>
        </w:rPr>
      </w:pPr>
    </w:p>
    <w:p w:rsidR="00297CBF" w:rsidRPr="007F139D" w:rsidRDefault="00297CBF" w:rsidP="00297CBF">
      <w:pPr>
        <w:rPr>
          <w:b/>
          <w:lang w:val="en-GB"/>
        </w:rPr>
      </w:pPr>
      <w:r w:rsidRPr="007F139D">
        <w:rPr>
          <w:b/>
          <w:bCs/>
          <w:lang w:val="en-GB"/>
        </w:rPr>
        <w:t>Introduction</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Spatial planning is an element of public management and should be treated as a link between various public policies. The purpose and subject-matter scope of spatial planning arrangements indicate, and there is a consensus about it in the world literature, that only public entities can be the actors of spatial planning.</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Polish legislation also entrusts spatial planning to public entities, and among the objectives of spatial planning, those having a public character are particularly emphasised in the regulations. As regards the values that should be considered in spatial planning and development, these should be public values, i.e. spatial order, architectural and landscape values, environmental and cultural heritage protection requirements, national defence and security, and generally defined needs of the public interest. Of course, emphasis is also put on the economic value of space and the right of ownership. Therefore, all analyses seeking to determine the state of spatial planning implementation and showing the possibilities for its improvement should be considered important and desirable. This paper should be regarded as such an attempt. </w:t>
      </w:r>
    </w:p>
    <w:p w:rsidR="00297CBF" w:rsidRPr="007F139D" w:rsidRDefault="00297CBF" w:rsidP="00297CBF">
      <w:pPr>
        <w:ind w:firstLine="708"/>
        <w:rPr>
          <w:rFonts w:cs="Times New Roman"/>
          <w:szCs w:val="24"/>
          <w:lang w:val="en-GB"/>
        </w:rPr>
      </w:pPr>
      <w:r w:rsidRPr="007F139D">
        <w:rPr>
          <w:rFonts w:cs="Times New Roman"/>
          <w:szCs w:val="24"/>
          <w:lang w:val="en-GB"/>
        </w:rPr>
        <w:t xml:space="preserve">It uses an approach based on the premises of New Public Management, which is manifested in using the category of stakeholders and public value generated for stakeholders. </w:t>
      </w:r>
    </w:p>
    <w:p w:rsidR="00297CBF" w:rsidRPr="007F139D" w:rsidRDefault="00297CBF" w:rsidP="00297CBF">
      <w:pPr>
        <w:autoSpaceDE w:val="0"/>
        <w:autoSpaceDN w:val="0"/>
        <w:adjustRightInd w:val="0"/>
        <w:ind w:firstLine="708"/>
        <w:rPr>
          <w:rFonts w:cs="Times New Roman"/>
          <w:szCs w:val="24"/>
          <w:lang w:val="en-GB"/>
        </w:rPr>
      </w:pPr>
      <w:r w:rsidRPr="007F139D">
        <w:rPr>
          <w:rFonts w:cs="Times New Roman"/>
          <w:szCs w:val="24"/>
          <w:lang w:val="en-GB"/>
        </w:rPr>
        <w:t>The aim of this paper is to assess the functioning of spatial planning in Poland in the context of the objectives of public management system. The article uses the concept of organisational stakeholders to determine the entities that influence spatial planning processes implemented by public management entities. Such stakeholders were identified, and the way they influence spatial planning processes was determined. The impact of various stakeholders was also assessed from the perspective of the implementation of spatial planning objectives. The conclusions reached, referring to the selected premises of stakeholder concepts, show that is possible to eliminate the identified dysfunctions of spatial planning processes.</w:t>
      </w:r>
    </w:p>
    <w:p w:rsidR="0024156D" w:rsidRPr="007F139D" w:rsidRDefault="0024156D" w:rsidP="00CE22CC">
      <w:pPr>
        <w:ind w:firstLine="708"/>
        <w:rPr>
          <w:rFonts w:cs="Times New Roman"/>
          <w:szCs w:val="24"/>
          <w:lang w:val="en-GB"/>
        </w:rPr>
      </w:pPr>
      <w:r w:rsidRPr="007F139D">
        <w:rPr>
          <w:rFonts w:cs="Times New Roman"/>
          <w:szCs w:val="24"/>
          <w:lang w:val="en-GB"/>
        </w:rPr>
        <w:t>We assumed the possible occurrence of dysfunctions causing an incomplete fulfilment of expectations of stakeholders in public entities, and thus the limitation of the value delivered to stakeholders, which may have resulted from the negative characteristics of the representatives of public entities.</w:t>
      </w:r>
    </w:p>
    <w:p w:rsidR="00297CBF" w:rsidRPr="007F139D" w:rsidRDefault="00297CBF" w:rsidP="00297CBF">
      <w:pPr>
        <w:autoSpaceDE w:val="0"/>
        <w:autoSpaceDN w:val="0"/>
        <w:adjustRightInd w:val="0"/>
        <w:ind w:firstLine="708"/>
        <w:rPr>
          <w:rFonts w:cs="Times New Roman"/>
          <w:szCs w:val="24"/>
          <w:lang w:val="en-GB"/>
        </w:rPr>
      </w:pPr>
      <w:r w:rsidRPr="007F139D">
        <w:rPr>
          <w:rFonts w:cs="Times New Roman"/>
          <w:szCs w:val="24"/>
          <w:lang w:val="en-GB"/>
        </w:rPr>
        <w:lastRenderedPageBreak/>
        <w:t xml:space="preserve">This article makes use of studies of literature on public management, management sciences as well as results of empirical studies on spatial planning processes conducted by one of the authors of the paper. </w:t>
      </w:r>
    </w:p>
    <w:p w:rsidR="00297CBF" w:rsidRPr="007F139D" w:rsidRDefault="00297CBF" w:rsidP="00297CBF">
      <w:pPr>
        <w:ind w:firstLine="348"/>
        <w:rPr>
          <w:rFonts w:cs="Times New Roman"/>
          <w:bCs/>
          <w:szCs w:val="24"/>
          <w:lang w:val="en-GB"/>
        </w:rPr>
      </w:pPr>
      <w:r w:rsidRPr="007F139D">
        <w:rPr>
          <w:rFonts w:cs="Times New Roman"/>
          <w:szCs w:val="24"/>
          <w:lang w:val="en-GB"/>
        </w:rPr>
        <w:t xml:space="preserve">The originality of this article lies in its approach referring to the generation of value by a public entity for stakeholders. Its scope is broader than the public value as it had been understood thus far, i.e. the catalogue of values has been expanded by adapting the approach characteristic of commercial organisations to the conditions in which public entities operate. </w:t>
      </w:r>
    </w:p>
    <w:p w:rsidR="00297CBF" w:rsidRPr="007F139D" w:rsidRDefault="00297CBF" w:rsidP="00297CBF">
      <w:pPr>
        <w:rPr>
          <w:lang w:val="en-GB"/>
        </w:rPr>
      </w:pPr>
    </w:p>
    <w:p w:rsidR="00297CBF" w:rsidRPr="007F139D" w:rsidRDefault="00297CBF" w:rsidP="00297CBF">
      <w:pPr>
        <w:numPr>
          <w:ilvl w:val="0"/>
          <w:numId w:val="1"/>
        </w:numPr>
        <w:rPr>
          <w:b/>
          <w:lang w:val="en-GB"/>
        </w:rPr>
      </w:pPr>
      <w:r w:rsidRPr="007F139D">
        <w:rPr>
          <w:b/>
          <w:bCs/>
          <w:lang w:val="en-GB"/>
        </w:rPr>
        <w:t>Public management</w:t>
      </w:r>
    </w:p>
    <w:p w:rsidR="00297CBF" w:rsidRPr="007F139D" w:rsidRDefault="00297CBF" w:rsidP="00297CBF">
      <w:pPr>
        <w:pStyle w:val="gwpc823ce06msonormal"/>
        <w:spacing w:before="0" w:beforeAutospacing="0" w:after="0" w:afterAutospacing="0" w:line="360" w:lineRule="auto"/>
        <w:ind w:firstLine="709"/>
        <w:jc w:val="both"/>
        <w:rPr>
          <w:lang w:val="en-GB"/>
        </w:rPr>
      </w:pPr>
    </w:p>
    <w:p w:rsidR="00297CBF" w:rsidRPr="007F139D" w:rsidRDefault="00297CBF" w:rsidP="00297CBF">
      <w:pPr>
        <w:autoSpaceDE w:val="0"/>
        <w:autoSpaceDN w:val="0"/>
        <w:adjustRightInd w:val="0"/>
        <w:ind w:firstLine="708"/>
        <w:rPr>
          <w:lang w:val="en-GB"/>
        </w:rPr>
      </w:pPr>
      <w:r w:rsidRPr="007F139D">
        <w:rPr>
          <w:rFonts w:cs="Times New Roman"/>
          <w:szCs w:val="24"/>
          <w:lang w:val="en-GB"/>
        </w:rPr>
        <w:t xml:space="preserve">Public management is a subfield of management (Kożuch, 2005; Cyfert et al. 2014). The literature on the subject is not unanimous about the content of the referent of the terms “management” and “public management”. According to Marks-Krzyszkowska (2016), the essence of the problem lies in the difficulty in specifying both the objects and actors of management. It can be generally stated that the public sector, i.e. public matters and public goods, is the object of public management  This means that the purpose of public management is to ensure the efficient execution of public affairs and the provision of public goods, including the provision of public services. The actors of public management, on the other hand, comprise a set of organisations and administrative institutions that are independent of each other. Kożuch (2004) distinguishes between public management </w:t>
      </w:r>
      <w:r w:rsidRPr="007F139D">
        <w:rPr>
          <w:rFonts w:cs="Times New Roman"/>
          <w:i/>
          <w:iCs/>
          <w:szCs w:val="24"/>
          <w:lang w:val="en-GB"/>
        </w:rPr>
        <w:t>sensu</w:t>
      </w:r>
      <w:r w:rsidR="00362C42">
        <w:rPr>
          <w:rFonts w:cs="Times New Roman"/>
          <w:i/>
          <w:iCs/>
          <w:szCs w:val="24"/>
          <w:lang w:val="en-GB"/>
        </w:rPr>
        <w:t xml:space="preserve"> </w:t>
      </w:r>
      <w:r w:rsidRPr="007F139D">
        <w:rPr>
          <w:rFonts w:cs="Times New Roman"/>
          <w:i/>
          <w:iCs/>
          <w:szCs w:val="24"/>
          <w:lang w:val="en-GB"/>
        </w:rPr>
        <w:t>stricto</w:t>
      </w:r>
      <w:r w:rsidRPr="007F139D">
        <w:rPr>
          <w:rFonts w:cs="Times New Roman"/>
          <w:szCs w:val="24"/>
          <w:lang w:val="en-GB"/>
        </w:rPr>
        <w:t xml:space="preserve">, encompassing, in her opinion, the management of public organisations (e.g. public administration), and public management </w:t>
      </w:r>
      <w:r w:rsidRPr="007F139D">
        <w:rPr>
          <w:rFonts w:cs="Times New Roman"/>
          <w:i/>
          <w:iCs/>
          <w:szCs w:val="24"/>
          <w:lang w:val="en-GB"/>
        </w:rPr>
        <w:t>sensu</w:t>
      </w:r>
      <w:r w:rsidR="00362C42">
        <w:rPr>
          <w:rFonts w:cs="Times New Roman"/>
          <w:i/>
          <w:iCs/>
          <w:szCs w:val="24"/>
          <w:lang w:val="en-GB"/>
        </w:rPr>
        <w:t xml:space="preserve"> </w:t>
      </w:r>
      <w:r w:rsidRPr="007F139D">
        <w:rPr>
          <w:rFonts w:cs="Times New Roman"/>
          <w:i/>
          <w:iCs/>
          <w:szCs w:val="24"/>
          <w:lang w:val="en-GB"/>
        </w:rPr>
        <w:t>lato</w:t>
      </w:r>
      <w:r w:rsidRPr="007F139D">
        <w:rPr>
          <w:rFonts w:cs="Times New Roman"/>
          <w:szCs w:val="24"/>
          <w:lang w:val="en-GB"/>
        </w:rPr>
        <w:t xml:space="preserve"> which she understands as the management of public affairs regardless of how the process of satisfying public needs is organised and regardless of whether public organisations satisfy public needs directly or indirectly. A similar view of public management is held by, for example, Sześciło (2014), according to whom it stands for</w:t>
      </w:r>
      <w:r w:rsidRPr="007F139D">
        <w:rPr>
          <w:lang w:val="en-GB"/>
        </w:rPr>
        <w:t xml:space="preserve"> the entirety of actions aimed at satisfying collective needs. Public administration—government or local government—is the agent of these actions.</w:t>
      </w:r>
    </w:p>
    <w:p w:rsidR="00297CBF" w:rsidRPr="007F139D" w:rsidRDefault="00297CBF" w:rsidP="00297CBF">
      <w:pPr>
        <w:autoSpaceDE w:val="0"/>
        <w:autoSpaceDN w:val="0"/>
        <w:adjustRightInd w:val="0"/>
        <w:ind w:firstLine="708"/>
        <w:rPr>
          <w:lang w:val="en-GB"/>
        </w:rPr>
      </w:pPr>
      <w:r w:rsidRPr="007F139D">
        <w:rPr>
          <w:lang w:val="en-GB"/>
        </w:rPr>
        <w:t xml:space="preserve">What makes public management stand out against the backdrop of the whole management system are primarily its objectives, namely the good of the entire society or community, i.e. a large group of various entities. The benefits offered by public management can be seen in terms of society as a whole. </w:t>
      </w:r>
    </w:p>
    <w:p w:rsidR="00297CBF" w:rsidRPr="007F139D" w:rsidRDefault="00297CBF" w:rsidP="00297CBF">
      <w:pPr>
        <w:autoSpaceDE w:val="0"/>
        <w:autoSpaceDN w:val="0"/>
        <w:adjustRightInd w:val="0"/>
        <w:ind w:firstLine="708"/>
        <w:rPr>
          <w:lang w:val="en-GB"/>
        </w:rPr>
      </w:pPr>
      <w:r w:rsidRPr="007F139D">
        <w:rPr>
          <w:lang w:val="en-GB"/>
        </w:rPr>
        <w:t>A particular feature of public management is the fact that, more and more often, a large number (network) of interconnected institutions or even individuals operate alongside public management agents. In particular, the involvement of the local community is regarded as a self-</w:t>
      </w:r>
      <w:r w:rsidRPr="007F139D">
        <w:rPr>
          <w:lang w:val="en-GB"/>
        </w:rPr>
        <w:lastRenderedPageBreak/>
        <w:t xml:space="preserve">evident, even indispensable element of the public management process (Greffe, 1999). Numerous members of the local community formulate specific expectations in relation to the management entities. This can take place in the course of formalised procedures, e.g. public consultation, but also as part part informal relations between network participants and representatives of these entities, e.g. during local government election campaigns (Marks-Krzyszkowska, 2016). </w:t>
      </w:r>
    </w:p>
    <w:p w:rsidR="00297CBF" w:rsidRPr="007F139D" w:rsidRDefault="00297CBF" w:rsidP="00297CBF">
      <w:pPr>
        <w:autoSpaceDE w:val="0"/>
        <w:autoSpaceDN w:val="0"/>
        <w:adjustRightInd w:val="0"/>
        <w:ind w:firstLine="708"/>
        <w:rPr>
          <w:lang w:val="en-GB"/>
        </w:rPr>
      </w:pPr>
      <w:r w:rsidRPr="007F139D">
        <w:rPr>
          <w:lang w:val="en-GB"/>
        </w:rPr>
        <w:t xml:space="preserve">Owing to the characteristics of the individual links, such an interconnected network can become a public management system. Such a system can form in a given community particularly when there is interdependence between the public institution and private actors independent from it, and the individual members of the network interact with each other (Rhodes, 1996, </w:t>
      </w:r>
      <w:r w:rsidR="00F62A2A">
        <w:rPr>
          <w:lang w:val="en-GB"/>
        </w:rPr>
        <w:t>as cited</w:t>
      </w:r>
      <w:r w:rsidRPr="007F139D">
        <w:rPr>
          <w:lang w:val="en-GB"/>
        </w:rPr>
        <w:t xml:space="preserve"> in Zybała 2014).</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Public management is characterised by varying levels of actual efficiency. According to Kieżun (1978), even a cursory observation reveals that a greater or lesser discrepancy between the assumptions and their practical implementation is a typical situation. In consequence, numerous dysfunctions emerge that do not allow the achievement of realistic objectives set for a given organisation and consistent with the public good, or the fulfilment of expectations formulated by the environment, within the assumed time and using specific means. These dysfunctions are referred to as organisational aberrations (see e.g. Stocki, 2005). According to Czaputowicz (2009), aberrations in public administration consist of breaking the law, which can mean operating in a grey area (on the edge of the law) or deliberately taking advantage of loopholes and legal imperfections. On the other hand, Dembczyńska (2009) sees the most significant cause of aberrations in administration in a factor that is outside administration itself, i.e. bad legislation laying the legal foundations for the operation of a particular administrative body. What is particularly important from this perspective are the pieces of legislation whose interpretation is dubious, the “inflation” of the law, and lack of stable legislative solutions. Deficiencies in the knowledge and training of officials and their failure to observe professional ethics can also be dangerous.</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Organisational aberrations in a particularly advanced stage can take the form of autonomisation, which involves the conversion of a primary objective into a secondary objective, or the transformation of activities that are a means of achieving a primary objective into an objective in its own right (Bieniok</w:t>
      </w:r>
      <w:r w:rsidR="00362C42">
        <w:rPr>
          <w:lang w:val="en-GB"/>
        </w:rPr>
        <w:t xml:space="preserve"> </w:t>
      </w:r>
      <w:r w:rsidR="00F62A2A">
        <w:rPr>
          <w:lang w:val="en-GB"/>
        </w:rPr>
        <w:t>&amp;</w:t>
      </w:r>
      <w:r w:rsidR="00362C42">
        <w:rPr>
          <w:lang w:val="en-GB"/>
        </w:rPr>
        <w:t xml:space="preserve"> </w:t>
      </w:r>
      <w:r w:rsidRPr="007F139D">
        <w:rPr>
          <w:lang w:val="en-GB"/>
        </w:rPr>
        <w:t>Rokita</w:t>
      </w:r>
      <w:r w:rsidR="007F139D">
        <w:rPr>
          <w:lang w:val="en-GB"/>
        </w:rPr>
        <w:t>,</w:t>
      </w:r>
      <w:r w:rsidRPr="007F139D">
        <w:rPr>
          <w:lang w:val="en-GB"/>
        </w:rPr>
        <w:t xml:space="preserve"> 1984). This can be particularly acute in public administration, when concern for “procedural cleanliness” predominates over concern for the clients. </w:t>
      </w:r>
    </w:p>
    <w:p w:rsidR="002A04E4" w:rsidRPr="007F139D" w:rsidRDefault="002A04E4" w:rsidP="002A04E4">
      <w:pPr>
        <w:autoSpaceDE w:val="0"/>
        <w:autoSpaceDN w:val="0"/>
        <w:adjustRightInd w:val="0"/>
        <w:ind w:firstLine="708"/>
        <w:rPr>
          <w:lang w:val="en-GB"/>
        </w:rPr>
      </w:pPr>
      <w:r w:rsidRPr="007F139D">
        <w:rPr>
          <w:lang w:val="en-GB"/>
        </w:rPr>
        <w:lastRenderedPageBreak/>
        <w:t xml:space="preserve">Aberrations stem from conflicts arising from divergent interests (Morgan, 1997). Conflicts have always been present in organisations; they arise between competing entities or groups, particularly when the resources are thin. </w:t>
      </w:r>
    </w:p>
    <w:p w:rsidR="00297CBF" w:rsidRPr="007F139D" w:rsidRDefault="00297CBF" w:rsidP="00297CBF">
      <w:pPr>
        <w:autoSpaceDE w:val="0"/>
        <w:autoSpaceDN w:val="0"/>
        <w:adjustRightInd w:val="0"/>
        <w:ind w:firstLine="708"/>
        <w:rPr>
          <w:lang w:val="en-GB"/>
        </w:rPr>
      </w:pPr>
      <w:r w:rsidRPr="007F139D">
        <w:rPr>
          <w:lang w:val="en-GB"/>
        </w:rPr>
        <w:t xml:space="preserve">Public management can be assessed based on the degree to which it meets fundamental objectives as well as fulfils the specific tasks of public institutions (Marks-Krzyszkowska, 2016). According to Kieżun (1978), a key measure of the performance of an organisation is the degree of practical verification of the assumptions made when designing the organisation. It is not an easy approach because, as e.g. Sudoł (2012) indicates, a systematic and quantitative formulation of such an assessment is quite difficult. </w:t>
      </w:r>
    </w:p>
    <w:p w:rsidR="00297CBF" w:rsidRPr="007F139D" w:rsidRDefault="00297CBF" w:rsidP="00297CBF">
      <w:pPr>
        <w:autoSpaceDE w:val="0"/>
        <w:autoSpaceDN w:val="0"/>
        <w:adjustRightInd w:val="0"/>
        <w:ind w:firstLine="708"/>
        <w:rPr>
          <w:rFonts w:cs="Times New Roman"/>
          <w:szCs w:val="24"/>
          <w:lang w:val="en-GB"/>
        </w:rPr>
      </w:pPr>
      <w:r w:rsidRPr="007F139D">
        <w:rPr>
          <w:lang w:val="en-GB"/>
        </w:rPr>
        <w:t xml:space="preserve">Referring to the category of </w:t>
      </w:r>
      <w:r w:rsidR="0014133B" w:rsidRPr="007F139D">
        <w:rPr>
          <w:lang w:val="en-GB"/>
        </w:rPr>
        <w:t xml:space="preserve">the </w:t>
      </w:r>
      <w:r w:rsidRPr="007F139D">
        <w:rPr>
          <w:lang w:val="en-GB"/>
        </w:rPr>
        <w:t xml:space="preserve">legitimacy of public management entities, it can be assumed that the degree to which the expectations of the stakeholders in public management entities or stakeholders in the processes implemented within the public management framework are met can serve as the criterion for evaluating public management.  In this context, </w:t>
      </w:r>
      <w:r w:rsidRPr="007F139D">
        <w:rPr>
          <w:rFonts w:cs="Times New Roman"/>
          <w:szCs w:val="24"/>
          <w:shd w:val="clear" w:color="auto" w:fill="FFFFFF"/>
          <w:lang w:val="en-GB"/>
        </w:rPr>
        <w:t xml:space="preserve">any groups or persons interested in the functioning of a public management body are stakeholders. </w:t>
      </w:r>
      <w:r w:rsidRPr="007F139D">
        <w:rPr>
          <w:lang w:val="en-GB"/>
        </w:rPr>
        <w:t xml:space="preserve">Therefore, </w:t>
      </w:r>
      <w:r w:rsidRPr="007F139D">
        <w:rPr>
          <w:rFonts w:cs="Times New Roman"/>
          <w:szCs w:val="24"/>
          <w:lang w:val="en-GB"/>
        </w:rPr>
        <w:t>when it comes to the relationship of a public entity with its stakeholders, it is important to determine the hierarchy of their importance that would be taken into account in the process of managing the relationship with them. The needs of the stakeholders and ways of satisfying these needs should be mainly taken into account. The importance of stakeholders can be determined according to the criteria that describe each stakeholder group. Such criteria include (Zbierowski, 2012, p. 32):</w:t>
      </w:r>
    </w:p>
    <w:p w:rsidR="00297CBF" w:rsidRPr="007F139D" w:rsidRDefault="00297CBF" w:rsidP="00297CBF">
      <w:pPr>
        <w:pStyle w:val="Akapitzlist"/>
        <w:numPr>
          <w:ilvl w:val="0"/>
          <w:numId w:val="6"/>
        </w:numPr>
        <w:autoSpaceDE w:val="0"/>
        <w:autoSpaceDN w:val="0"/>
        <w:adjustRightInd w:val="0"/>
        <w:rPr>
          <w:rFonts w:cs="Times New Roman"/>
          <w:szCs w:val="24"/>
          <w:lang w:val="en-GB"/>
        </w:rPr>
      </w:pPr>
      <w:r w:rsidRPr="007F139D">
        <w:rPr>
          <w:rFonts w:cs="Times New Roman"/>
          <w:szCs w:val="24"/>
          <w:lang w:val="en-GB"/>
        </w:rPr>
        <w:t>power (degree of pressure exerted by one party in the relationship);</w:t>
      </w:r>
    </w:p>
    <w:p w:rsidR="00297CBF" w:rsidRPr="007F139D" w:rsidRDefault="00297CBF" w:rsidP="00297CBF">
      <w:pPr>
        <w:pStyle w:val="Akapitzlist"/>
        <w:numPr>
          <w:ilvl w:val="0"/>
          <w:numId w:val="6"/>
        </w:numPr>
        <w:autoSpaceDE w:val="0"/>
        <w:autoSpaceDN w:val="0"/>
        <w:adjustRightInd w:val="0"/>
        <w:rPr>
          <w:rFonts w:cs="Times New Roman"/>
          <w:szCs w:val="24"/>
          <w:lang w:val="en-GB"/>
        </w:rPr>
      </w:pPr>
      <w:r w:rsidRPr="007F139D">
        <w:rPr>
          <w:rFonts w:cs="Times New Roman"/>
          <w:szCs w:val="24"/>
          <w:lang w:val="en-GB"/>
        </w:rPr>
        <w:t>fitting in with rules, customs and the law (socially acceptable behaviour);</w:t>
      </w:r>
    </w:p>
    <w:p w:rsidR="00297CBF" w:rsidRPr="007F139D" w:rsidRDefault="00297CBF" w:rsidP="00297CBF">
      <w:pPr>
        <w:pStyle w:val="Akapitzlist"/>
        <w:numPr>
          <w:ilvl w:val="0"/>
          <w:numId w:val="6"/>
        </w:numPr>
        <w:autoSpaceDE w:val="0"/>
        <w:autoSpaceDN w:val="0"/>
        <w:adjustRightInd w:val="0"/>
        <w:rPr>
          <w:rFonts w:cs="Times New Roman"/>
          <w:szCs w:val="24"/>
          <w:lang w:val="en-GB"/>
        </w:rPr>
      </w:pPr>
      <w:r w:rsidRPr="007F139D">
        <w:rPr>
          <w:rFonts w:cs="Times New Roman"/>
          <w:szCs w:val="24"/>
          <w:lang w:val="en-GB"/>
        </w:rPr>
        <w:t>urgency (the needs of stakeholders and the time required to meet them).</w:t>
      </w:r>
    </w:p>
    <w:p w:rsidR="00297CBF" w:rsidRPr="007F139D" w:rsidRDefault="00297CBF" w:rsidP="00297CBF">
      <w:pPr>
        <w:autoSpaceDE w:val="0"/>
        <w:autoSpaceDN w:val="0"/>
        <w:adjustRightInd w:val="0"/>
        <w:ind w:firstLine="708"/>
        <w:rPr>
          <w:lang w:val="en-GB"/>
        </w:rPr>
      </w:pPr>
      <w:r w:rsidRPr="007F139D">
        <w:rPr>
          <w:rFonts w:cs="Times New Roman"/>
          <w:szCs w:val="24"/>
          <w:lang w:val="en-GB"/>
        </w:rPr>
        <w:t xml:space="preserve">Using the criteria above, a public management entity can establish a hierarchy of stakeholder importance and take this into account in its operations. </w:t>
      </w:r>
    </w:p>
    <w:p w:rsidR="00297CBF" w:rsidRPr="007F139D" w:rsidRDefault="00297CBF" w:rsidP="00297CBF">
      <w:pPr>
        <w:autoSpaceDE w:val="0"/>
        <w:autoSpaceDN w:val="0"/>
        <w:adjustRightInd w:val="0"/>
        <w:ind w:firstLine="708"/>
        <w:rPr>
          <w:lang w:val="en-GB"/>
        </w:rPr>
      </w:pPr>
      <w:r w:rsidRPr="007F139D">
        <w:rPr>
          <w:lang w:val="en-GB"/>
        </w:rPr>
        <w:t xml:space="preserve">In the above context, an important constitutive feature of public governance is the close relationship between the degree to which public governance objectives are achieved and the legitimacy of its actors. The legitimacy seems necessary to obtain the support of the public for specific public management entities. </w:t>
      </w:r>
    </w:p>
    <w:p w:rsidR="00297CBF" w:rsidRPr="007F139D" w:rsidRDefault="00297CBF" w:rsidP="00F73AA6">
      <w:pPr>
        <w:autoSpaceDE w:val="0"/>
        <w:autoSpaceDN w:val="0"/>
        <w:adjustRightInd w:val="0"/>
        <w:spacing w:before="240" w:after="240"/>
        <w:rPr>
          <w:b/>
          <w:lang w:val="en-GB"/>
        </w:rPr>
      </w:pPr>
      <w:r w:rsidRPr="007F139D">
        <w:rPr>
          <w:b/>
          <w:bCs/>
          <w:lang w:val="en-GB"/>
        </w:rPr>
        <w:t>2.Public value</w:t>
      </w:r>
    </w:p>
    <w:p w:rsidR="00297CBF" w:rsidRPr="007F139D" w:rsidRDefault="00297CBF" w:rsidP="00297CBF">
      <w:pPr>
        <w:ind w:firstLine="708"/>
        <w:rPr>
          <w:rFonts w:cs="Times New Roman"/>
          <w:szCs w:val="24"/>
          <w:lang w:val="en-GB"/>
        </w:rPr>
      </w:pPr>
      <w:r w:rsidRPr="007F139D">
        <w:rPr>
          <w:rFonts w:cs="Times New Roman"/>
          <w:szCs w:val="24"/>
          <w:lang w:val="en-GB"/>
        </w:rPr>
        <w:t>In the most general terms, value can be defined as a trait determining the importance or significance of someone or something (Zgółkowa (</w:t>
      </w:r>
      <w:r w:rsidR="007F139D" w:rsidRPr="007F139D">
        <w:rPr>
          <w:rFonts w:cs="Times New Roman"/>
          <w:szCs w:val="24"/>
          <w:lang w:val="en-GB"/>
        </w:rPr>
        <w:t>Ed</w:t>
      </w:r>
      <w:r w:rsidRPr="007F139D">
        <w:rPr>
          <w:rFonts w:cs="Times New Roman"/>
          <w:szCs w:val="24"/>
          <w:lang w:val="en-GB"/>
        </w:rPr>
        <w:t xml:space="preserve">.), 2004, p. 31). This term has been </w:t>
      </w:r>
      <w:r w:rsidRPr="007F139D">
        <w:rPr>
          <w:rFonts w:cs="Times New Roman"/>
          <w:szCs w:val="24"/>
          <w:lang w:val="en-GB"/>
        </w:rPr>
        <w:lastRenderedPageBreak/>
        <w:t>examined from two perspectives. On the one hand, value is treated as a social category, sometimes associated with a benefit.On the other hand, it is regarded as an economic category, an object’s functional characteristic that can be manifested in its price (Mazur, 2011, p. 13). Economists’ views on the subject of value can be divided into two groups. In the first one, value is perceived as an objective category, while in the other—as a subjective category (Ahmed</w:t>
      </w:r>
      <w:r w:rsidR="00362C42">
        <w:rPr>
          <w:rFonts w:cs="Times New Roman"/>
          <w:szCs w:val="24"/>
          <w:lang w:val="en-GB"/>
        </w:rPr>
        <w:t xml:space="preserve"> </w:t>
      </w:r>
      <w:r w:rsidR="009370EC">
        <w:rPr>
          <w:rFonts w:cs="Times New Roman"/>
          <w:szCs w:val="24"/>
          <w:lang w:val="en-GB"/>
        </w:rPr>
        <w:t>&amp;</w:t>
      </w:r>
      <w:r w:rsidR="00362C42">
        <w:rPr>
          <w:rFonts w:cs="Times New Roman"/>
          <w:szCs w:val="24"/>
          <w:lang w:val="en-GB"/>
        </w:rPr>
        <w:t xml:space="preserve"> </w:t>
      </w:r>
      <w:r w:rsidRPr="007F139D">
        <w:rPr>
          <w:rFonts w:cs="Times New Roman"/>
          <w:szCs w:val="24"/>
          <w:lang w:val="en-GB"/>
        </w:rPr>
        <w:t xml:space="preserve">Yanou, 2003, p. 153-179). However, given that economists apply the term “value” to an act of exchange (sales), such an approach does seem to be useful in the study of public administration that offers its services free of charge. </w:t>
      </w:r>
    </w:p>
    <w:p w:rsidR="00297CBF" w:rsidRPr="007F139D" w:rsidRDefault="00297CBF" w:rsidP="00297CBF">
      <w:pPr>
        <w:ind w:firstLine="708"/>
        <w:rPr>
          <w:rFonts w:cs="Times New Roman"/>
          <w:szCs w:val="24"/>
          <w:lang w:val="en-GB"/>
        </w:rPr>
      </w:pPr>
      <w:r w:rsidRPr="007F139D">
        <w:rPr>
          <w:szCs w:val="24"/>
          <w:lang w:val="en-GB"/>
        </w:rPr>
        <w:t>Public value is a special form of value. Public value is related to the concept of the value of public service that Witesman and Walters (2014) defined as a subset of social, professional, ethical and other values that are directly linked to the role of a public official and that would be recognised by this public official as reasonable, justified and relevant to the function of a particular post in the public sector. It can be assumed that said public values are a factor influencing the value of public services. According to Witesman and Walters, this assumption is confirmed by evidence indicating that the value structure of public services depends on diverse values and sets of values (e.g. personal, organisational, social values). The authors citied above conclude that knowing the value of public services can enable the observation and comparison of nuances in the value structure of public services. The terms “public value” and “value of public service” refer to different phenomena and, although they can influence each other, the former term will be examined further below.</w:t>
      </w:r>
    </w:p>
    <w:p w:rsidR="00297CBF" w:rsidRPr="007F139D" w:rsidRDefault="00297CBF" w:rsidP="00297CBF">
      <w:pPr>
        <w:ind w:firstLine="708"/>
        <w:rPr>
          <w:rFonts w:cs="Times New Roman"/>
          <w:szCs w:val="24"/>
          <w:lang w:val="en-GB"/>
        </w:rPr>
      </w:pPr>
      <w:r w:rsidRPr="007F139D">
        <w:rPr>
          <w:rFonts w:cs="Times New Roman"/>
          <w:szCs w:val="24"/>
          <w:lang w:val="en-GB"/>
        </w:rPr>
        <w:t xml:space="preserve">The term “public value” refers to the concept of value management in the private sector. It was introduced by Moore in his book </w:t>
      </w:r>
      <w:r w:rsidRPr="007F139D">
        <w:rPr>
          <w:rFonts w:cs="Times New Roman"/>
          <w:i/>
          <w:iCs/>
          <w:szCs w:val="24"/>
          <w:lang w:val="en-GB"/>
        </w:rPr>
        <w:t xml:space="preserve">Creating Public Value </w:t>
      </w:r>
      <w:r w:rsidRPr="007F139D">
        <w:rPr>
          <w:rFonts w:cs="Times New Roman"/>
          <w:szCs w:val="24"/>
          <w:lang w:val="en-GB"/>
        </w:rPr>
        <w:t xml:space="preserve">(1995), dealing with public sector enterprises, which has undoubtedly influenced how public value is defined. When public entities are considered as entities providing value to stakeholders, a different interpretation of the value delivered by an entity is reasonable. </w:t>
      </w:r>
    </w:p>
    <w:p w:rsidR="00297CBF" w:rsidRPr="007F139D" w:rsidRDefault="00297CBF" w:rsidP="00850898">
      <w:pPr>
        <w:pStyle w:val="NormalnyWeb"/>
        <w:shd w:val="clear" w:color="auto" w:fill="FFFFFF" w:themeFill="background1"/>
        <w:spacing w:before="0" w:beforeAutospacing="0" w:after="0" w:afterAutospacing="0" w:line="360" w:lineRule="auto"/>
        <w:ind w:firstLine="709"/>
        <w:jc w:val="both"/>
        <w:rPr>
          <w:color w:val="222222"/>
          <w:lang w:val="en-GB"/>
        </w:rPr>
      </w:pPr>
      <w:r w:rsidRPr="007F139D">
        <w:rPr>
          <w:lang w:val="en-GB"/>
        </w:rPr>
        <w:t xml:space="preserve">From the perspective of microeconomics, public value can be defined as a utility value delivered to stakeholders as a result of spending public funds.  </w:t>
      </w:r>
      <w:r w:rsidRPr="007F139D">
        <w:rPr>
          <w:color w:val="222222"/>
          <w:lang w:val="en-GB"/>
        </w:rPr>
        <w:t xml:space="preserve">In this approach, a public sector entity creates public value if it effectively performs its functions along while efficiently using public funds. In this case, a stakeholder is associated with a consumer of public goods and a taxpayer. </w:t>
      </w:r>
    </w:p>
    <w:p w:rsidR="00297CBF" w:rsidRPr="007F139D" w:rsidRDefault="0013018E" w:rsidP="00850898">
      <w:pPr>
        <w:pStyle w:val="NormalnyWeb"/>
        <w:shd w:val="clear" w:color="auto" w:fill="FFFFFF" w:themeFill="background1"/>
        <w:spacing w:before="0" w:beforeAutospacing="0" w:after="0" w:afterAutospacing="0" w:line="360" w:lineRule="auto"/>
        <w:ind w:firstLine="708"/>
        <w:jc w:val="both"/>
        <w:rPr>
          <w:lang w:val="en-GB"/>
        </w:rPr>
      </w:pPr>
      <w:r w:rsidRPr="007F139D">
        <w:rPr>
          <w:lang w:val="en-GB"/>
        </w:rPr>
        <w:t xml:space="preserve">Bozeman (2007) defined public value very broadly as: </w:t>
      </w:r>
    </w:p>
    <w:p w:rsidR="00297CBF" w:rsidRPr="007F139D" w:rsidRDefault="00297CBF" w:rsidP="00850898">
      <w:pPr>
        <w:pStyle w:val="Akapitzlist"/>
        <w:numPr>
          <w:ilvl w:val="2"/>
          <w:numId w:val="2"/>
        </w:numPr>
        <w:ind w:left="426"/>
        <w:contextualSpacing w:val="0"/>
        <w:rPr>
          <w:rFonts w:cs="Times New Roman"/>
          <w:szCs w:val="24"/>
          <w:lang w:val="en-GB"/>
        </w:rPr>
      </w:pPr>
      <w:r w:rsidRPr="007F139D">
        <w:rPr>
          <w:rFonts w:cs="Times New Roman"/>
          <w:szCs w:val="24"/>
          <w:lang w:val="en-GB"/>
        </w:rPr>
        <w:t>rights, privileges, and benefits to which citizens are entitled;</w:t>
      </w:r>
    </w:p>
    <w:p w:rsidR="00297CBF" w:rsidRPr="007F139D" w:rsidRDefault="00297CBF" w:rsidP="00850898">
      <w:pPr>
        <w:pStyle w:val="Akapitzlist"/>
        <w:numPr>
          <w:ilvl w:val="2"/>
          <w:numId w:val="2"/>
        </w:numPr>
        <w:ind w:left="426"/>
        <w:contextualSpacing w:val="0"/>
        <w:rPr>
          <w:rFonts w:cs="Times New Roman"/>
          <w:szCs w:val="24"/>
          <w:lang w:val="en-GB"/>
        </w:rPr>
      </w:pPr>
      <w:r w:rsidRPr="007F139D">
        <w:rPr>
          <w:rFonts w:cs="Times New Roman"/>
          <w:szCs w:val="24"/>
          <w:lang w:val="en-GB"/>
        </w:rPr>
        <w:t>citizens’ duties in relation to other citizens, the state, and society;</w:t>
      </w:r>
    </w:p>
    <w:p w:rsidR="00297CBF" w:rsidRPr="007F139D" w:rsidRDefault="00297CBF" w:rsidP="00850898">
      <w:pPr>
        <w:pStyle w:val="Akapitzlist"/>
        <w:numPr>
          <w:ilvl w:val="2"/>
          <w:numId w:val="2"/>
        </w:numPr>
        <w:ind w:left="426"/>
        <w:contextualSpacing w:val="0"/>
        <w:rPr>
          <w:rFonts w:cs="Times New Roman"/>
          <w:szCs w:val="24"/>
          <w:lang w:val="en-GB"/>
        </w:rPr>
      </w:pPr>
      <w:r w:rsidRPr="007F139D">
        <w:rPr>
          <w:rFonts w:cs="Times New Roman"/>
          <w:szCs w:val="24"/>
          <w:lang w:val="en-GB"/>
        </w:rPr>
        <w:t xml:space="preserve">principles on which the rule of law should be based.  </w:t>
      </w:r>
    </w:p>
    <w:p w:rsidR="00297CBF" w:rsidRPr="007F139D" w:rsidRDefault="00297CBF" w:rsidP="00850898">
      <w:pPr>
        <w:pStyle w:val="NormalnyWeb"/>
        <w:shd w:val="clear" w:color="auto" w:fill="FFFFFF" w:themeFill="background1"/>
        <w:spacing w:before="0" w:beforeAutospacing="0" w:after="0" w:afterAutospacing="0" w:line="360" w:lineRule="auto"/>
        <w:ind w:firstLine="709"/>
        <w:jc w:val="both"/>
        <w:rPr>
          <w:lang w:val="en-GB"/>
        </w:rPr>
      </w:pPr>
      <w:r w:rsidRPr="007F139D">
        <w:rPr>
          <w:lang w:val="en-GB"/>
        </w:rPr>
        <w:lastRenderedPageBreak/>
        <w:t xml:space="preserve">A broad definition of public value  was also proposed by </w:t>
      </w:r>
      <w:hyperlink r:id="rId8" w:history="1">
        <w:r w:rsidRPr="007F139D">
          <w:rPr>
            <w:rStyle w:val="Hipercze"/>
            <w:color w:val="auto"/>
            <w:u w:val="none"/>
            <w:lang w:val="en-GB"/>
          </w:rPr>
          <w:t>Crosby</w:t>
        </w:r>
      </w:hyperlink>
      <w:r w:rsidRPr="007F139D">
        <w:rPr>
          <w:lang w:val="en-GB"/>
        </w:rPr>
        <w:t xml:space="preserve">, </w:t>
      </w:r>
      <w:hyperlink r:id="rId9" w:history="1">
        <w:r w:rsidRPr="007F139D">
          <w:rPr>
            <w:rStyle w:val="Hipercze"/>
            <w:color w:val="auto"/>
            <w:u w:val="none"/>
            <w:lang w:val="en-GB"/>
          </w:rPr>
          <w:t>Hart</w:t>
        </w:r>
      </w:hyperlink>
      <w:r w:rsidRPr="007F139D">
        <w:rPr>
          <w:lang w:val="en-GB"/>
        </w:rPr>
        <w:t xml:space="preserve"> and </w:t>
      </w:r>
      <w:hyperlink r:id="rId10" w:history="1">
        <w:r w:rsidRPr="007F139D">
          <w:rPr>
            <w:rStyle w:val="Hipercze"/>
            <w:color w:val="auto"/>
            <w:u w:val="none"/>
            <w:lang w:val="en-GB"/>
          </w:rPr>
          <w:t>Torfi</w:t>
        </w:r>
      </w:hyperlink>
      <w:r w:rsidRPr="007F139D">
        <w:rPr>
          <w:rStyle w:val="Hipercze"/>
          <w:color w:val="auto"/>
          <w:u w:val="none"/>
          <w:lang w:val="en-GB"/>
        </w:rPr>
        <w:t>ng</w:t>
      </w:r>
      <w:r w:rsidRPr="007F139D">
        <w:rPr>
          <w:lang w:val="en-GB"/>
        </w:rPr>
        <w:t xml:space="preserve"> (2017) who asserted that it is value that is appreciated by the public opinion or is good for the general public (including the public sphere), and evaluated in relation to various public values. From this perspective, the provision of a specific public value serves the implementation of general social values. </w:t>
      </w:r>
    </w:p>
    <w:p w:rsidR="00297CBF" w:rsidRPr="007F139D" w:rsidRDefault="00297CBF" w:rsidP="00297CBF">
      <w:pPr>
        <w:ind w:firstLine="708"/>
        <w:rPr>
          <w:rFonts w:cs="Times New Roman"/>
          <w:szCs w:val="24"/>
          <w:lang w:val="en-GB"/>
        </w:rPr>
      </w:pPr>
      <w:r w:rsidRPr="007F139D">
        <w:rPr>
          <w:rFonts w:cs="Times New Roman"/>
          <w:szCs w:val="24"/>
          <w:lang w:val="en-GB"/>
        </w:rPr>
        <w:t xml:space="preserve">Owing to the subject matter of this paper, the above approaches to public value have to be regarded as too broad. What is desired is an approach to public value that will refer to the execution of spatial planning processes, particularly to the public entity–stakeholder relationship whereby public value is delivered.  Thus, it can be described as public value </w:t>
      </w:r>
      <w:r w:rsidRPr="007F139D">
        <w:rPr>
          <w:rFonts w:cs="Times New Roman"/>
          <w:i/>
          <w:iCs/>
          <w:szCs w:val="24"/>
          <w:lang w:val="en-GB"/>
        </w:rPr>
        <w:t>sensustricto</w:t>
      </w:r>
      <w:r w:rsidRPr="007F139D">
        <w:rPr>
          <w:rFonts w:cs="Times New Roman"/>
          <w:szCs w:val="24"/>
          <w:lang w:val="en-GB"/>
        </w:rPr>
        <w:t xml:space="preserve">(semantically close to the first interpretation of this term by Bozen). Therefore, for the needs of this paper, it seems reasonable to refer to Bowman and Ambrosini who asserted that the term “value”, when used in strategic management, usually involves the fulfilment of clients’ needs (Bowman </w:t>
      </w:r>
      <w:r w:rsidR="009370EC">
        <w:rPr>
          <w:rFonts w:cs="Times New Roman"/>
          <w:szCs w:val="24"/>
          <w:lang w:val="en-GB"/>
        </w:rPr>
        <w:t>&amp;</w:t>
      </w:r>
      <w:r w:rsidR="00362C42">
        <w:rPr>
          <w:rFonts w:cs="Times New Roman"/>
          <w:szCs w:val="24"/>
          <w:lang w:val="en-GB"/>
        </w:rPr>
        <w:t xml:space="preserve"> </w:t>
      </w:r>
      <w:r w:rsidRPr="007F139D">
        <w:rPr>
          <w:rFonts w:cs="Times New Roman"/>
          <w:szCs w:val="24"/>
          <w:lang w:val="en-GB"/>
        </w:rPr>
        <w:t xml:space="preserve">Ambrosini, 2000, 2001), which results from the fact that the satisfaction of the needs of clients (stakeholders) is perceived by them as a benefit. Taking into account the context in which spatial planning is implemented, benefits related to the fulfilment of the specific expectations of a stakeholder will be regarded as a value delivered by a public entity to stakeholders (i.e. public value). </w:t>
      </w:r>
      <w:r w:rsidRPr="007F139D">
        <w:rPr>
          <w:rFonts w:cs="Times New Roman"/>
          <w:szCs w:val="24"/>
          <w:shd w:val="clear" w:color="auto" w:fill="FFFFFF"/>
          <w:lang w:val="en-GB"/>
        </w:rPr>
        <w:t xml:space="preserve">It can be assumed that a public entity, fulfilling the expectations of stakeholders in the spatial planning process, </w:t>
      </w:r>
      <w:r w:rsidRPr="007F139D">
        <w:rPr>
          <w:rFonts w:cs="Times New Roman"/>
          <w:szCs w:val="24"/>
          <w:lang w:val="en-GB"/>
        </w:rPr>
        <w:t>delivers the following kinds of values to them:</w:t>
      </w:r>
    </w:p>
    <w:p w:rsidR="00297CBF" w:rsidRPr="007F139D" w:rsidRDefault="00297CBF" w:rsidP="00297CBF">
      <w:pPr>
        <w:pStyle w:val="Akapitzlist"/>
        <w:numPr>
          <w:ilvl w:val="0"/>
          <w:numId w:val="3"/>
        </w:numPr>
        <w:spacing w:after="160"/>
        <w:jc w:val="left"/>
        <w:rPr>
          <w:rFonts w:cs="Times New Roman"/>
          <w:szCs w:val="24"/>
          <w:lang w:val="en-GB"/>
        </w:rPr>
      </w:pPr>
      <w:r w:rsidRPr="007F139D">
        <w:rPr>
          <w:rFonts w:cs="Times New Roman"/>
          <w:szCs w:val="24"/>
          <w:lang w:val="en-GB"/>
        </w:rPr>
        <w:t>Functional value related to the fact that a public entity:</w:t>
      </w:r>
    </w:p>
    <w:p w:rsidR="00297CBF" w:rsidRPr="007F139D" w:rsidRDefault="00297CBF" w:rsidP="00297CBF">
      <w:pPr>
        <w:pStyle w:val="Akapitzlist"/>
        <w:numPr>
          <w:ilvl w:val="0"/>
          <w:numId w:val="4"/>
        </w:numPr>
        <w:spacing w:after="160"/>
        <w:ind w:left="1276"/>
        <w:jc w:val="left"/>
        <w:rPr>
          <w:rFonts w:cs="Times New Roman"/>
          <w:szCs w:val="24"/>
          <w:lang w:val="en-GB"/>
        </w:rPr>
      </w:pPr>
      <w:r w:rsidRPr="007F139D">
        <w:rPr>
          <w:rFonts w:cs="Times New Roman"/>
          <w:szCs w:val="24"/>
          <w:lang w:val="en-GB"/>
        </w:rPr>
        <w:t>makes decisions determining the performance of activities that stakeholders intend to undertake;</w:t>
      </w:r>
    </w:p>
    <w:p w:rsidR="00297CBF" w:rsidRPr="007F139D" w:rsidRDefault="00297CBF" w:rsidP="00D14878">
      <w:pPr>
        <w:pStyle w:val="Akapitzlist"/>
        <w:numPr>
          <w:ilvl w:val="0"/>
          <w:numId w:val="4"/>
        </w:numPr>
        <w:ind w:left="1276"/>
        <w:jc w:val="left"/>
        <w:rPr>
          <w:rFonts w:cs="Times New Roman"/>
          <w:szCs w:val="24"/>
          <w:lang w:val="en-GB"/>
        </w:rPr>
      </w:pPr>
      <w:r w:rsidRPr="007F139D">
        <w:rPr>
          <w:rFonts w:cs="Times New Roman"/>
          <w:szCs w:val="24"/>
          <w:lang w:val="en-GB"/>
        </w:rPr>
        <w:t>ensures the provision of services to stakeholders, particularly the inhabitants of a municipality (activities generating functional value result from provisions of the law).</w:t>
      </w:r>
    </w:p>
    <w:p w:rsidR="00297CBF" w:rsidRPr="007F139D" w:rsidRDefault="00297CBF" w:rsidP="00297CBF">
      <w:pPr>
        <w:pStyle w:val="Akapitzlist"/>
        <w:numPr>
          <w:ilvl w:val="0"/>
          <w:numId w:val="3"/>
        </w:numPr>
        <w:spacing w:after="160"/>
        <w:jc w:val="left"/>
        <w:rPr>
          <w:rFonts w:cs="Times New Roman"/>
          <w:szCs w:val="24"/>
          <w:lang w:val="en-GB"/>
        </w:rPr>
      </w:pPr>
      <w:r w:rsidRPr="007F139D">
        <w:rPr>
          <w:rFonts w:cs="Times New Roman"/>
          <w:szCs w:val="24"/>
          <w:lang w:val="en-GB"/>
        </w:rPr>
        <w:t>Emotional value, which can be delivered along with functional value, means that a public entity meets stakeholders’ expectations “in excess” with regard to the manner of performing its tasks, e.g. by considerably reducing the time of their completion, indicating alternative ways to proceed. Emotional value stems from what and how a public entity delivers beyond its formal duties, which is welcome by stakeholders.</w:t>
      </w:r>
    </w:p>
    <w:p w:rsidR="00297CBF" w:rsidRPr="007F139D" w:rsidRDefault="00297CBF" w:rsidP="00297CBF">
      <w:pPr>
        <w:pStyle w:val="Akapitzlist"/>
        <w:numPr>
          <w:ilvl w:val="0"/>
          <w:numId w:val="3"/>
        </w:numPr>
        <w:spacing w:after="160"/>
        <w:jc w:val="left"/>
        <w:rPr>
          <w:rFonts w:cs="Times New Roman"/>
          <w:szCs w:val="24"/>
          <w:lang w:val="en-GB"/>
        </w:rPr>
      </w:pPr>
      <w:r w:rsidRPr="007F139D">
        <w:rPr>
          <w:rFonts w:cs="Times New Roman"/>
          <w:szCs w:val="24"/>
          <w:lang w:val="en-GB"/>
        </w:rPr>
        <w:t xml:space="preserve">Experiential value means that a public body enables a stakeholder to participate in the decision-making process in a situation where there is no formal entitlement to such involvement. Thus, a stakeholder is given a possibility to fully articulate their </w:t>
      </w:r>
      <w:r w:rsidRPr="007F139D">
        <w:rPr>
          <w:rFonts w:cs="Times New Roman"/>
          <w:szCs w:val="24"/>
          <w:lang w:val="en-GB"/>
        </w:rPr>
        <w:lastRenderedPageBreak/>
        <w:t>expectations and better understand the determinants of the decision-making process related to their case.</w:t>
      </w:r>
    </w:p>
    <w:p w:rsidR="00297CBF" w:rsidRPr="007F139D" w:rsidRDefault="00297CBF" w:rsidP="00297CBF">
      <w:pPr>
        <w:pStyle w:val="Akapitzlist"/>
        <w:numPr>
          <w:ilvl w:val="0"/>
          <w:numId w:val="3"/>
        </w:numPr>
        <w:spacing w:after="160"/>
        <w:jc w:val="left"/>
        <w:rPr>
          <w:rFonts w:cs="Times New Roman"/>
          <w:szCs w:val="24"/>
          <w:lang w:val="en-GB"/>
        </w:rPr>
      </w:pPr>
      <w:r w:rsidRPr="007F139D">
        <w:rPr>
          <w:rFonts w:cs="Times New Roman"/>
          <w:szCs w:val="24"/>
          <w:lang w:val="en-GB"/>
        </w:rPr>
        <w:t>Time-related value means that functional value is delivered within a time frame and in a way that minimises the time spent by a stakeholder on satisfying their need.</w:t>
      </w:r>
    </w:p>
    <w:p w:rsidR="00297CBF" w:rsidRPr="007F139D" w:rsidRDefault="00297CBF" w:rsidP="00297CBF">
      <w:pPr>
        <w:rPr>
          <w:rFonts w:cs="Times New Roman"/>
          <w:szCs w:val="24"/>
          <w:lang w:val="en-GB"/>
        </w:rPr>
      </w:pPr>
      <w:r w:rsidRPr="007F139D">
        <w:rPr>
          <w:rFonts w:cs="Times New Roman"/>
          <w:szCs w:val="24"/>
          <w:lang w:val="en-GB"/>
        </w:rPr>
        <w:t xml:space="preserve">This means that values delivered during the execution of spatial planning can be regarded as public value. </w:t>
      </w:r>
    </w:p>
    <w:p w:rsidR="00297CBF" w:rsidRPr="007F139D" w:rsidRDefault="00E14A50" w:rsidP="00297CBF">
      <w:pPr>
        <w:ind w:firstLine="708"/>
        <w:rPr>
          <w:rFonts w:cs="Times New Roman"/>
          <w:i/>
          <w:color w:val="FF0000"/>
          <w:szCs w:val="24"/>
          <w:lang w:val="en-GB"/>
        </w:rPr>
      </w:pPr>
      <w:hyperlink r:id="rId11" w:tgtFrame="_blank" w:history="1">
        <w:r w:rsidR="00EE3825" w:rsidRPr="007F139D">
          <w:rPr>
            <w:rStyle w:val="Hipercze"/>
            <w:rFonts w:cs="Times New Roman"/>
            <w:color w:val="auto"/>
            <w:szCs w:val="24"/>
            <w:u w:val="none"/>
            <w:lang w:val="en-GB"/>
          </w:rPr>
          <w:t xml:space="preserve">An interesting aspect </w:t>
        </w:r>
      </w:hyperlink>
      <w:r w:rsidR="00EE3825" w:rsidRPr="007F139D">
        <w:rPr>
          <w:rStyle w:val="Hipercze"/>
          <w:rFonts w:cs="Times New Roman"/>
          <w:color w:val="auto"/>
          <w:szCs w:val="24"/>
          <w:u w:val="none"/>
          <w:lang w:val="en-GB"/>
        </w:rPr>
        <w:t xml:space="preserve">of creating public value </w:t>
      </w:r>
      <w:r w:rsidR="00EE3825" w:rsidRPr="007F139D">
        <w:rPr>
          <w:rFonts w:cs="Times New Roman"/>
          <w:szCs w:val="24"/>
          <w:lang w:val="en-GB"/>
        </w:rPr>
        <w:t xml:space="preserve">was pointed out by Duijn and </w:t>
      </w:r>
      <w:hyperlink r:id="rId12" w:tgtFrame="_blank" w:history="1">
        <w:r w:rsidR="00EE3825" w:rsidRPr="007F139D">
          <w:rPr>
            <w:rStyle w:val="Hipercze"/>
            <w:rFonts w:cs="Times New Roman"/>
            <w:color w:val="auto"/>
            <w:szCs w:val="24"/>
            <w:u w:val="none"/>
            <w:lang w:val="en-GB"/>
          </w:rPr>
          <w:t>Van Popering-Verkerk</w:t>
        </w:r>
      </w:hyperlink>
      <w:r w:rsidR="00EE3825" w:rsidRPr="007F139D">
        <w:rPr>
          <w:rStyle w:val="Hipercze"/>
          <w:rFonts w:cs="Times New Roman"/>
          <w:color w:val="auto"/>
          <w:szCs w:val="24"/>
          <w:u w:val="none"/>
          <w:lang w:val="en-GB"/>
        </w:rPr>
        <w:t xml:space="preserve"> (2018), who focused their attention on co-creating, and even taking the lead in creating public value by citizens. This can be associated with the generation of experiential value in the meaning referred to above. One of the factors that has led to this phenomenon </w:t>
      </w:r>
      <w:r w:rsidR="00EE3825" w:rsidRPr="007F139D">
        <w:rPr>
          <w:lang w:val="en-GB"/>
        </w:rPr>
        <w:t>is the increased pressure for responsibility, productivity and efficiency, which are consistent with the philosophy of new public management. Other authors, e.g. Benington (2009) and Van Buuren (2017), regard civic initiatives as complementing public and private values. From the perspective of the approach to public value adopted in this paper, creating conditions enabling stakeholders to participate in the spatial planning process contributes to increasing the value generated by a public entity.</w:t>
      </w:r>
    </w:p>
    <w:p w:rsidR="00297CBF" w:rsidRPr="007F139D" w:rsidRDefault="00297CBF" w:rsidP="00297CBF">
      <w:pPr>
        <w:ind w:firstLine="708"/>
        <w:rPr>
          <w:rFonts w:cs="Times New Roman"/>
          <w:szCs w:val="24"/>
          <w:lang w:val="en-GB"/>
        </w:rPr>
      </w:pPr>
      <w:r w:rsidRPr="007F139D">
        <w:rPr>
          <w:szCs w:val="24"/>
          <w:lang w:val="en-GB"/>
        </w:rPr>
        <w:t xml:space="preserve">Referring to public value management according to Moore, </w:t>
      </w:r>
      <w:hyperlink r:id="rId13" w:history="1">
        <w:r w:rsidRPr="007F139D">
          <w:rPr>
            <w:rStyle w:val="Hipercze"/>
            <w:color w:val="auto"/>
            <w:szCs w:val="24"/>
            <w:u w:val="none"/>
            <w:lang w:val="en-GB"/>
          </w:rPr>
          <w:t>Crosby</w:t>
        </w:r>
      </w:hyperlink>
      <w:r w:rsidRPr="007F139D">
        <w:rPr>
          <w:szCs w:val="24"/>
          <w:lang w:val="en-GB"/>
        </w:rPr>
        <w:t xml:space="preserve">, </w:t>
      </w:r>
      <w:hyperlink r:id="rId14" w:history="1">
        <w:r w:rsidRPr="007F139D">
          <w:rPr>
            <w:rStyle w:val="Hipercze"/>
            <w:color w:val="auto"/>
            <w:szCs w:val="24"/>
            <w:u w:val="none"/>
            <w:lang w:val="en-GB"/>
          </w:rPr>
          <w:t>Hart</w:t>
        </w:r>
      </w:hyperlink>
      <w:r w:rsidRPr="007F139D">
        <w:rPr>
          <w:szCs w:val="24"/>
          <w:lang w:val="en-GB"/>
        </w:rPr>
        <w:t xml:space="preserve"> and </w:t>
      </w:r>
      <w:hyperlink r:id="rId15" w:history="1">
        <w:r w:rsidRPr="007F139D">
          <w:rPr>
            <w:rStyle w:val="Hipercze"/>
            <w:color w:val="auto"/>
            <w:szCs w:val="24"/>
            <w:u w:val="none"/>
            <w:lang w:val="en-GB"/>
          </w:rPr>
          <w:t>Torfi</w:t>
        </w:r>
      </w:hyperlink>
      <w:r w:rsidRPr="007F139D">
        <w:rPr>
          <w:rStyle w:val="Hipercze"/>
          <w:color w:val="auto"/>
          <w:szCs w:val="24"/>
          <w:u w:val="none"/>
          <w:lang w:val="en-GB"/>
        </w:rPr>
        <w:t>ng (2017</w:t>
      </w:r>
      <w:r w:rsidRPr="007F139D">
        <w:rPr>
          <w:szCs w:val="24"/>
          <w:lang w:val="en-GB"/>
        </w:rPr>
        <w:t xml:space="preserve">) observed that the creation of new public values occurs through creative problem-solving, and this task should be performed by public managers, middle or higher level members of public agencies (Moore, 1995, 2013). The presented interpretation of public value is close to the interpretation adopted in this paper, which results from the fact that problem-solving brings benefits to those who experienced these problems. </w:t>
      </w:r>
    </w:p>
    <w:p w:rsidR="00297CBF" w:rsidRPr="007F139D" w:rsidRDefault="00DD4134" w:rsidP="00297CBF">
      <w:pPr>
        <w:ind w:firstLine="708"/>
        <w:rPr>
          <w:rFonts w:cs="Times New Roman"/>
          <w:szCs w:val="24"/>
          <w:lang w:val="en-GB"/>
        </w:rPr>
      </w:pPr>
      <w:r w:rsidRPr="007F139D">
        <w:rPr>
          <w:rFonts w:cs="Times New Roman"/>
          <w:szCs w:val="24"/>
          <w:lang w:val="en-GB"/>
        </w:rPr>
        <w:t>The approach to generating public value taken in this paper is close to the new paradigm of public management, whose essence in relation to values can be expressed as follows: focus on innovation and creation of public value rather than procedural and political rationality; focus on co-dependence and cooperation rather than market control and competition (Osborne, 2006; Torfing</w:t>
      </w:r>
      <w:r w:rsidR="009370EC">
        <w:rPr>
          <w:rFonts w:cs="Times New Roman"/>
          <w:szCs w:val="24"/>
          <w:lang w:val="en-GB"/>
        </w:rPr>
        <w:t>&amp;</w:t>
      </w:r>
      <w:r w:rsidRPr="007F139D">
        <w:rPr>
          <w:rFonts w:cs="Times New Roman"/>
          <w:szCs w:val="24"/>
          <w:lang w:val="en-GB"/>
        </w:rPr>
        <w:t xml:space="preserve"> Triantafillou, 2013). </w:t>
      </w:r>
    </w:p>
    <w:p w:rsidR="00297CBF" w:rsidRPr="007F139D" w:rsidRDefault="00297CBF" w:rsidP="00297CBF">
      <w:pPr>
        <w:autoSpaceDE w:val="0"/>
        <w:autoSpaceDN w:val="0"/>
        <w:adjustRightInd w:val="0"/>
        <w:ind w:firstLine="708"/>
        <w:rPr>
          <w:rFonts w:cs="Times New Roman"/>
          <w:szCs w:val="24"/>
          <w:lang w:val="en-GB"/>
        </w:rPr>
      </w:pPr>
      <w:r w:rsidRPr="007F139D">
        <w:rPr>
          <w:rFonts w:cs="Times New Roman"/>
          <w:szCs w:val="24"/>
          <w:lang w:val="en-GB"/>
        </w:rPr>
        <w:t>Among the stakeholders of processes</w:t>
      </w:r>
      <w:r w:rsidRPr="007F139D">
        <w:rPr>
          <w:lang w:val="en-GB"/>
        </w:rPr>
        <w:t xml:space="preserve"> implemented by public entities, a key position is held by those whose: (1) situation is directly impacted by the manner a public entity executes a specific process </w:t>
      </w:r>
      <w:r w:rsidRPr="007F139D">
        <w:rPr>
          <w:rFonts w:cs="Times New Roman"/>
          <w:szCs w:val="24"/>
          <w:lang w:val="en-GB"/>
        </w:rPr>
        <w:t xml:space="preserve">(this impact can be positive or negative); (2) activity is subject to a risk whose degree depends on the execution of a public task (e.g. decisions made by a municipality in relation to this task). Another significant group of stakeholders are entities expressing their interest in the impact of a specific function on a particular entity or entities. </w:t>
      </w:r>
    </w:p>
    <w:p w:rsidR="006C42F9" w:rsidRPr="007F139D" w:rsidRDefault="006C42F9" w:rsidP="00F73AA6">
      <w:pPr>
        <w:autoSpaceDE w:val="0"/>
        <w:autoSpaceDN w:val="0"/>
        <w:adjustRightInd w:val="0"/>
        <w:spacing w:before="240" w:after="240"/>
        <w:rPr>
          <w:rFonts w:cs="Times New Roman"/>
          <w:b/>
          <w:szCs w:val="24"/>
          <w:lang w:val="en-GB"/>
        </w:rPr>
      </w:pPr>
      <w:r w:rsidRPr="007F139D">
        <w:rPr>
          <w:rFonts w:cs="Times New Roman"/>
          <w:b/>
          <w:bCs/>
          <w:szCs w:val="24"/>
          <w:lang w:val="en-GB"/>
        </w:rPr>
        <w:lastRenderedPageBreak/>
        <w:t>3.The concept of stakeholders in the study of non-commercial entities</w:t>
      </w:r>
    </w:p>
    <w:p w:rsidR="006C42F9" w:rsidRPr="007F139D" w:rsidRDefault="006C42F9" w:rsidP="006C42F9">
      <w:pPr>
        <w:autoSpaceDE w:val="0"/>
        <w:autoSpaceDN w:val="0"/>
        <w:adjustRightInd w:val="0"/>
        <w:ind w:firstLine="360"/>
        <w:rPr>
          <w:rFonts w:cs="Times New Roman"/>
          <w:szCs w:val="24"/>
          <w:lang w:val="en-GB"/>
        </w:rPr>
      </w:pPr>
      <w:r w:rsidRPr="007F139D">
        <w:rPr>
          <w:rFonts w:cs="Times New Roman"/>
          <w:szCs w:val="24"/>
          <w:shd w:val="clear" w:color="auto" w:fill="FFFFFF"/>
          <w:lang w:val="en-GB"/>
        </w:rPr>
        <w:t>The term “stakeholders” was first used by Stanford Research Institute in 1963.</w:t>
      </w:r>
      <w:r w:rsidRPr="007F139D">
        <w:rPr>
          <w:rFonts w:cs="Times New Roman"/>
          <w:szCs w:val="24"/>
          <w:lang w:val="en-GB"/>
        </w:rPr>
        <w:t xml:space="preserve">The concept of stakeholders was elaborated for the needs of commercial organisations, but it is quite universal and brings interesting results also beyond commercial organisations. Several cases of using this concept to examine phenomena where public administration is involved are presented below. </w:t>
      </w:r>
    </w:p>
    <w:p w:rsidR="006C42F9" w:rsidRPr="007F139D" w:rsidRDefault="006C42F9" w:rsidP="006C42F9">
      <w:pPr>
        <w:ind w:firstLine="708"/>
        <w:rPr>
          <w:rFonts w:cs="Times New Roman"/>
          <w:szCs w:val="24"/>
          <w:lang w:val="en-GB"/>
        </w:rPr>
      </w:pPr>
      <w:r w:rsidRPr="007F139D">
        <w:rPr>
          <w:szCs w:val="24"/>
          <w:lang w:val="en-GB"/>
        </w:rPr>
        <w:t>One of the most recent cases of the stakeholder concept being used was its implementation to define the way responsibility, in terms of the causes and consequences of forest fires in Sweden, was perceived by the public administration and other stakeholders (e.g. forest enterprises, public agencies, local community, and land owners) (Johansson</w:t>
      </w:r>
      <w:r w:rsidR="001D7D54">
        <w:rPr>
          <w:szCs w:val="24"/>
          <w:lang w:val="en-GB"/>
        </w:rPr>
        <w:t>&amp;</w:t>
      </w:r>
      <w:r w:rsidRPr="007F139D">
        <w:rPr>
          <w:szCs w:val="24"/>
          <w:lang w:val="en-GB"/>
        </w:rPr>
        <w:t>Lidskog</w:t>
      </w:r>
      <w:r w:rsidR="007F139D">
        <w:rPr>
          <w:szCs w:val="24"/>
          <w:lang w:val="en-GB"/>
        </w:rPr>
        <w:t>,</w:t>
      </w:r>
      <w:r w:rsidRPr="007F139D">
        <w:rPr>
          <w:szCs w:val="24"/>
          <w:lang w:val="en-GB"/>
        </w:rPr>
        <w:t xml:space="preserve">2020). In the analysis, the stakeholders’ perception of the need for changing organisational practices to mitigate future fire risk was examined. Furthermore, attention was drawn to the need for adapting the existing forestry practices to climate change as well as the undertakings required. </w:t>
      </w:r>
    </w:p>
    <w:p w:rsidR="006C42F9" w:rsidRPr="007F139D" w:rsidRDefault="006C42F9" w:rsidP="006C42F9">
      <w:pPr>
        <w:ind w:firstLine="708"/>
        <w:rPr>
          <w:rFonts w:cs="Times New Roman"/>
          <w:szCs w:val="24"/>
          <w:lang w:val="en-GB"/>
        </w:rPr>
      </w:pPr>
      <w:r w:rsidRPr="007F139D">
        <w:rPr>
          <w:rFonts w:cs="Times New Roman"/>
          <w:szCs w:val="24"/>
          <w:lang w:val="en-GB"/>
        </w:rPr>
        <w:t xml:space="preserve">Case et al. (2014) used the stakeholder concept to a participatory survey of consumers of mental health services. Their approach was recognised as offering unique hope for using the involvement of consumers in the survey and changes concerning mental health services. By examining the relations of four stakeholder groups, the survey identified, among other things, various benefits arising from participatory surveys of consumers. This was aimed at improving the services of a local mental health centre. </w:t>
      </w:r>
    </w:p>
    <w:p w:rsidR="006C42F9" w:rsidRPr="007F139D" w:rsidRDefault="006C42F9" w:rsidP="006C42F9">
      <w:pPr>
        <w:ind w:firstLine="708"/>
        <w:rPr>
          <w:rFonts w:cs="Times New Roman"/>
          <w:szCs w:val="24"/>
          <w:lang w:val="en-GB"/>
        </w:rPr>
      </w:pPr>
      <w:r w:rsidRPr="007F139D">
        <w:rPr>
          <w:rFonts w:cs="Times New Roman"/>
          <w:szCs w:val="24"/>
          <w:lang w:val="en-GB"/>
        </w:rPr>
        <w:t xml:space="preserve">A review of requirements for the degree of master of public health, described by </w:t>
      </w:r>
      <w:r w:rsidRPr="007F139D">
        <w:rPr>
          <w:rFonts w:cs="Times New Roman"/>
          <w:color w:val="32322F"/>
          <w:szCs w:val="24"/>
          <w:lang w:val="en-GB"/>
        </w:rPr>
        <w:t xml:space="preserve">Linnan et al. (2010), </w:t>
      </w:r>
      <w:r w:rsidRPr="007F139D">
        <w:rPr>
          <w:rFonts w:cs="Times New Roman"/>
          <w:szCs w:val="24"/>
          <w:lang w:val="en-GB"/>
        </w:rPr>
        <w:t>was at the interface of healthcare and higher education</w:t>
      </w:r>
      <w:r w:rsidRPr="007F139D">
        <w:rPr>
          <w:rFonts w:cs="Times New Roman"/>
          <w:color w:val="32322F"/>
          <w:szCs w:val="24"/>
          <w:lang w:val="en-GB"/>
        </w:rPr>
        <w:t xml:space="preserve">. Key stakeholders (current students, graduates, professors, employees, employers and training mentors) of the Department of Health Behaviours and Department of Health Education at the University of North Carolina Gillings School of Global Public Health were involved in its implementation </w:t>
      </w:r>
      <w:r w:rsidRPr="007F139D">
        <w:rPr>
          <w:rFonts w:cs="Times New Roman"/>
          <w:szCs w:val="24"/>
          <w:lang w:val="en-GB"/>
        </w:rPr>
        <w:t xml:space="preserve"> The results of the survey included changes in the curriculum, student advice and mentoring programme, substitution of the requirement to write a master’s thesis with a more practical study. The review of the curriculum led to important changes in the requirements of the master of public health programme.</w:t>
      </w:r>
    </w:p>
    <w:p w:rsidR="006C42F9" w:rsidRPr="007F139D" w:rsidRDefault="006C42F9" w:rsidP="006C42F9">
      <w:pPr>
        <w:ind w:firstLine="708"/>
        <w:rPr>
          <w:rFonts w:cs="Times New Roman"/>
          <w:szCs w:val="24"/>
          <w:lang w:val="en-GB"/>
        </w:rPr>
      </w:pPr>
      <w:r w:rsidRPr="007F139D">
        <w:rPr>
          <w:rFonts w:cs="Times New Roman"/>
          <w:szCs w:val="24"/>
          <w:lang w:val="en-GB"/>
        </w:rPr>
        <w:t xml:space="preserve">Higher education was the subject of a study by </w:t>
      </w:r>
      <w:r w:rsidRPr="007F139D">
        <w:rPr>
          <w:rFonts w:cs="Times New Roman"/>
          <w:color w:val="32322F"/>
          <w:szCs w:val="24"/>
          <w:lang w:val="en-GB"/>
        </w:rPr>
        <w:t>Cho and Palmer (2013)</w:t>
      </w:r>
      <w:r w:rsidRPr="007F139D">
        <w:rPr>
          <w:rFonts w:cs="Times New Roman"/>
          <w:szCs w:val="24"/>
          <w:lang w:val="en-GB"/>
        </w:rPr>
        <w:t>. The study analysed how the policy of internationalisation of the higher education sector in Korea was perceived.</w:t>
      </w:r>
      <w:r w:rsidRPr="007F139D">
        <w:rPr>
          <w:rFonts w:cs="Times New Roman"/>
          <w:color w:val="32322F"/>
          <w:szCs w:val="24"/>
          <w:lang w:val="en-GB"/>
        </w:rPr>
        <w:t xml:space="preserve">The survey found that stakeholders perceive the earlier internationalisation policy as contributing to the international competitiveness of the university although only in quantitative </w:t>
      </w:r>
      <w:r w:rsidRPr="007F139D">
        <w:rPr>
          <w:rFonts w:cs="Times New Roman"/>
          <w:color w:val="32322F"/>
          <w:szCs w:val="24"/>
          <w:lang w:val="en-GB"/>
        </w:rPr>
        <w:lastRenderedPageBreak/>
        <w:t xml:space="preserve">terms. The views of the stakeholders surveyed made it possible to identify the directions of further changes in education and studies on the internationalisation of higher education in Korea. </w:t>
      </w:r>
    </w:p>
    <w:p w:rsidR="006C42F9" w:rsidRPr="007F139D" w:rsidRDefault="006C42F9" w:rsidP="006C42F9">
      <w:pPr>
        <w:ind w:firstLine="708"/>
        <w:rPr>
          <w:szCs w:val="24"/>
          <w:lang w:val="en-GB"/>
        </w:rPr>
      </w:pPr>
      <w:r w:rsidRPr="007F139D">
        <w:rPr>
          <w:szCs w:val="24"/>
          <w:lang w:val="en-GB"/>
        </w:rPr>
        <w:t>The stakeholder concept was used by Tomaževič, Tekavčič</w:t>
      </w:r>
      <w:r w:rsidR="00362C42">
        <w:rPr>
          <w:szCs w:val="24"/>
          <w:lang w:val="en-GB"/>
        </w:rPr>
        <w:t xml:space="preserve"> </w:t>
      </w:r>
      <w:r w:rsidR="00CA4316">
        <w:rPr>
          <w:szCs w:val="24"/>
          <w:lang w:val="en-GB"/>
        </w:rPr>
        <w:t>&amp;</w:t>
      </w:r>
      <w:r w:rsidR="00362C42">
        <w:rPr>
          <w:szCs w:val="24"/>
          <w:lang w:val="en-GB"/>
        </w:rPr>
        <w:t xml:space="preserve"> </w:t>
      </w:r>
      <w:r w:rsidRPr="007F139D">
        <w:rPr>
          <w:szCs w:val="24"/>
          <w:lang w:val="en-GB"/>
        </w:rPr>
        <w:t xml:space="preserve">Peljhan (2017) to design an integrated performance management model as a tool for improving public administration. The proposed model allows improving the existing organisation models, enables repeated use, and takes into account all stakeholders in an organisation. </w:t>
      </w:r>
    </w:p>
    <w:p w:rsidR="006C42F9" w:rsidRPr="007F139D" w:rsidRDefault="006C42F9" w:rsidP="006C42F9">
      <w:pPr>
        <w:ind w:firstLine="708"/>
        <w:rPr>
          <w:rFonts w:cs="Times New Roman"/>
          <w:szCs w:val="24"/>
          <w:lang w:val="en-GB"/>
        </w:rPr>
      </w:pPr>
      <w:r w:rsidRPr="007F139D">
        <w:rPr>
          <w:rFonts w:cs="Times New Roman"/>
          <w:szCs w:val="24"/>
          <w:lang w:val="en-GB"/>
        </w:rPr>
        <w:t xml:space="preserve">When studying the implementation of organisational changes, </w:t>
      </w:r>
      <w:r w:rsidRPr="007F139D">
        <w:rPr>
          <w:rFonts w:cs="Times New Roman"/>
          <w:color w:val="32322F"/>
          <w:szCs w:val="24"/>
          <w:lang w:val="en-GB"/>
        </w:rPr>
        <w:t>Sören (2013)</w:t>
      </w:r>
      <w:r w:rsidRPr="007F139D">
        <w:rPr>
          <w:rFonts w:cs="Times New Roman"/>
          <w:szCs w:val="24"/>
          <w:lang w:val="en-GB"/>
        </w:rPr>
        <w:t xml:space="preserve"> found that inclusion is the key to successful change. Members of an organisation where large changes take place should be involved in each stage of the change process. They should be enabled to follow the consequences of the introduced changes. Change leaders should create possibilities of integration and should present changes so that their consequences are clear not only to organisation members but also to all stakeholders.</w:t>
      </w:r>
    </w:p>
    <w:p w:rsidR="006C42F9" w:rsidRPr="007F139D" w:rsidRDefault="006C42F9" w:rsidP="006C42F9">
      <w:pPr>
        <w:ind w:firstLine="708"/>
        <w:rPr>
          <w:rFonts w:cs="Times New Roman"/>
          <w:szCs w:val="24"/>
          <w:lang w:val="en-GB"/>
        </w:rPr>
      </w:pPr>
      <w:r w:rsidRPr="007F139D">
        <w:rPr>
          <w:rFonts w:cs="Times New Roman"/>
          <w:szCs w:val="24"/>
          <w:lang w:val="en-GB"/>
        </w:rPr>
        <w:t xml:space="preserve">The above review of the implementations of the stakeholder concept confirms that the concept is useful in the study of organisations in the non-commercial sector, including public entities. Not only does it enable the identification and improvement of the current state, but it also allows designing new solutions. </w:t>
      </w:r>
    </w:p>
    <w:p w:rsidR="006C42F9" w:rsidRPr="007F139D" w:rsidRDefault="006C42F9" w:rsidP="006C42F9">
      <w:pPr>
        <w:ind w:firstLine="708"/>
        <w:rPr>
          <w:rFonts w:cs="Times New Roman"/>
          <w:szCs w:val="24"/>
          <w:lang w:val="en-GB"/>
        </w:rPr>
      </w:pPr>
      <w:r w:rsidRPr="007F139D">
        <w:rPr>
          <w:rFonts w:cs="Times New Roman"/>
          <w:szCs w:val="24"/>
          <w:lang w:val="en-GB"/>
        </w:rPr>
        <w:t xml:space="preserve">The study of spatial planning conducted by public entities can indicate a new area for applying the stakeholder concept. </w:t>
      </w:r>
    </w:p>
    <w:p w:rsidR="00297CBF" w:rsidRPr="007F139D" w:rsidRDefault="00297CBF" w:rsidP="00297CBF">
      <w:pPr>
        <w:spacing w:before="240" w:after="240"/>
        <w:rPr>
          <w:lang w:val="en-GB"/>
        </w:rPr>
      </w:pPr>
      <w:r w:rsidRPr="007F139D">
        <w:rPr>
          <w:b/>
          <w:bCs/>
          <w:lang w:val="en-GB"/>
        </w:rPr>
        <w:t>4.Spatial planning and its stakeholders</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Spatial planning is, by its nature, an element of public management, which results primarily from the fact that there is a spatial aspect to numerous public tasks (e.g. Noworól 1998). They are linked to a specific type of use of the particular fragments of space as well as, quite often, to spatial development (including building development). That is why spatial planning should be treated as a factor linking numerous public policies (see e.g. Lukkonen, 2017; Caldarice, Cozzolino, 2019; Medina, Huete, </w:t>
      </w:r>
      <w:r w:rsidR="00CA4316">
        <w:rPr>
          <w:lang w:val="en-GB"/>
        </w:rPr>
        <w:t>&amp;</w:t>
      </w:r>
      <w:r w:rsidRPr="007F139D">
        <w:rPr>
          <w:lang w:val="en-GB"/>
        </w:rPr>
        <w:t>Garcia, 2020).</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Also the purpose and subject-matter scope of spatial planning arrangements indicate public entities as natural actors of spatial planning. There is a consensus in the world literature that only public entities can be the actors of spatial planning. One of the reasons is the structural (ownership and functional) complexity of sites (e.g. cities) that are the object of planning (see e.g. Cotteleer</w:t>
      </w:r>
      <w:r w:rsidR="00CA4316">
        <w:rPr>
          <w:lang w:val="en-GB"/>
        </w:rPr>
        <w:t>&amp;</w:t>
      </w:r>
      <w:r w:rsidRPr="007F139D">
        <w:rPr>
          <w:lang w:val="en-GB"/>
        </w:rPr>
        <w:t>Peerlings, 2011; Næss, 2015; Williams, 2018). Thus, all possible changes in the structure of spatial planning can only mean the shifting of the particular competencies between various public entities (see e.g. Faludi, 2014; Planowanie</w:t>
      </w:r>
      <w:r w:rsidR="00362C42">
        <w:rPr>
          <w:lang w:val="en-GB"/>
        </w:rPr>
        <w:t xml:space="preserve"> </w:t>
      </w:r>
      <w:r w:rsidRPr="007F139D">
        <w:rPr>
          <w:lang w:val="en-GB"/>
        </w:rPr>
        <w:t xml:space="preserve">przestrzenne, 2016; Shepherd, 2020). </w:t>
      </w:r>
      <w:r w:rsidRPr="007F139D">
        <w:rPr>
          <w:lang w:val="en-GB"/>
        </w:rPr>
        <w:lastRenderedPageBreak/>
        <w:t>In Polish literature on the subject, the goals and character of spatial planning have been viewed in a similar way for several decades. Numerous authors (e.g. Malisz, 1984; Parysek, 2001; Budner 2019) define this type of planning as the shaping of spatial structures by public authorities according to environmental, social and economic needs.</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Polish legislation also entrusts spatial planning to public entities, and among the objectives of spatial planning, those having a public character are particularly emphasised in the regulations. Although the 27 March 2003 Act on Spatial Planning and Development (JoL 2003 No. 80, item 717 as amended), mentions the economic value of space and ownership right among the special values that should be considered in spatial planning and management, it places emphasis on numerous intangible values having a public character, namely spatial order, architectural and landscape values, environmental and cultural heritage protection requirements, national defence and security, and generally defined needs of the public interest.</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Given its significant subject-matter scope, spatial planning is regulated by several acts of primary legislation. This results, of course, from the principle inscribed in the Constitution of the Republic of Poland (JoL 1997 No. 78, item 483 as amended). According to this principle, public authorities operate pursuant to and within the limits of the law. This legislation stipulates, among other things, the scope of the powers of various entities (public and private) in this domain, particularly the possibilities of influencing the draft documents that will shape spatial development. </w:t>
      </w:r>
    </w:p>
    <w:p w:rsidR="006444F3" w:rsidRPr="007F139D" w:rsidRDefault="006444F3" w:rsidP="00297CBF">
      <w:pPr>
        <w:pStyle w:val="gwpc823ce06msonormal"/>
        <w:spacing w:before="0" w:beforeAutospacing="0" w:after="0" w:afterAutospacing="0" w:line="360" w:lineRule="auto"/>
        <w:ind w:firstLine="709"/>
        <w:jc w:val="both"/>
        <w:rPr>
          <w:lang w:val="en-GB"/>
        </w:rPr>
      </w:pPr>
      <w:r w:rsidRPr="007F139D">
        <w:rPr>
          <w:lang w:val="en-GB"/>
        </w:rPr>
        <w:t>When considering the benefits to be gained from spatial planning by the residents of a municipalities or other entities operating in a local community, it is worth using the stakeholder concept presented above.  In the context of spatial planning, an entity (group or individual) can be regarded as a stakeholder if they meet at least one of the following criteria (cf. Zbierowski, 2012):</w:t>
      </w:r>
    </w:p>
    <w:p w:rsidR="003B7C92" w:rsidRPr="007F139D" w:rsidRDefault="004C639D" w:rsidP="0093426A">
      <w:pPr>
        <w:pStyle w:val="Akapitzlist"/>
        <w:numPr>
          <w:ilvl w:val="0"/>
          <w:numId w:val="16"/>
        </w:numPr>
        <w:ind w:left="426"/>
        <w:rPr>
          <w:lang w:val="en-GB"/>
        </w:rPr>
      </w:pPr>
      <w:r w:rsidRPr="007F139D">
        <w:rPr>
          <w:lang w:val="en-GB"/>
        </w:rPr>
        <w:t>the planning process has a positive or negative impact on the situation of a given entity or an entity is interested in the impact of the process on themselves or other entities;</w:t>
      </w:r>
    </w:p>
    <w:p w:rsidR="004D0A27" w:rsidRPr="007F139D" w:rsidRDefault="004C639D" w:rsidP="0093426A">
      <w:pPr>
        <w:pStyle w:val="Akapitzlist"/>
        <w:numPr>
          <w:ilvl w:val="0"/>
          <w:numId w:val="16"/>
        </w:numPr>
        <w:ind w:left="426"/>
        <w:rPr>
          <w:lang w:val="en-GB"/>
        </w:rPr>
      </w:pPr>
      <w:r w:rsidRPr="007F139D">
        <w:rPr>
          <w:lang w:val="en-GB"/>
        </w:rPr>
        <w:t xml:space="preserve">a given entity has the indispensable resources for the implementation of the process. </w:t>
      </w:r>
    </w:p>
    <w:p w:rsidR="00297CBF" w:rsidRPr="007F139D" w:rsidRDefault="00297CBF" w:rsidP="004D0A27">
      <w:pPr>
        <w:pStyle w:val="gwpc823ce06msonormal"/>
        <w:spacing w:before="0" w:beforeAutospacing="0" w:after="0" w:afterAutospacing="0" w:line="360" w:lineRule="auto"/>
        <w:ind w:firstLine="360"/>
        <w:jc w:val="both"/>
        <w:rPr>
          <w:lang w:val="en-GB"/>
        </w:rPr>
      </w:pPr>
      <w:r w:rsidRPr="007F139D">
        <w:rPr>
          <w:lang w:val="en-GB"/>
        </w:rPr>
        <w:t>Owing to the multitude of spatial planning arrangements, which results from the complex structure of socio-economic space, there are numerous stakeholders in spatial planning, and they have varied legal status. These are:</w:t>
      </w:r>
    </w:p>
    <w:p w:rsidR="00297CBF" w:rsidRPr="007F139D" w:rsidRDefault="00F5199F" w:rsidP="00F5199F">
      <w:pPr>
        <w:pStyle w:val="gwpc823ce06msonormal"/>
        <w:numPr>
          <w:ilvl w:val="0"/>
          <w:numId w:val="13"/>
        </w:numPr>
        <w:spacing w:before="0" w:beforeAutospacing="0" w:after="0" w:afterAutospacing="0" w:line="360" w:lineRule="auto"/>
        <w:jc w:val="both"/>
        <w:rPr>
          <w:lang w:val="en-GB"/>
        </w:rPr>
      </w:pPr>
      <w:r w:rsidRPr="007F139D">
        <w:rPr>
          <w:lang w:val="en-GB"/>
        </w:rPr>
        <w:t>public (government and local government) institutions;</w:t>
      </w:r>
    </w:p>
    <w:p w:rsidR="00297CBF" w:rsidRPr="007F139D" w:rsidRDefault="00F5199F" w:rsidP="00F5199F">
      <w:pPr>
        <w:pStyle w:val="gwpc823ce06msonormal"/>
        <w:numPr>
          <w:ilvl w:val="0"/>
          <w:numId w:val="13"/>
        </w:numPr>
        <w:spacing w:before="0" w:beforeAutospacing="0" w:after="0" w:afterAutospacing="0" w:line="360" w:lineRule="auto"/>
        <w:jc w:val="both"/>
        <w:rPr>
          <w:lang w:val="en-GB"/>
        </w:rPr>
      </w:pPr>
      <w:r w:rsidRPr="007F139D">
        <w:rPr>
          <w:lang w:val="en-GB"/>
        </w:rPr>
        <w:t>private entities, including individuals and business entities.</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Local government units, at province, county and municipality level, are a key group of public stakeholders in spatial planning. Each of these entities operates pursuant to a separate </w:t>
      </w:r>
      <w:r w:rsidRPr="007F139D">
        <w:rPr>
          <w:lang w:val="en-GB"/>
        </w:rPr>
        <w:lastRenderedPageBreak/>
        <w:t xml:space="preserve">piece of legislation: on local government (JoL 1990 No. 16, item 95 as amended), on county government (JoL 1998 No. 91, item 578 as amended), on provincial government (JoL 1998 No. 91, item 576 as amended). Each of these pieces of legislation grants a specific tier of local government several spatial planning-related powers having an impact on space (concerning, for example, roads, technical infrastructure, educational establishments, health care centres, etc.).  </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The municipal government is the most important among all the tiers of local government. The municipal government prepares spatial planning documents that have a direct influence (in the case of a local spatial development plan) or indirect influence (a spatial development conditions and directions study) on the possibility of developing specific parts of local space. What is more, the municipality is expressly interested in the provisions of the local plan. If, as a result of preparing or amending the local plan, the value of a property rises (for example, when an agricultural plot becomes a building plot and the owner sells it), the municipality has the right to charge the so-called planning fee. Pursuant to the Act on Spatial Planning and Development, the fee may amount to as much as 30% of the difference between the value of the property before the plan was drawn up and the value after it was prepared. On the other hand, if the value of the property decreases in a similar situation, the municipality is obliged to compensate for the whole difference. Furthermore, pursuant to the Act on Local Taxes and Charges (JoL 1991 no. 9 item 31, as amended), a change of the function, stipulated in the plan, from an agricultural to a residential one, for example, paves the way to its future development and, consequently, receipt of property tax by the municipality instead of the much lower agricultural tax.</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Another group of public stakeholders in spatial planning are special government administration bodies responsible for protecting specific tangible components of space. Pursuant to the relevant regulations, these bodies are authorised to influence spatial planning through the introduction of special prohibitions, orders, and standards that must be taken into account in planning documents. These powers are regulated particularly in the following pieces of legislation: Environmental Protection Law (JoL 2001 No. 62, item 627 as amended), Nature Conservation Act (JoL 2004 No. 92, item 880 as amended), Act on the Protection of Agricultural and Forest Land (JoL 1995 No. 16, item 78 as amended), Act on the Protection and Care of Historic Monuments (JoL 2003 No. 162, item 1568 as amended).</w:t>
      </w:r>
    </w:p>
    <w:p w:rsidR="00297CBF" w:rsidRPr="007F139D" w:rsidRDefault="00297CBF" w:rsidP="00297CBF">
      <w:pPr>
        <w:pStyle w:val="gwpc823ce06msonormal"/>
        <w:spacing w:before="0" w:beforeAutospacing="0" w:after="0" w:afterAutospacing="0" w:line="360" w:lineRule="auto"/>
        <w:ind w:firstLine="708"/>
        <w:jc w:val="both"/>
        <w:rPr>
          <w:lang w:val="en-GB"/>
        </w:rPr>
      </w:pPr>
      <w:r w:rsidRPr="007F139D">
        <w:rPr>
          <w:lang w:val="en-GB"/>
        </w:rPr>
        <w:t>The provincial government, as a stakeholder, is interested in the shape of spatial planning at the lower levels of local government. The provincial government draws up a spatial development plan for the province, and it is implemented by incorporating its provisions into the municipality-level spatial planning documents.</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lastRenderedPageBreak/>
        <w:t>Public stakeholders also include public administration bodies managing the individual components of space, particularly (but not only) those owned by them. These regulations allow administration bodies to influence spatial planning to the extent necessary for the proper implementation of their tasks. These bodies operate based on legislation having the nature of substantive law, regulating the rules of handling specific components of space. The following pieces of legislation are undoubtedly of key importance in this respect: the Real Estate Management Act (JoL 1997 No. 115, item 741 as amended), the Forest Act (JoL 1991 No. 101, item 444 as amended), the Public Roads Act (JoL No. 1985 no. 14, item 60), Geological and Mining Law (JoL 2011 No. 163, item 981 as amended).</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While public entities impact (or try to impact) spatial planning in accordance with their statutory obligations, the involvement of private entities is associated with the impact of planning on the value of their properties. The provisions of a local plan (and, indirectly, also a municipal spatial development study) have a significant impact on the market value of individual properties. The differences in the market value between properties assigned an agricultural function in the plan and the nearby properties with a building function can reach several dozen or even several hundred percent (see e.g. Laskowska 2008). </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Private entities, primarily property owners and developers, are also empowered by the law as stakeholders in spatial planning. In this case, it is mainly the Civil Code (JoL 1964 No. 16, item 93 as amended) which defines the scope of owner’s rights in relation to the object of ownership. The Act on Spatial Planning and Development itself also recognises ownership right as one of the values taken into account in planning.</w:t>
      </w:r>
    </w:p>
    <w:p w:rsidR="00297CBF" w:rsidRPr="007F139D" w:rsidRDefault="00297CBF" w:rsidP="00297CBF">
      <w:pPr>
        <w:pStyle w:val="gwpc823ce06msonormal"/>
        <w:spacing w:before="0" w:beforeAutospacing="0" w:after="0" w:afterAutospacing="0" w:line="360" w:lineRule="auto"/>
        <w:ind w:firstLine="709"/>
        <w:jc w:val="both"/>
        <w:rPr>
          <w:bCs/>
          <w:iCs/>
          <w:lang w:val="en-GB"/>
        </w:rPr>
      </w:pPr>
      <w:r w:rsidRPr="007F139D">
        <w:rPr>
          <w:lang w:val="en-GB"/>
        </w:rPr>
        <w:t xml:space="preserve">The presented typology, referring to the criterion of the legal status of stakeholders, is not obviously the only possible one. Taking, for example, the approach of </w:t>
      </w:r>
      <w:r w:rsidRPr="007F139D">
        <w:rPr>
          <w:color w:val="231F20"/>
          <w:lang w:val="en-GB"/>
        </w:rPr>
        <w:t>Haksever, Chaganti</w:t>
      </w:r>
      <w:r w:rsidR="000F22BE">
        <w:rPr>
          <w:color w:val="231F20"/>
          <w:lang w:val="en-GB"/>
        </w:rPr>
        <w:t xml:space="preserve">, </w:t>
      </w:r>
      <w:r w:rsidR="000F22BE">
        <w:rPr>
          <w:lang w:val="en-GB"/>
        </w:rPr>
        <w:t>&amp;</w:t>
      </w:r>
      <w:r w:rsidRPr="007F139D">
        <w:rPr>
          <w:color w:val="231F20"/>
          <w:lang w:val="en-GB"/>
        </w:rPr>
        <w:t>Cook</w:t>
      </w:r>
      <w:r w:rsidRPr="007F139D">
        <w:rPr>
          <w:lang w:val="en-GB"/>
        </w:rPr>
        <w:t xml:space="preserve"> (2004), and taking into account the criterion of expectations in relation to the value generated during the implementation of the spatial planning process, it can be assumed that the following are the key stakeholders in spatial planning: (1) elected members of the authorities of a public entity, employed full time; (2) elected members of the authorities of a public entity, not employed in that entity; (3) administrative employees whose employment is independent of the results of elections; (4) clients (natural persons); (5) economic entities conducting or intending to start business activity in a municipality; (6) residents of a municipality; (7) the society as a whole. The adopted assumption does not mean, of course, that other stakeholders in processes implemented in public bodies, e.g. local governments above the municipality level, mentioned e.g. by Pająk (2015), should not be taken into account. Narrowing down the circle </w:t>
      </w:r>
      <w:r w:rsidRPr="007F139D">
        <w:rPr>
          <w:lang w:val="en-GB"/>
        </w:rPr>
        <w:lastRenderedPageBreak/>
        <w:t xml:space="preserve">of stakeholders results from the adopted approach, i.e. considering those stakeholders for whom value is generated in the course of spatial planning. </w:t>
      </w:r>
    </w:p>
    <w:p w:rsidR="00995EB4" w:rsidRPr="007F139D" w:rsidRDefault="00995EB4" w:rsidP="00297CBF">
      <w:pPr>
        <w:autoSpaceDE w:val="0"/>
        <w:autoSpaceDN w:val="0"/>
        <w:adjustRightInd w:val="0"/>
        <w:ind w:firstLine="708"/>
        <w:rPr>
          <w:rFonts w:cs="Times New Roman"/>
          <w:szCs w:val="24"/>
          <w:lang w:val="en-GB"/>
        </w:rPr>
      </w:pPr>
      <w:r w:rsidRPr="007F139D">
        <w:rPr>
          <w:rFonts w:cs="Times New Roman"/>
          <w:szCs w:val="24"/>
          <w:lang w:val="en-GB"/>
        </w:rPr>
        <w:t xml:space="preserve">There is no doubt that meeting the most important expectations of stakeholders is achieved by providing them with utility value, understood as indicated in the second part of the article. However, one has to be aware that including some stakeholders in the decision-making processes, i.e. providing them with the value of experience, can improve the quality of the decisions, strengthen the involvement in the life of local communities, as well as improve the legitimacy of local authorities. This means that the benefits of providing value to stakeholders can be achieved not only by those directly concerned, but also by the community at large. </w:t>
      </w:r>
    </w:p>
    <w:p w:rsidR="00297CBF" w:rsidRPr="007F139D" w:rsidRDefault="00297CBF" w:rsidP="00297CBF">
      <w:pPr>
        <w:autoSpaceDE w:val="0"/>
        <w:autoSpaceDN w:val="0"/>
        <w:adjustRightInd w:val="0"/>
        <w:ind w:firstLine="708"/>
        <w:rPr>
          <w:rFonts w:cs="Times New Roman"/>
          <w:i/>
          <w:iCs/>
          <w:color w:val="231F20"/>
          <w:szCs w:val="24"/>
          <w:lang w:val="en-GB"/>
        </w:rPr>
      </w:pPr>
      <w:r w:rsidRPr="007F139D">
        <w:rPr>
          <w:rFonts w:cs="Times New Roman"/>
          <w:color w:val="231F20"/>
          <w:szCs w:val="24"/>
          <w:lang w:val="en-GB"/>
        </w:rPr>
        <w:t xml:space="preserve">When examining the process of generating value for stakeholders, one must be aware of the ambivalences or even antagonisms occurring between the expectations of different groups of stakeholders. In consequence, a specific activity carried out by a public entity can generate benefits </w:t>
      </w:r>
      <w:r w:rsidRPr="007F139D">
        <w:rPr>
          <w:rFonts w:cs="Times New Roman"/>
          <w:szCs w:val="24"/>
          <w:lang w:val="en-GB"/>
        </w:rPr>
        <w:t xml:space="preserve">for one stakeholder group (e.g. consent to the location of a manufacturing plant) while reducing the benefits of another group or increasing its costs or risks (e.g. nuisance to residents or damage to municipal roads caused by heavy goods vehicles transporting raw materials to a manufacturing plant). Therefore, the dual character of processes taking place in a public body should be noted and taken into account, namely the generation of value and deterioration of value (if a specific behaviour of a public body exerts a different influence on the situation of different stakeholders). This means that, from the perspective of values, </w:t>
      </w:r>
      <w:r w:rsidRPr="007F139D">
        <w:rPr>
          <w:rFonts w:cs="Times New Roman"/>
          <w:color w:val="231F20"/>
          <w:szCs w:val="24"/>
          <w:lang w:val="en-GB"/>
        </w:rPr>
        <w:t>the relationship between a public body and its stakeholders is two-way rather than one-way, and benefits and costs “flow” in both directions.</w:t>
      </w:r>
    </w:p>
    <w:p w:rsidR="00297CBF" w:rsidRPr="007F139D" w:rsidRDefault="00297CBF" w:rsidP="00297CBF">
      <w:pPr>
        <w:pStyle w:val="gwpc823ce06msonormal"/>
        <w:spacing w:before="0" w:beforeAutospacing="0" w:after="0" w:afterAutospacing="0" w:line="360" w:lineRule="auto"/>
        <w:ind w:firstLine="709"/>
        <w:jc w:val="both"/>
        <w:rPr>
          <w:lang w:val="en-GB"/>
        </w:rPr>
      </w:pPr>
    </w:p>
    <w:p w:rsidR="00297CBF" w:rsidRPr="007F139D" w:rsidRDefault="00297CBF" w:rsidP="00297CBF">
      <w:pPr>
        <w:rPr>
          <w:b/>
          <w:lang w:val="en-GB"/>
        </w:rPr>
      </w:pPr>
      <w:r w:rsidRPr="007F139D">
        <w:rPr>
          <w:b/>
          <w:bCs/>
          <w:lang w:val="en-GB"/>
        </w:rPr>
        <w:t>5.The mechanisms of the impact of stakeholders on spatial planning</w:t>
      </w:r>
    </w:p>
    <w:p w:rsidR="00297CBF" w:rsidRPr="007F139D" w:rsidRDefault="00297CBF" w:rsidP="00297CBF">
      <w:pPr>
        <w:pStyle w:val="gwpc823ce06msonormal"/>
        <w:spacing w:before="240" w:beforeAutospacing="0" w:after="0" w:afterAutospacing="0" w:line="360" w:lineRule="auto"/>
        <w:ind w:firstLine="709"/>
        <w:jc w:val="both"/>
        <w:rPr>
          <w:lang w:val="en-GB"/>
        </w:rPr>
      </w:pPr>
      <w:r w:rsidRPr="007F139D">
        <w:rPr>
          <w:lang w:val="en-GB"/>
        </w:rPr>
        <w:t>The procedure of preparing a local plan (as well as a similar procedure for a municipal spatial development conditions and directions study) significantly influences the content of these documents and the way of enforcing the interests of the particular entities. The entity formally responsible for drafting the plan and study is the head of the municipality (town mayor), while the municipal council votes to adopt these documents. Both of these documents are prepared in a multi-stage procedure, during which individual institutions and residents of a municipality can formulate and then enforce their expectations.</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Various entities can formulate their expectations with regard to space in the course of complex procedures accompanying the preparation of spatial planning documents. As a rule, the more direct is the influence of a specific planning document on spatial development, the </w:t>
      </w:r>
      <w:r w:rsidRPr="007F139D">
        <w:rPr>
          <w:lang w:val="en-GB"/>
        </w:rPr>
        <w:lastRenderedPageBreak/>
        <w:t xml:space="preserve">more complex is the procedure of its preparation. The greatest possibilities in this respect are afforded by the procedure for preparing the local spatial development plan that is the direct basis for issuing building permits. </w:t>
      </w:r>
    </w:p>
    <w:p w:rsidR="00297CBF" w:rsidRPr="007F139D" w:rsidRDefault="00297CBF" w:rsidP="00297CBF">
      <w:pPr>
        <w:pStyle w:val="gwpc823ce06msonormal"/>
        <w:spacing w:before="0" w:beforeAutospacing="0" w:after="0" w:afterAutospacing="0" w:line="360" w:lineRule="auto"/>
        <w:ind w:firstLine="709"/>
        <w:jc w:val="both"/>
        <w:rPr>
          <w:color w:val="385623" w:themeColor="accent6" w:themeShade="80"/>
          <w:lang w:val="en-GB"/>
        </w:rPr>
      </w:pPr>
      <w:r w:rsidRPr="007F139D">
        <w:rPr>
          <w:lang w:val="en-GB"/>
        </w:rPr>
        <w:t xml:space="preserve">As soon as the municipal council adopts a resolution on the preparation of such a plan, the head of the municipality makes this fact known to the public and invites to submit applications. At the same time, the head of the municipality notifies public bodies (particularly special government administration units) that have the right to discuss or at least issue opinions on the draft plan. When the draft plan is prepared, these bodies may verify to what extent the draft meets their expectations. What is more, they also have the right to formulate the conditions (concerning changes in the draft), under which the draft will receive a favourable opinion from them. During this stage of spatial planning, public bodies–as stakeholders–can verbalise their expectations.  </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A draft plan (amended according to the conditions set by the participating bodies) is then presented to the inhabitants (most of whom are property owners) during the public viewing or public consultation. At this stage, the parties concerned should be allowed to have a direct discussion with the representatives of the draft’s authors and municipal authorities.They may also submit comments that must be examined by the head of the municipality and—if rejected by the latter—by the municipal council.  Thus, residents express their expectations as stakeholders. The already adopted plan may also be appealed against before an administrative court, which can be regarded as a special form of expressing expectations. </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Thus, the procedure for the drawing up of a local plan offers numerous possibilities for property owners to influence the content of the document. In consequence, property owners, similarly to other private entities (e.g. developers), are in a noticeably better position than public entities because:</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(1) they approach the draft plan in the last instance, thus influencing the nearly complete draft plan. In consequence, if the municipal authorities enter into a dispute, e.g. with property owners (by not taking their demands into account), the process of preparing the local plan is considerably extended, which is often regarded by the municipal authorities as an unfavourable factor from the perspective of development and organisation. Therefore, the expectations of property owners are often accepted regardless of them being reasonable or not.</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(2) Property owners are usually constituents as well, influencing the re-election of the head of a municipality and members of the municipal council.  This pressure is particularly strong in rural municipalities where–with the single-seat constituencies–the election of a </w:t>
      </w:r>
      <w:r w:rsidRPr="007F139D">
        <w:rPr>
          <w:lang w:val="en-GB"/>
        </w:rPr>
        <w:lastRenderedPageBreak/>
        <w:t xml:space="preserve">councillor often depends on a few dozen votes </w:t>
      </w:r>
      <w:r w:rsidRPr="009D0316">
        <w:rPr>
          <w:lang w:val="en-GB"/>
        </w:rPr>
        <w:t>(http://wybory2014...; Obwieszczenie</w:t>
      </w:r>
      <w:r w:rsidR="00362C42">
        <w:rPr>
          <w:lang w:val="en-GB"/>
        </w:rPr>
        <w:t xml:space="preserve"> </w:t>
      </w:r>
      <w:r w:rsidRPr="009D0316">
        <w:rPr>
          <w:lang w:val="en-GB"/>
        </w:rPr>
        <w:t>Komisarza… 2014).</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The fear of having to face the </w:t>
      </w:r>
      <w:r w:rsidRPr="007F139D">
        <w:rPr>
          <w:color w:val="000000" w:themeColor="text1"/>
          <w:lang w:val="en-GB"/>
        </w:rPr>
        <w:t xml:space="preserve">frequently </w:t>
      </w:r>
      <w:r w:rsidRPr="007F139D">
        <w:rPr>
          <w:lang w:val="en-GB"/>
        </w:rPr>
        <w:t xml:space="preserve">contradictory expectations of various stakeholders in spatial planning often leads the municipal authorities to abandon the drawing up of local plans altogether. In consequence, in numerous cases, municipalities use decisions on development conditions rather than local plans. These decisions, issued at the request of investors, concern individual projects and must only meet relatively few and generally formulated spatial requirements. Furthermore, these decisions are subject to verification by only a few public bodies. In such circumstances, municipalities are prone to give in to the expectations of investors more easily. </w:t>
      </w:r>
    </w:p>
    <w:p w:rsidR="00297CBF" w:rsidRPr="007F139D" w:rsidRDefault="00297CBF" w:rsidP="00297CBF">
      <w:pPr>
        <w:spacing w:before="240"/>
        <w:rPr>
          <w:highlight w:val="yellow"/>
          <w:lang w:val="en-GB"/>
        </w:rPr>
      </w:pPr>
      <w:r w:rsidRPr="007F139D">
        <w:rPr>
          <w:b/>
          <w:bCs/>
          <w:lang w:val="en-GB"/>
        </w:rPr>
        <w:t>6.Effects of the influence of spatial planning stakeholders on spatial development</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The shape of spatial development in Poland is largely a result of the spatial planning system. This correlation applies particularly to the youngest elements of spatial development, those formed after 1990, in the period of intensive political system and socio-economic transformations. The dynamic changes in the functioning of public authorities, social life, and economy required a particularly careful shaping of space in Poland. In reality, however, Polish spatial development is characterised by chaos resulting from, according to Nowak (2007), the public authorities’ avoidance of responsibility.</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In consequence, spatial planning in Poland largely reflects the expectations of the strongest stakeholders, i.e. private entities. It should be emphasised that these are stakeholders that are not always residents of a given municipality (e.g. developer companies) but have an enormous capacity to exert influence on municipal authorities (e.g. bring cases to court as mentioned above). At the same time, these powerful stakeholders jeopardise the interests of numerous residents who may be unaware of the extent to which, for example, spatial order is being compromised by the claims of these stakeholders.  The unwillingness to “restrict” the expectations of property owners and developers has led to a situation where only 30.5% of Poland’s territory is covered by local plans. This means that these plans shape spatial development in less than half of Poland’s non-forested areas. At the same time, the existing local plans generously designate areas with a high potential land tax. In 2017, local plans encompassed nearly 600 thousand hectares of new (non-built-up) residential areas with an estimated capacity of at least 12 million residents (Śleszyński et al. 2018). There are municipalities where, according to local plans, it is possible to build homes for a population 10 times greater than the current number of residents (Śleszyński et al., 2015). It should be stressed </w:t>
      </w:r>
      <w:r w:rsidRPr="007F139D">
        <w:rPr>
          <w:lang w:val="en-GB"/>
        </w:rPr>
        <w:lastRenderedPageBreak/>
        <w:t>that local plans in Poland are predominantly small studies concerning areas of irregular shape, fragmented and scattered in various location within municipalities. Thus, their character and spatial impact makes them similar to decisions on development conditions (Izdebski et al., 2018). The above figures confirm that the existing regulations are beneficial to the few influential stakeholders in spatial planning.</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The size of the land reserves intended in the local plans for the residential function, the irregular shape of these reserves and their dispersed spatial distribution, combined with the lack of arrangements concerning the development sequence in the vast majority of plans, result in a strong and increasing dispersion of development. Besides having a negative impact on landscape, this phenomenon also has negative economic effects for municipal governments, e.g. the necessity to bear high costs of purchasing land designated for public roads in local plans (see e.g. Raport… 2013). These direct costs are accompanied by long-term consequences not only affecting the living conditions of future residents (e.g. extended commute time) but also having a direct impact on public bodies: the cost of building and maintaining technical infrastructure will rise, means that the share of these expenditures in municipal budgets will be continually increasing at the expense of investment spending (Gorzym-Wilkowski, 2016). The total costs borne by public entities as a result of spatial chaos are estimated at more than PLN 40 billion, while the total costs borne by the public and private sphere are estimated at over PLN 80 billion (Studia nad</w:t>
      </w:r>
      <w:r w:rsidR="00B17D10">
        <w:rPr>
          <w:lang w:val="en-GB"/>
        </w:rPr>
        <w:t xml:space="preserve"> </w:t>
      </w:r>
      <w:r w:rsidRPr="007F139D">
        <w:rPr>
          <w:lang w:val="en-GB"/>
        </w:rPr>
        <w:t>chaosem… 2018). This means that spatial planning generates value for a small number of property owners at the expense of a majority of residents, and the municipality itself, as they are deprived of value (e.g. in the form of the phenomena indicated above) due to the spatial planning procedures described.  This phenomenon illustrates the previously mentioned conflict with respect to the value generated: value is gained by few at the expense of the majority.</w:t>
      </w:r>
    </w:p>
    <w:p w:rsidR="00297CBF" w:rsidRPr="007F139D" w:rsidRDefault="00297CBF" w:rsidP="00297CBF">
      <w:pPr>
        <w:spacing w:before="240" w:after="240"/>
        <w:rPr>
          <w:lang w:val="en-GB"/>
        </w:rPr>
      </w:pPr>
      <w:r w:rsidRPr="007F139D">
        <w:rPr>
          <w:b/>
          <w:bCs/>
          <w:lang w:val="en-GB"/>
        </w:rPr>
        <w:t>Conclusions</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Spatial planning or, more specifically, management of spatial development and purpose of its individual fragments, must by its very nature function exclusively as a an element of public management. Spatial planning entities—public administration bodies—face numerous and frequently contradictory objectives stipulated in the legislation. This means an unavoidable occurrence of conflicts between the objectives of different stakeholders in spatial planning.  Thus, the essential task of public management in this sphere is largely to decide which of these objectives should be met. </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lastRenderedPageBreak/>
        <w:t>The observation of the realities of spatial planning in Poland leads to a conclusion that the implementation of only some objectives—which surely cannot be regarded as key objectives—predominates. This is because the objectives articulated in the course of spatial planning procedures are associated with private interests of property owners and developers. They are related to the narrowly understood economic values of space or ownership right. Paradoxically, spatial planning predominantly assumes the role of a strictly administrative (procedural) tool for these objectives. Thus, there is a far-reaching autonomy of private objectives at the expense of public objectives. These expenses are related to numerous public values—both those closely associated with spatial planning objectives (spatial order, landscape values) and those related to other aspects of public management, e.g. the costs of building and maintaining technical infrastructure.</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It is significant and self-evident that spatial planning stakeholders charged with protecting public values may influence planning documents only to the extent that follows directly from the regulations under which they operate. In numerous cases, however, the autonomous decisions of spatial planning entities, primarily municipal government bodies, do not serve the accomplishment of these objectives.</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Thus, it can be concluded that the actual mechanisms of spatial planning in Poland are aberrational, from the perspective of public management principles. However, the prevalence of these aberrations (in municipalities of varying character according to spatial, economic and social terms)) justifies ruling out the most obvious types of causes, particularly the incompetence or corruption of local authorities or the administrative apparatus (see e.g. Śleszyński et al., 2020). It seems, therefore, that the causes of the aberrations are structural because they are inherent to the legal system that both governs spatial planning directly and has indirect impact on it.</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The legal framework for spatial planning is intended to provide an opportunity for all–private and public–stakeholders to articulate and enforce their expectations regarding the future function and use of space. In reality, however, the legal position of private stakeholders has become much stronger than that of public stakeholders. In consequence, the municipal government—being a key entity in spatial planning—is often forced to sacrifice public interest (and its own interest) for the benefit of private interests. Abandoning public interests often turns out to be the condition for adopting planning documents, particularly the local spatial development plan. </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The local government system is also a factor that indirectly, but effectively, distorts spatial management as a tool serving public interest. Democratic mechanisms makes local </w:t>
      </w:r>
      <w:r w:rsidRPr="007F139D">
        <w:rPr>
          <w:lang w:val="en-GB"/>
        </w:rPr>
        <w:lastRenderedPageBreak/>
        <w:t xml:space="preserve">government dependent on residents who are, </w:t>
      </w:r>
      <w:r w:rsidRPr="007F139D">
        <w:rPr>
          <w:i/>
          <w:iCs/>
          <w:lang w:val="en-GB"/>
        </w:rPr>
        <w:t>de facto</w:t>
      </w:r>
      <w:r w:rsidRPr="007F139D">
        <w:rPr>
          <w:lang w:val="en-GB"/>
        </w:rPr>
        <w:t xml:space="preserve">, property owners as well. Therefore, local government officials are not willing to achieve public objectives at the expense of private interests—for fear of losing their positions. Again, a conflict between the aspirations of different stakeholder groups can be observed, namely: (1) representatives of the municipal authorities (head of the municipality, municipal council) usually want to be </w:t>
      </w:r>
      <w:r w:rsidR="003E67DE" w:rsidRPr="007F139D">
        <w:rPr>
          <w:lang w:val="en-GB"/>
        </w:rPr>
        <w:t>re-elected</w:t>
      </w:r>
      <w:r w:rsidRPr="007F139D">
        <w:rPr>
          <w:lang w:val="en-GB"/>
        </w:rPr>
        <w:t xml:space="preserve">; (2)  the interests of a majority of the residents and the municipality itself are of a long-term nature and are generally associated with maintaining spatial order in the municipality; (3) the interests and expectations of other, strong stakeholders are usually of a short-term nature.  Powerful, organised stakeholders, conscious of their interests (as mentioned previously, they are mostly property owners, developers), can exert a stronger influence on the situation of municipal government representatives than other, individual residents of a municipality. That is why municipal authorities are prone to make decisions conforming to the interests of these powerful stakeholder groups.  Such an attitude is often rationalised by the fact that surrendering to private interests offers prospects for intensive spatial development which, usually having a non-agricultural function, becomes the basis for property tax. Property tax is usually a key part of a municipality’s revenue. Thus, an increased scale of development translates into increased revenue for the local government. This, in turn, can mean a greater investment capacity of the local government resulting in, for example, an improved condition of the local public infrastructure. </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Furthermore, the influx of new residents (and particularly business entities), resulting from the uncontrolled stream of new development, can generate a locally significant demand, create jobs, etc. This mechanism can even give rise to opportunities for a “growth machine” stimulating local growth over the long term. (see e.g. Logan</w:t>
      </w:r>
      <w:r w:rsidR="00B17D10">
        <w:rPr>
          <w:lang w:val="en-GB"/>
        </w:rPr>
        <w:t xml:space="preserve"> </w:t>
      </w:r>
      <w:r w:rsidR="003E67DE">
        <w:rPr>
          <w:lang w:val="en-GB"/>
        </w:rPr>
        <w:t>&amp;</w:t>
      </w:r>
      <w:r w:rsidR="00B17D10">
        <w:rPr>
          <w:lang w:val="en-GB"/>
        </w:rPr>
        <w:t xml:space="preserve"> </w:t>
      </w:r>
      <w:r w:rsidRPr="007F139D">
        <w:rPr>
          <w:lang w:val="en-GB"/>
        </w:rPr>
        <w:t xml:space="preserve">Molotch, 1987). It is self-evident, however, that such arguments (even if they are reflected in reality) amount to a </w:t>
      </w:r>
      <w:r w:rsidRPr="007F139D">
        <w:rPr>
          <w:i/>
          <w:iCs/>
          <w:lang w:val="en-GB"/>
        </w:rPr>
        <w:t xml:space="preserve">de facto </w:t>
      </w:r>
      <w:r w:rsidRPr="007F139D">
        <w:rPr>
          <w:lang w:val="en-GB"/>
        </w:rPr>
        <w:t>marginalisation of spatial planning as an aspect of public management, and to an abandonment of its key objectives defined in the legislation.</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Generalising the above remarks from perspective of the relations of the municipality—as a public management body—with stakeholders, in the context of spatial planning, it is necessary to highlight the unfavourable phenomenon of the municipalities surrendering to the pressure of certain powerful stakeholders who may expose them to the necessity of performing additional, sometimes unplanned undertakings. Unfortunately, often guided by opportunism and anticipating the possible objections of such powerful actors (i.e. those who can influence the municipality), municipality representatives make arrangements that are beneficial from the point of view of these stakeholders. The consequence of this is that the municipality will have </w:t>
      </w:r>
      <w:r w:rsidRPr="007F139D">
        <w:rPr>
          <w:lang w:val="en-GB"/>
        </w:rPr>
        <w:lastRenderedPageBreak/>
        <w:t xml:space="preserve">to bear higher costs in the future for the development of technical infrastructure, e.g. transport network (longer road network), maintenance of these roads (higher costs of winter maintenance, repairs), ensuring water supply. In addition, there are higher costs for residents related to commuting to work, taking children to school or extra-curricular activities, or to doctors. </w:t>
      </w:r>
    </w:p>
    <w:p w:rsidR="00297CBF" w:rsidRDefault="00297CBF" w:rsidP="00297CBF">
      <w:pPr>
        <w:pStyle w:val="gwpc823ce06msonormal"/>
        <w:spacing w:before="0" w:beforeAutospacing="0" w:after="0" w:afterAutospacing="0" w:line="360" w:lineRule="auto"/>
        <w:ind w:firstLine="709"/>
        <w:jc w:val="both"/>
        <w:rPr>
          <w:lang w:val="en-GB"/>
        </w:rPr>
      </w:pPr>
      <w:r w:rsidRPr="007F139D">
        <w:rPr>
          <w:lang w:val="en-GB"/>
        </w:rPr>
        <w:t>Such unfavourable phenomena can be avoided by taking greater account of the interests of a wider range of stakeholders, including the municipality as such, in the decision-making processes in municipalities. To this end, stakeholders should be identified and prioritised according to objective criteria. This would help avoid the domination of those stakeholders who can articulate their interests the loudest, and would reduce the danger of opportunistic behaviour by municipal representatives. However, as mentioned above, such actions would require a significantly greater awareness of the effects of spatial planning among its stakeholders. In a situation where, at the same time, this would be contrary to the short-term interests of many of these actors, it cannot be realistically expected. The above goals can be achieved through the appropriate management of relations with stakeholders in processes implemented by a public entity. Its model is presented in the figure below.</w:t>
      </w:r>
    </w:p>
    <w:p w:rsidR="00BC3C9B" w:rsidRPr="007F139D" w:rsidRDefault="00BC3C9B" w:rsidP="00297CBF">
      <w:pPr>
        <w:pStyle w:val="gwpc823ce06msonormal"/>
        <w:spacing w:before="0" w:beforeAutospacing="0" w:after="0" w:afterAutospacing="0" w:line="360" w:lineRule="auto"/>
        <w:ind w:firstLine="709"/>
        <w:jc w:val="both"/>
        <w:rPr>
          <w:lang w:val="en-GB"/>
        </w:rPr>
      </w:pPr>
      <w:r>
        <w:rPr>
          <w:lang w:val="en-GB"/>
        </w:rPr>
        <w:t>Figure 1</w:t>
      </w:r>
    </w:p>
    <w:p w:rsidR="00C9730A" w:rsidRPr="007F139D" w:rsidRDefault="00C9730A" w:rsidP="004D0A27">
      <w:pPr>
        <w:pStyle w:val="gwpc823ce06msonormal"/>
        <w:spacing w:before="360" w:beforeAutospacing="0" w:after="0" w:afterAutospacing="0" w:line="360" w:lineRule="auto"/>
        <w:ind w:firstLine="709"/>
        <w:jc w:val="both"/>
        <w:rPr>
          <w:b/>
          <w:i/>
          <w:lang w:val="en-GB"/>
        </w:rPr>
      </w:pPr>
      <w:r w:rsidRPr="007F139D">
        <w:rPr>
          <w:lang w:val="en-GB"/>
        </w:rPr>
        <w:t xml:space="preserve">An important conclusion from the above observations is that a change in the legal context—above all an amendment of the law regulating spatial planning procedures—is an important opportunity for balancing the impact of various stakeholders on the shape of spatial planning documents. These changes would have to take into account the rules, proposed above, governing the interactions between different categories of stakeholders. These matters, though undoubtedly associated with the values of public services, are not within the scope of this article, but they can be explored in future studies. </w:t>
      </w:r>
    </w:p>
    <w:p w:rsidR="00297CBF" w:rsidRPr="007F139D" w:rsidRDefault="00297CBF" w:rsidP="00297CBF">
      <w:pPr>
        <w:pStyle w:val="gwpc823ce06msonormal"/>
        <w:spacing w:before="0" w:beforeAutospacing="0" w:after="0" w:afterAutospacing="0" w:line="360" w:lineRule="auto"/>
        <w:ind w:firstLine="709"/>
        <w:jc w:val="both"/>
        <w:rPr>
          <w:lang w:val="en-GB"/>
        </w:rPr>
      </w:pPr>
      <w:r w:rsidRPr="007F139D">
        <w:rPr>
          <w:lang w:val="en-GB"/>
        </w:rPr>
        <w:t xml:space="preserve">To supplement the conclusions above, it should be emphasised that this study has confirmed the rationale for using the organisational stakeholder concept to analyse spatial planning processes. The concept of public value, made more specific according to the requirements of spatial planning, has also proved useful,which attests to the great versatility of instruments offered by the management sciences, and provides an incentive to cross the boundaries between scientific disciplines. </w:t>
      </w:r>
    </w:p>
    <w:p w:rsidR="00297CBF" w:rsidRPr="005125B6" w:rsidRDefault="00297CBF" w:rsidP="00297CBF">
      <w:pPr>
        <w:pStyle w:val="gwpc823ce06msonormal"/>
        <w:spacing w:before="0" w:beforeAutospacing="0" w:after="0" w:afterAutospacing="0" w:line="360" w:lineRule="auto"/>
        <w:ind w:firstLine="709"/>
        <w:jc w:val="both"/>
        <w:rPr>
          <w:b/>
          <w:lang w:val="en-GB"/>
        </w:rPr>
      </w:pPr>
    </w:p>
    <w:p w:rsidR="009D0316" w:rsidRPr="009D0316" w:rsidRDefault="009D0316" w:rsidP="009D0316">
      <w:pPr>
        <w:rPr>
          <w:rFonts w:eastAsia="Times New Roman" w:cs="Times New Roman"/>
          <w:szCs w:val="24"/>
          <w:lang w:val="en-GB" w:eastAsia="pl-PL"/>
        </w:rPr>
      </w:pPr>
      <w:r w:rsidRPr="009D0316">
        <w:rPr>
          <w:rFonts w:eastAsia="Times New Roman" w:cs="Times New Roman"/>
          <w:b/>
          <w:bCs/>
          <w:szCs w:val="24"/>
          <w:lang w:val="en-GB" w:eastAsia="pl-PL"/>
        </w:rPr>
        <w:t>References</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bookmarkStart w:id="0" w:name="_GoBack"/>
      <w:r w:rsidRPr="009D0316">
        <w:rPr>
          <w:rFonts w:eastAsia="Times New Roman" w:cs="Times New Roman"/>
          <w:noProof/>
          <w:szCs w:val="24"/>
          <w:lang w:eastAsia="pl-PL"/>
        </w:rPr>
        <w:t xml:space="preserve">Bieniok, H., &amp; Rokita, J. (1984). </w:t>
      </w:r>
      <w:r w:rsidRPr="00BD3F0B">
        <w:rPr>
          <w:rFonts w:eastAsia="Times New Roman" w:cs="Times New Roman"/>
          <w:noProof/>
          <w:szCs w:val="24"/>
          <w:lang w:eastAsia="pl-PL"/>
        </w:rPr>
        <w:t>Struktura organizacyjna przedsiębiorstwa.</w:t>
      </w:r>
      <w:r w:rsidRPr="009D0316">
        <w:rPr>
          <w:rFonts w:eastAsia="Times New Roman" w:cs="Times New Roman"/>
          <w:i/>
          <w:noProof/>
          <w:szCs w:val="24"/>
          <w:lang w:eastAsia="pl-PL"/>
        </w:rPr>
        <w:t xml:space="preserve"> </w:t>
      </w:r>
      <w:r w:rsidRPr="004513B5">
        <w:rPr>
          <w:rFonts w:eastAsia="Times New Roman" w:cs="Times New Roman"/>
          <w:noProof/>
          <w:szCs w:val="24"/>
          <w:lang w:eastAsia="pl-PL"/>
        </w:rPr>
        <w:t>W</w:t>
      </w:r>
      <w:r w:rsidRPr="004513B5">
        <w:rPr>
          <w:rFonts w:eastAsia="Times New Roman" w:cs="Times New Roman"/>
          <w:noProof/>
          <w:szCs w:val="24"/>
          <w:lang w:val="en-GB" w:eastAsia="pl-PL"/>
        </w:rPr>
        <w:t>arszawa:</w:t>
      </w:r>
      <w:r w:rsidRPr="009D0316">
        <w:rPr>
          <w:rFonts w:eastAsia="Times New Roman" w:cs="Times New Roman"/>
          <w:noProof/>
          <w:szCs w:val="24"/>
          <w:lang w:val="en-GB" w:eastAsia="pl-PL"/>
        </w:rPr>
        <w:t xml:space="preserve"> Państwowe Wydawnictwo Naukowe.</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B83661">
        <w:rPr>
          <w:rFonts w:eastAsia="Times New Roman" w:cs="Times New Roman"/>
          <w:noProof/>
          <w:szCs w:val="24"/>
          <w:lang w:val="en-GB" w:eastAsia="pl-PL"/>
        </w:rPr>
        <w:lastRenderedPageBreak/>
        <w:t>Benington</w:t>
      </w:r>
      <w:r w:rsidRPr="009D0316">
        <w:rPr>
          <w:rFonts w:eastAsia="Times New Roman" w:cs="Times New Roman"/>
          <w:noProof/>
          <w:szCs w:val="24"/>
          <w:lang w:val="en-GB" w:eastAsia="pl-PL"/>
        </w:rPr>
        <w:t xml:space="preserve">, J. (2009). </w:t>
      </w:r>
      <w:r w:rsidRPr="009D0316">
        <w:rPr>
          <w:rFonts w:eastAsia="Times New Roman" w:cs="Times New Roman"/>
          <w:iCs/>
          <w:noProof/>
          <w:szCs w:val="24"/>
          <w:lang w:val="en-GB" w:eastAsia="pl-PL"/>
        </w:rPr>
        <w:t xml:space="preserve">Creating the public in order to create public value? </w:t>
      </w:r>
      <w:r w:rsidRPr="00BD3F0B">
        <w:rPr>
          <w:rFonts w:eastAsia="Times New Roman" w:cs="Times New Roman"/>
          <w:iCs/>
          <w:noProof/>
          <w:szCs w:val="24"/>
          <w:lang w:val="en-GB" w:eastAsia="pl-PL"/>
        </w:rPr>
        <w:t>International Journal of Public Administration</w:t>
      </w:r>
      <w:r w:rsidR="00BD3F0B" w:rsidRPr="00BD3F0B">
        <w:rPr>
          <w:rFonts w:eastAsia="Times New Roman" w:cs="Times New Roman"/>
          <w:iCs/>
          <w:noProof/>
          <w:szCs w:val="24"/>
          <w:lang w:val="en-GB" w:eastAsia="pl-PL"/>
        </w:rPr>
        <w:t xml:space="preserve"> </w:t>
      </w:r>
      <w:r w:rsidRPr="009D0316">
        <w:rPr>
          <w:rFonts w:eastAsia="Times New Roman" w:cs="Times New Roman"/>
          <w:noProof/>
          <w:szCs w:val="24"/>
          <w:lang w:val="en-GB" w:eastAsia="pl-PL"/>
        </w:rPr>
        <w:t xml:space="preserve">(32).  </w:t>
      </w:r>
      <w:r w:rsidR="00BD3F0B" w:rsidRPr="009D0316">
        <w:rPr>
          <w:rFonts w:eastAsia="Times New Roman" w:cs="Times New Roman"/>
          <w:noProof/>
          <w:szCs w:val="24"/>
          <w:lang w:val="en-GB" w:eastAsia="pl-PL"/>
        </w:rPr>
        <w:t xml:space="preserve">doi: </w:t>
      </w:r>
      <w:hyperlink r:id="rId16" w:history="1">
        <w:r w:rsidRPr="009D0316">
          <w:rPr>
            <w:rFonts w:eastAsia="Times New Roman" w:cs="Times New Roman"/>
            <w:szCs w:val="24"/>
            <w:lang w:eastAsia="pl-PL"/>
          </w:rPr>
          <w:t>10.1080/01900690902749578</w:t>
        </w:r>
      </w:hyperlink>
      <w:r w:rsidR="00BD3F0B">
        <w:rPr>
          <w:rFonts w:eastAsia="Times New Roman" w:cs="Times New Roman"/>
          <w:szCs w:val="24"/>
          <w:lang w:eastAsia="pl-PL"/>
        </w:rPr>
        <w:t>.</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B83661">
        <w:rPr>
          <w:rFonts w:eastAsia="Times New Roman" w:cs="Times New Roman"/>
          <w:noProof/>
          <w:szCs w:val="24"/>
          <w:lang w:val="en-GB" w:eastAsia="pl-PL"/>
        </w:rPr>
        <w:t>Bozeman</w:t>
      </w:r>
      <w:r w:rsidRPr="009D0316">
        <w:rPr>
          <w:rFonts w:eastAsia="Times New Roman" w:cs="Times New Roman"/>
          <w:noProof/>
          <w:szCs w:val="24"/>
          <w:lang w:val="en-GB" w:eastAsia="pl-PL"/>
        </w:rPr>
        <w:t xml:space="preserve">, B. (2017). </w:t>
      </w:r>
      <w:r w:rsidRPr="00BD3F0B">
        <w:rPr>
          <w:rFonts w:eastAsia="Times New Roman" w:cs="Times New Roman"/>
          <w:noProof/>
          <w:szCs w:val="24"/>
          <w:lang w:val="en-GB" w:eastAsia="pl-PL"/>
        </w:rPr>
        <w:t>Public Values and Public Interest: Counterbalancing Economic Individualism</w:t>
      </w:r>
      <w:r w:rsidRPr="009D0316">
        <w:rPr>
          <w:rFonts w:eastAsia="Times New Roman" w:cs="Times New Roman"/>
          <w:i/>
          <w:noProof/>
          <w:szCs w:val="24"/>
          <w:lang w:val="en-GB" w:eastAsia="pl-PL"/>
        </w:rPr>
        <w:t xml:space="preserve">. </w:t>
      </w:r>
      <w:hyperlink r:id="rId17" w:history="1">
        <w:r w:rsidRPr="009D0316">
          <w:rPr>
            <w:rFonts w:eastAsia="Times New Roman" w:cs="Times New Roman"/>
            <w:noProof/>
            <w:szCs w:val="24"/>
            <w:lang w:val="en-GB" w:eastAsia="pl-PL"/>
          </w:rPr>
          <w:t>Georgetown University Press</w:t>
        </w:r>
      </w:hyperlink>
      <w:r w:rsidRPr="009D0316">
        <w:rPr>
          <w:rFonts w:eastAsia="Times New Roman" w:cs="Times New Roman"/>
          <w:noProof/>
          <w:szCs w:val="24"/>
          <w:lang w:val="en-GB" w:eastAsia="pl-PL"/>
        </w:rPr>
        <w:t>. (</w:t>
      </w:r>
      <w:r w:rsidRPr="009D0316">
        <w:rPr>
          <w:rFonts w:eastAsia="Times New Roman" w:cs="Times New Roman"/>
          <w:spacing w:val="-5"/>
          <w:szCs w:val="24"/>
          <w:shd w:val="clear" w:color="auto" w:fill="FFFFFF"/>
          <w:lang w:val="en-US" w:eastAsia="pl-PL"/>
        </w:rPr>
        <w:t>https://www.jstor.org/stable/j.ctt2tt37c)</w:t>
      </w:r>
      <w:r w:rsidR="00BD3F0B">
        <w:rPr>
          <w:rFonts w:eastAsia="Times New Roman" w:cs="Times New Roman"/>
          <w:spacing w:val="-5"/>
          <w:szCs w:val="24"/>
          <w:shd w:val="clear" w:color="auto" w:fill="FFFFFF"/>
          <w:lang w:val="en-US" w:eastAsia="pl-PL"/>
        </w:rPr>
        <w:t>.</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9D0316">
        <w:rPr>
          <w:rFonts w:eastAsia="Times New Roman" w:cs="Times New Roman"/>
          <w:noProof/>
          <w:szCs w:val="24"/>
          <w:lang w:eastAsia="pl-PL"/>
        </w:rPr>
        <w:t xml:space="preserve">Budner, W. W. (2019). </w:t>
      </w:r>
      <w:r w:rsidRPr="00BD3F0B">
        <w:rPr>
          <w:rFonts w:eastAsia="Times New Roman" w:cs="Times New Roman"/>
          <w:noProof/>
          <w:szCs w:val="24"/>
          <w:lang w:eastAsia="pl-PL"/>
        </w:rPr>
        <w:t>Gospodarka przestrzenna miast i aglomeracji.</w:t>
      </w:r>
      <w:r w:rsidRPr="009D0316">
        <w:rPr>
          <w:rFonts w:eastAsia="Times New Roman" w:cs="Times New Roman"/>
          <w:noProof/>
          <w:szCs w:val="24"/>
          <w:lang w:eastAsia="pl-PL"/>
        </w:rPr>
        <w:t xml:space="preserve"> </w:t>
      </w:r>
      <w:r w:rsidRPr="009D0316">
        <w:rPr>
          <w:rFonts w:eastAsia="Times New Roman" w:cs="Times New Roman"/>
          <w:noProof/>
          <w:szCs w:val="24"/>
          <w:lang w:val="en-GB" w:eastAsia="pl-PL"/>
        </w:rPr>
        <w:t>Poznań: Wydawnictwo UEP.</w:t>
      </w:r>
    </w:p>
    <w:p w:rsidR="009D0316" w:rsidRPr="009D0316" w:rsidRDefault="009D0316" w:rsidP="004513B5">
      <w:pPr>
        <w:numPr>
          <w:ilvl w:val="0"/>
          <w:numId w:val="15"/>
        </w:numPr>
        <w:ind w:left="357" w:hanging="357"/>
        <w:jc w:val="left"/>
        <w:rPr>
          <w:rFonts w:eastAsia="Times New Roman" w:cs="Times New Roman"/>
          <w:szCs w:val="24"/>
          <w:lang w:val="en-US" w:eastAsia="pl-PL"/>
        </w:rPr>
      </w:pPr>
      <w:r w:rsidRPr="00B83661">
        <w:rPr>
          <w:rFonts w:eastAsia="Times New Roman" w:cs="Times New Roman"/>
          <w:noProof/>
          <w:szCs w:val="24"/>
          <w:lang w:val="en-GB" w:eastAsia="pl-PL"/>
        </w:rPr>
        <w:t>Caldarice</w:t>
      </w:r>
      <w:r w:rsidRPr="009D0316">
        <w:rPr>
          <w:rFonts w:eastAsia="Times New Roman" w:cs="Times New Roman"/>
          <w:noProof/>
          <w:szCs w:val="24"/>
          <w:lang w:val="en-GB" w:eastAsia="pl-PL"/>
        </w:rPr>
        <w:t xml:space="preserve">, O., &amp; Cozzolino, S. (2019). </w:t>
      </w:r>
      <w:r w:rsidRPr="009D0316">
        <w:rPr>
          <w:rFonts w:eastAsia="Times New Roman" w:cs="Times New Roman"/>
          <w:iCs/>
          <w:noProof/>
          <w:szCs w:val="24"/>
          <w:lang w:val="en-GB" w:eastAsia="pl-PL"/>
        </w:rPr>
        <w:t>Institutional contradictions and attempts at innovation. Evidence from the Italian urban facility planning.</w:t>
      </w:r>
      <w:r w:rsidR="00BD3F0B">
        <w:rPr>
          <w:rFonts w:eastAsia="Times New Roman" w:cs="Times New Roman"/>
          <w:iCs/>
          <w:noProof/>
          <w:szCs w:val="24"/>
          <w:lang w:val="en-GB" w:eastAsia="pl-PL"/>
        </w:rPr>
        <w:t xml:space="preserve"> </w:t>
      </w:r>
      <w:r w:rsidRPr="00BD3F0B">
        <w:rPr>
          <w:rFonts w:eastAsia="Times New Roman" w:cs="Times New Roman"/>
          <w:iCs/>
          <w:noProof/>
          <w:szCs w:val="24"/>
          <w:lang w:val="en-GB" w:eastAsia="pl-PL"/>
        </w:rPr>
        <w:t>European Planning Studies,</w:t>
      </w:r>
      <w:r w:rsidR="00BD3F0B">
        <w:rPr>
          <w:rFonts w:eastAsia="Times New Roman" w:cs="Times New Roman"/>
          <w:iCs/>
          <w:noProof/>
          <w:szCs w:val="24"/>
          <w:lang w:val="en-GB" w:eastAsia="pl-PL"/>
        </w:rPr>
        <w:t xml:space="preserve"> </w:t>
      </w:r>
      <w:r w:rsidRPr="00BD3F0B">
        <w:rPr>
          <w:rFonts w:eastAsia="Times New Roman" w:cs="Times New Roman"/>
          <w:iCs/>
          <w:noProof/>
          <w:szCs w:val="24"/>
          <w:lang w:val="en-GB" w:eastAsia="pl-PL"/>
        </w:rPr>
        <w:t>27</w:t>
      </w:r>
      <w:r w:rsidRPr="00BD3F0B">
        <w:rPr>
          <w:rFonts w:eastAsia="Times New Roman" w:cs="Times New Roman"/>
          <w:noProof/>
          <w:szCs w:val="24"/>
          <w:lang w:val="en-GB" w:eastAsia="pl-PL"/>
        </w:rPr>
        <w:t>(1),</w:t>
      </w:r>
      <w:r w:rsidRPr="009D0316">
        <w:rPr>
          <w:rFonts w:eastAsia="Times New Roman" w:cs="Times New Roman"/>
          <w:noProof/>
          <w:szCs w:val="24"/>
          <w:lang w:val="en-GB" w:eastAsia="pl-PL"/>
        </w:rPr>
        <w:t xml:space="preserve"> </w:t>
      </w:r>
      <w:r w:rsidR="00BD3F0B">
        <w:rPr>
          <w:rFonts w:eastAsia="Times New Roman" w:cs="Times New Roman"/>
          <w:noProof/>
          <w:szCs w:val="24"/>
          <w:lang w:val="en-GB" w:eastAsia="pl-PL"/>
        </w:rPr>
        <w:t xml:space="preserve">pp. </w:t>
      </w:r>
      <w:r w:rsidRPr="009D0316">
        <w:rPr>
          <w:rFonts w:eastAsia="Times New Roman" w:cs="Times New Roman"/>
          <w:noProof/>
          <w:szCs w:val="24"/>
          <w:lang w:val="en-GB" w:eastAsia="pl-PL"/>
        </w:rPr>
        <w:t xml:space="preserve">68-85. </w:t>
      </w:r>
      <w:r w:rsidR="00BD3F0B" w:rsidRPr="009D0316">
        <w:rPr>
          <w:rFonts w:eastAsia="Times New Roman" w:cs="Times New Roman"/>
          <w:noProof/>
          <w:szCs w:val="24"/>
          <w:lang w:val="en-GB" w:eastAsia="pl-PL"/>
        </w:rPr>
        <w:t>doi</w:t>
      </w:r>
      <w:r w:rsidR="00BD3F0B">
        <w:rPr>
          <w:rFonts w:eastAsia="Times New Roman" w:cs="Times New Roman"/>
          <w:noProof/>
          <w:szCs w:val="24"/>
          <w:lang w:val="en-GB" w:eastAsia="pl-PL"/>
        </w:rPr>
        <w:t>: 10.1080/09654313.2018.1531973.</w:t>
      </w:r>
    </w:p>
    <w:p w:rsidR="009D0316" w:rsidRPr="009D0316" w:rsidRDefault="009D0316" w:rsidP="004513B5">
      <w:pPr>
        <w:numPr>
          <w:ilvl w:val="0"/>
          <w:numId w:val="15"/>
        </w:numPr>
        <w:ind w:left="357" w:hanging="357"/>
        <w:jc w:val="left"/>
        <w:rPr>
          <w:rFonts w:eastAsia="Times New Roman" w:cs="Times New Roman"/>
          <w:szCs w:val="24"/>
          <w:lang w:val="en-US" w:eastAsia="pl-PL"/>
        </w:rPr>
      </w:pPr>
      <w:r w:rsidRPr="00B83661">
        <w:rPr>
          <w:rFonts w:eastAsia="Times New Roman" w:cs="Times New Roman"/>
          <w:noProof/>
          <w:szCs w:val="24"/>
          <w:lang w:val="en-GB" w:eastAsia="pl-PL"/>
        </w:rPr>
        <w:t>Case</w:t>
      </w:r>
      <w:r w:rsidRPr="009D0316">
        <w:rPr>
          <w:rFonts w:eastAsia="Times New Roman" w:cs="Times New Roman"/>
          <w:noProof/>
          <w:szCs w:val="24"/>
          <w:lang w:val="en-GB" w:eastAsia="pl-PL"/>
        </w:rPr>
        <w:t xml:space="preserve">, A., Byrd, R., Claggett, E., DeVeaux, S., Perkins, R., Huang, C., Sernyak, M., Steiner, J., Cole, R., LaPaglia, D., Bailey, M., Buchanan, C., Johnson, A., &amp; Kaufman, J. (2014). </w:t>
      </w:r>
      <w:r w:rsidRPr="009D0316">
        <w:rPr>
          <w:rFonts w:eastAsia="Times New Roman" w:cs="Times New Roman"/>
          <w:iCs/>
          <w:noProof/>
          <w:szCs w:val="24"/>
          <w:lang w:val="en-GB" w:eastAsia="pl-PL"/>
        </w:rPr>
        <w:t>Stakeholders’ Perspectives on Community-Based Participatory Research to Enhance Mental Health Services</w:t>
      </w:r>
      <w:r w:rsidRPr="009D0316">
        <w:rPr>
          <w:rFonts w:eastAsia="Times New Roman" w:cs="Times New Roman"/>
          <w:i/>
          <w:noProof/>
          <w:szCs w:val="24"/>
          <w:lang w:val="en-GB" w:eastAsia="pl-PL"/>
        </w:rPr>
        <w:t xml:space="preserve">. </w:t>
      </w:r>
      <w:r w:rsidRPr="00BD3F0B">
        <w:rPr>
          <w:rFonts w:eastAsia="Times New Roman" w:cs="Times New Roman"/>
          <w:iCs/>
          <w:noProof/>
          <w:szCs w:val="24"/>
          <w:bdr w:val="none" w:sz="0" w:space="0" w:color="auto" w:frame="1"/>
          <w:shd w:val="clear" w:color="auto" w:fill="FFFFFF"/>
          <w:lang w:val="en-GB" w:eastAsia="pl-PL"/>
        </w:rPr>
        <w:t>American Journal of Community Psychology</w:t>
      </w:r>
      <w:r w:rsidRPr="00BD3F0B">
        <w:rPr>
          <w:rFonts w:eastAsia="Times New Roman" w:cs="Times New Roman"/>
          <w:noProof/>
          <w:szCs w:val="24"/>
          <w:bdr w:val="none" w:sz="0" w:space="0" w:color="auto" w:frame="1"/>
          <w:shd w:val="clear" w:color="auto" w:fill="FFFFFF"/>
          <w:lang w:val="en-GB" w:eastAsia="pl-PL"/>
        </w:rPr>
        <w:t xml:space="preserve">, </w:t>
      </w:r>
      <w:r w:rsidRPr="00BD3F0B">
        <w:rPr>
          <w:rFonts w:eastAsia="Times New Roman" w:cs="Times New Roman"/>
          <w:iCs/>
          <w:noProof/>
          <w:szCs w:val="24"/>
          <w:bdr w:val="none" w:sz="0" w:space="0" w:color="auto" w:frame="1"/>
          <w:shd w:val="clear" w:color="auto" w:fill="FFFFFF"/>
          <w:lang w:val="en-GB" w:eastAsia="pl-PL"/>
        </w:rPr>
        <w:t>54</w:t>
      </w:r>
      <w:r w:rsidRPr="00BD3F0B">
        <w:rPr>
          <w:rFonts w:eastAsia="Times New Roman" w:cs="Times New Roman"/>
          <w:noProof/>
          <w:szCs w:val="24"/>
          <w:bdr w:val="none" w:sz="0" w:space="0" w:color="auto" w:frame="1"/>
          <w:shd w:val="clear" w:color="auto" w:fill="FFFFFF"/>
          <w:lang w:val="en-GB" w:eastAsia="pl-PL"/>
        </w:rPr>
        <w:t>(3</w:t>
      </w:r>
      <w:r w:rsidRPr="009D0316">
        <w:rPr>
          <w:rFonts w:eastAsia="Times New Roman" w:cs="Times New Roman"/>
          <w:noProof/>
          <w:szCs w:val="24"/>
          <w:bdr w:val="none" w:sz="0" w:space="0" w:color="auto" w:frame="1"/>
          <w:shd w:val="clear" w:color="auto" w:fill="FFFFFF"/>
          <w:lang w:val="en-GB" w:eastAsia="pl-PL"/>
        </w:rPr>
        <w:t xml:space="preserve">). </w:t>
      </w:r>
      <w:r w:rsidR="00BD3F0B" w:rsidRPr="009D0316">
        <w:rPr>
          <w:rFonts w:eastAsia="Times New Roman" w:cs="Times New Roman"/>
          <w:szCs w:val="24"/>
          <w:lang w:val="en-US" w:eastAsia="pl-PL"/>
        </w:rPr>
        <w:t>doi: </w:t>
      </w:r>
      <w:hyperlink r:id="rId18" w:history="1">
        <w:r w:rsidRPr="009D0316">
          <w:rPr>
            <w:rFonts w:eastAsia="Times New Roman" w:cs="Times New Roman"/>
            <w:szCs w:val="24"/>
            <w:bdr w:val="none" w:sz="0" w:space="0" w:color="auto" w:frame="1"/>
            <w:lang w:val="en-US" w:eastAsia="pl-PL"/>
          </w:rPr>
          <w:t>10.1007/s10464-014-9677-8</w:t>
        </w:r>
      </w:hyperlink>
      <w:r w:rsidR="00BD3F0B">
        <w:rPr>
          <w:rFonts w:eastAsia="Times New Roman" w:cs="Times New Roman"/>
          <w:szCs w:val="24"/>
          <w:bdr w:val="none" w:sz="0" w:space="0" w:color="auto" w:frame="1"/>
          <w:lang w:val="en-US" w:eastAsia="pl-PL"/>
        </w:rPr>
        <w:t>.</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B83661">
        <w:rPr>
          <w:rFonts w:eastAsia="Times New Roman" w:cs="Times New Roman"/>
          <w:noProof/>
          <w:szCs w:val="24"/>
          <w:lang w:val="en-GB" w:eastAsia="pl-PL"/>
        </w:rPr>
        <w:t>Cho</w:t>
      </w:r>
      <w:r w:rsidRPr="009D0316">
        <w:rPr>
          <w:rFonts w:eastAsia="Times New Roman" w:cs="Times New Roman"/>
          <w:noProof/>
          <w:szCs w:val="24"/>
          <w:lang w:val="en-GB" w:eastAsia="pl-PL"/>
        </w:rPr>
        <w:t xml:space="preserve">, Y., &amp; Palmer, J. (2013). </w:t>
      </w:r>
      <w:r w:rsidRPr="009D0316">
        <w:rPr>
          <w:rFonts w:eastAsia="Times New Roman" w:cs="Times New Roman"/>
          <w:iCs/>
          <w:noProof/>
          <w:szCs w:val="24"/>
          <w:lang w:val="en-GB" w:eastAsia="pl-PL"/>
        </w:rPr>
        <w:t>Stakeholders’ views of South Korea’s higher education internationalization policy</w:t>
      </w:r>
      <w:r w:rsidRPr="009D0316">
        <w:rPr>
          <w:rFonts w:eastAsia="Times New Roman" w:cs="Times New Roman"/>
          <w:noProof/>
          <w:szCs w:val="24"/>
          <w:lang w:val="en-GB" w:eastAsia="pl-PL"/>
        </w:rPr>
        <w:t xml:space="preserve">. </w:t>
      </w:r>
      <w:r w:rsidRPr="00677132">
        <w:rPr>
          <w:rFonts w:eastAsia="Times New Roman" w:cs="Times New Roman"/>
          <w:iCs/>
          <w:noProof/>
          <w:szCs w:val="24"/>
          <w:bdr w:val="none" w:sz="0" w:space="0" w:color="auto" w:frame="1"/>
          <w:shd w:val="clear" w:color="auto" w:fill="FFFFFF"/>
          <w:lang w:val="en-GB" w:eastAsia="pl-PL"/>
        </w:rPr>
        <w:t>Higher Education</w:t>
      </w:r>
      <w:r w:rsidRPr="00677132">
        <w:rPr>
          <w:rFonts w:eastAsia="Times New Roman" w:cs="Times New Roman"/>
          <w:noProof/>
          <w:szCs w:val="24"/>
          <w:bdr w:val="none" w:sz="0" w:space="0" w:color="auto" w:frame="1"/>
          <w:shd w:val="clear" w:color="auto" w:fill="FFFFFF"/>
          <w:lang w:val="en-GB" w:eastAsia="pl-PL"/>
        </w:rPr>
        <w:t xml:space="preserve">, </w:t>
      </w:r>
      <w:r w:rsidRPr="00677132">
        <w:rPr>
          <w:rFonts w:eastAsia="Times New Roman" w:cs="Times New Roman"/>
          <w:iCs/>
          <w:noProof/>
          <w:szCs w:val="24"/>
          <w:bdr w:val="none" w:sz="0" w:space="0" w:color="auto" w:frame="1"/>
          <w:shd w:val="clear" w:color="auto" w:fill="FFFFFF"/>
          <w:lang w:val="en-GB" w:eastAsia="pl-PL"/>
        </w:rPr>
        <w:t>65</w:t>
      </w:r>
      <w:r w:rsidRPr="00677132">
        <w:rPr>
          <w:rFonts w:eastAsia="Times New Roman" w:cs="Times New Roman"/>
          <w:noProof/>
          <w:szCs w:val="24"/>
          <w:bdr w:val="none" w:sz="0" w:space="0" w:color="auto" w:frame="1"/>
          <w:shd w:val="clear" w:color="auto" w:fill="FFFFFF"/>
          <w:lang w:val="en-GB" w:eastAsia="pl-PL"/>
        </w:rPr>
        <w:t>(3).</w:t>
      </w:r>
      <w:r w:rsidRPr="009D0316">
        <w:rPr>
          <w:rFonts w:eastAsia="Times New Roman" w:cs="Times New Roman"/>
          <w:noProof/>
          <w:szCs w:val="24"/>
          <w:bdr w:val="none" w:sz="0" w:space="0" w:color="auto" w:frame="1"/>
          <w:shd w:val="clear" w:color="auto" w:fill="FFFFFF"/>
          <w:lang w:val="en-GB" w:eastAsia="pl-PL"/>
        </w:rPr>
        <w:t xml:space="preserve"> </w:t>
      </w:r>
      <w:r w:rsidR="00677132" w:rsidRPr="009D0316">
        <w:rPr>
          <w:rFonts w:eastAsia="Times New Roman" w:cs="Times New Roman"/>
          <w:noProof/>
          <w:szCs w:val="24"/>
          <w:bdr w:val="none" w:sz="0" w:space="0" w:color="auto" w:frame="1"/>
          <w:shd w:val="clear" w:color="auto" w:fill="FFFFFF"/>
          <w:lang w:val="en-GB" w:eastAsia="pl-PL"/>
        </w:rPr>
        <w:t>doi</w:t>
      </w:r>
      <w:r w:rsidR="00677132">
        <w:rPr>
          <w:rFonts w:eastAsia="Times New Roman" w:cs="Times New Roman"/>
          <w:noProof/>
          <w:szCs w:val="24"/>
          <w:bdr w:val="none" w:sz="0" w:space="0" w:color="auto" w:frame="1"/>
          <w:shd w:val="clear" w:color="auto" w:fill="FFFFFF"/>
          <w:lang w:val="en-GB" w:eastAsia="pl-PL"/>
        </w:rPr>
        <w:t>:</w:t>
      </w:r>
      <w:r w:rsidR="00677132" w:rsidRPr="009D0316">
        <w:rPr>
          <w:rFonts w:eastAsia="Times New Roman" w:cs="Times New Roman"/>
          <w:noProof/>
          <w:szCs w:val="24"/>
          <w:bdr w:val="none" w:sz="0" w:space="0" w:color="auto" w:frame="1"/>
          <w:shd w:val="clear" w:color="auto" w:fill="FFFFFF"/>
          <w:lang w:val="en-GB" w:eastAsia="pl-PL"/>
        </w:rPr>
        <w:t xml:space="preserve"> </w:t>
      </w:r>
      <w:r w:rsidRPr="009D0316">
        <w:rPr>
          <w:rFonts w:eastAsia="Times New Roman" w:cs="Times New Roman"/>
          <w:noProof/>
          <w:szCs w:val="24"/>
          <w:bdr w:val="none" w:sz="0" w:space="0" w:color="auto" w:frame="1"/>
          <w:shd w:val="clear" w:color="auto" w:fill="FFFFFF"/>
          <w:lang w:val="en-GB" w:eastAsia="pl-PL"/>
        </w:rPr>
        <w:t>10.1007/s 10734-012-9544-1</w:t>
      </w:r>
      <w:r w:rsidR="004513B5">
        <w:rPr>
          <w:rFonts w:eastAsia="Times New Roman" w:cs="Times New Roman"/>
          <w:noProof/>
          <w:szCs w:val="24"/>
          <w:bdr w:val="none" w:sz="0" w:space="0" w:color="auto" w:frame="1"/>
          <w:shd w:val="clear" w:color="auto" w:fill="FFFFFF"/>
          <w:lang w:val="en-GB" w:eastAsia="pl-PL"/>
        </w:rPr>
        <w:t>.</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B83661">
        <w:rPr>
          <w:rFonts w:eastAsia="Times New Roman" w:cs="Times New Roman"/>
          <w:noProof/>
          <w:szCs w:val="24"/>
          <w:lang w:val="en-GB" w:eastAsia="pl-PL"/>
        </w:rPr>
        <w:t>Cotteleer</w:t>
      </w:r>
      <w:r w:rsidRPr="009D0316">
        <w:rPr>
          <w:rFonts w:eastAsia="Times New Roman" w:cs="Times New Roman"/>
          <w:noProof/>
          <w:szCs w:val="24"/>
          <w:lang w:val="en-GB" w:eastAsia="pl-PL"/>
        </w:rPr>
        <w:t xml:space="preserve">, G, &amp; Peerlings, J.H.M. (2011). </w:t>
      </w:r>
      <w:r w:rsidRPr="009D0316">
        <w:rPr>
          <w:rFonts w:eastAsia="Times New Roman" w:cs="Times New Roman"/>
          <w:iCs/>
          <w:noProof/>
          <w:szCs w:val="24"/>
          <w:lang w:val="en-GB" w:eastAsia="pl-PL"/>
        </w:rPr>
        <w:t>Spatial planning procedures and property prices: The role of expectations.</w:t>
      </w:r>
      <w:r w:rsidR="00677132">
        <w:rPr>
          <w:rFonts w:eastAsia="Times New Roman" w:cs="Times New Roman"/>
          <w:iCs/>
          <w:noProof/>
          <w:szCs w:val="24"/>
          <w:lang w:val="en-GB" w:eastAsia="pl-PL"/>
        </w:rPr>
        <w:t xml:space="preserve"> </w:t>
      </w:r>
      <w:r w:rsidRPr="00677132">
        <w:rPr>
          <w:rFonts w:eastAsia="Times New Roman" w:cs="Times New Roman"/>
          <w:iCs/>
          <w:noProof/>
          <w:szCs w:val="24"/>
          <w:lang w:val="en-GB" w:eastAsia="pl-PL"/>
        </w:rPr>
        <w:t>Landscape and Urban Planning</w:t>
      </w:r>
      <w:r w:rsidRPr="00677132">
        <w:rPr>
          <w:rFonts w:eastAsia="Times New Roman" w:cs="Times New Roman"/>
          <w:noProof/>
          <w:szCs w:val="24"/>
          <w:lang w:val="en-GB" w:eastAsia="pl-PL"/>
        </w:rPr>
        <w:t xml:space="preserve">, </w:t>
      </w:r>
      <w:r w:rsidRPr="00677132">
        <w:rPr>
          <w:rFonts w:eastAsia="Times New Roman" w:cs="Times New Roman"/>
          <w:iCs/>
          <w:noProof/>
          <w:szCs w:val="24"/>
          <w:lang w:val="en-GB" w:eastAsia="pl-PL"/>
        </w:rPr>
        <w:t>100</w:t>
      </w:r>
      <w:r w:rsidRPr="00677132">
        <w:rPr>
          <w:rFonts w:eastAsia="Times New Roman" w:cs="Times New Roman"/>
          <w:noProof/>
          <w:szCs w:val="24"/>
          <w:lang w:val="en-GB" w:eastAsia="pl-PL"/>
        </w:rPr>
        <w:t>(1–2</w:t>
      </w:r>
      <w:r w:rsidRPr="009D0316">
        <w:rPr>
          <w:rFonts w:eastAsia="Times New Roman" w:cs="Times New Roman"/>
          <w:noProof/>
          <w:szCs w:val="24"/>
          <w:lang w:val="en-GB" w:eastAsia="pl-PL"/>
        </w:rPr>
        <w:t xml:space="preserve">), 77-86.    </w:t>
      </w:r>
      <w:r w:rsidR="00677132" w:rsidRPr="009D0316">
        <w:rPr>
          <w:rFonts w:eastAsia="Times New Roman" w:cs="Times New Roman"/>
          <w:noProof/>
          <w:szCs w:val="24"/>
          <w:lang w:val="en-GB" w:eastAsia="pl-PL"/>
        </w:rPr>
        <w:t xml:space="preserve">doi: </w:t>
      </w:r>
      <w:r w:rsidRPr="009D0316">
        <w:rPr>
          <w:rFonts w:eastAsia="Times New Roman" w:cs="Times New Roman"/>
          <w:noProof/>
          <w:szCs w:val="24"/>
          <w:lang w:val="en-GB" w:eastAsia="pl-PL"/>
        </w:rPr>
        <w:t>10.1016/j.landurbplan.2010.11.010.</w:t>
      </w:r>
    </w:p>
    <w:p w:rsidR="009D0316" w:rsidRPr="009D0316" w:rsidRDefault="009D0316" w:rsidP="004513B5">
      <w:pPr>
        <w:numPr>
          <w:ilvl w:val="0"/>
          <w:numId w:val="15"/>
        </w:numPr>
        <w:ind w:left="357" w:hanging="357"/>
        <w:jc w:val="left"/>
        <w:rPr>
          <w:rFonts w:eastAsia="Times New Roman" w:cs="Times New Roman"/>
          <w:noProof/>
          <w:lang w:val="en-GB"/>
        </w:rPr>
      </w:pPr>
      <w:r w:rsidRPr="00B83661">
        <w:rPr>
          <w:rFonts w:eastAsia="Times New Roman" w:cs="Times New Roman"/>
          <w:noProof/>
          <w:szCs w:val="24"/>
          <w:lang w:val="en-GB" w:eastAsia="pl-PL"/>
        </w:rPr>
        <w:t>Crosby</w:t>
      </w:r>
      <w:r w:rsidRPr="009D0316">
        <w:rPr>
          <w:rFonts w:eastAsia="Times New Roman" w:cs="Times New Roman"/>
          <w:noProof/>
          <w:lang w:val="en-GB"/>
        </w:rPr>
        <w:t xml:space="preserve">, B. C., Hart P., &amp; Torfing, J. (2017). </w:t>
      </w:r>
      <w:r w:rsidRPr="009D0316">
        <w:rPr>
          <w:rFonts w:eastAsia="Times New Roman" w:cs="Times New Roman"/>
          <w:iCs/>
          <w:noProof/>
          <w:lang w:val="en-GB"/>
        </w:rPr>
        <w:t>Public value creation through collaborative innovation</w:t>
      </w:r>
      <w:r w:rsidRPr="009D0316">
        <w:rPr>
          <w:rFonts w:eastAsia="Times New Roman" w:cs="Times New Roman"/>
          <w:i/>
          <w:noProof/>
          <w:lang w:val="en-GB"/>
        </w:rPr>
        <w:t xml:space="preserve">. </w:t>
      </w:r>
      <w:r w:rsidRPr="00677132">
        <w:rPr>
          <w:rFonts w:eastAsia="Times New Roman" w:cs="Times New Roman"/>
          <w:iCs/>
          <w:noProof/>
          <w:lang w:val="en-GB"/>
        </w:rPr>
        <w:t>Public Management Review</w:t>
      </w:r>
      <w:r w:rsidR="00677132">
        <w:rPr>
          <w:rFonts w:eastAsia="Times New Roman" w:cs="Times New Roman"/>
          <w:iCs/>
          <w:noProof/>
          <w:lang w:val="en-GB"/>
        </w:rPr>
        <w:t xml:space="preserve"> </w:t>
      </w:r>
      <w:r w:rsidRPr="00677132">
        <w:rPr>
          <w:rFonts w:eastAsia="Times New Roman" w:cs="Times New Roman"/>
          <w:noProof/>
          <w:lang w:val="en-GB"/>
        </w:rPr>
        <w:t>(19).</w:t>
      </w:r>
      <w:r w:rsidRPr="009D0316">
        <w:rPr>
          <w:rFonts w:eastAsia="Times New Roman" w:cs="Times New Roman"/>
          <w:noProof/>
          <w:lang w:val="en-GB"/>
        </w:rPr>
        <w:t xml:space="preserve">  </w:t>
      </w:r>
      <w:r w:rsidR="00677132" w:rsidRPr="009D0316">
        <w:rPr>
          <w:rFonts w:eastAsia="Times New Roman" w:cs="Times New Roman"/>
          <w:szCs w:val="24"/>
        </w:rPr>
        <w:t>doi: </w:t>
      </w:r>
      <w:hyperlink r:id="rId19" w:history="1">
        <w:r w:rsidRPr="009D0316">
          <w:rPr>
            <w:rFonts w:eastAsia="Times New Roman" w:cs="Times New Roman"/>
            <w:szCs w:val="24"/>
            <w:bdr w:val="none" w:sz="0" w:space="0" w:color="auto" w:frame="1"/>
          </w:rPr>
          <w:t>10.1080/14719037.2016.1192165</w:t>
        </w:r>
      </w:hyperlink>
      <w:r w:rsidR="00677132">
        <w:rPr>
          <w:rFonts w:eastAsia="Times New Roman" w:cs="Times New Roman"/>
          <w:szCs w:val="24"/>
          <w:bdr w:val="none" w:sz="0" w:space="0" w:color="auto" w:frame="1"/>
        </w:rPr>
        <w:t>.</w:t>
      </w:r>
    </w:p>
    <w:p w:rsidR="009D0316" w:rsidRPr="00AB07B0" w:rsidRDefault="009D0316" w:rsidP="004513B5">
      <w:pPr>
        <w:numPr>
          <w:ilvl w:val="0"/>
          <w:numId w:val="15"/>
        </w:numPr>
        <w:ind w:left="357" w:hanging="357"/>
        <w:jc w:val="left"/>
        <w:rPr>
          <w:rFonts w:eastAsia="Times New Roman" w:cs="Times New Roman"/>
          <w:noProof/>
          <w:szCs w:val="24"/>
          <w:lang w:eastAsia="pl-PL"/>
        </w:rPr>
      </w:pPr>
      <w:r w:rsidRPr="009D0316">
        <w:rPr>
          <w:rFonts w:eastAsia="Times New Roman" w:cs="Times New Roman"/>
          <w:noProof/>
          <w:szCs w:val="24"/>
          <w:lang w:eastAsia="pl-PL"/>
        </w:rPr>
        <w:t xml:space="preserve">Cyfert, S., Dyduch, W., Latusek-Jurczak, D., Niemczyk, J., Sopińska, A. (2014). </w:t>
      </w:r>
      <w:r w:rsidRPr="009D0316">
        <w:rPr>
          <w:rFonts w:eastAsia="Times New Roman" w:cs="Times New Roman"/>
          <w:iCs/>
          <w:noProof/>
          <w:szCs w:val="24"/>
          <w:lang w:eastAsia="pl-PL"/>
        </w:rPr>
        <w:t>Subdyscypliny w naukach o zarządzaniu – logika wyodrębnienia, identyfikacja modelu koncepcyjnego oraz zawartość tematyczna.</w:t>
      </w:r>
      <w:r w:rsidR="00677132">
        <w:rPr>
          <w:rFonts w:eastAsia="Times New Roman" w:cs="Times New Roman"/>
          <w:iCs/>
          <w:noProof/>
          <w:szCs w:val="24"/>
          <w:lang w:eastAsia="pl-PL"/>
        </w:rPr>
        <w:t xml:space="preserve"> </w:t>
      </w:r>
      <w:r w:rsidRPr="00677132">
        <w:rPr>
          <w:rFonts w:eastAsia="Times New Roman" w:cs="Times New Roman"/>
          <w:iCs/>
          <w:noProof/>
          <w:szCs w:val="24"/>
          <w:lang w:eastAsia="pl-PL"/>
        </w:rPr>
        <w:t>Organization and Management</w:t>
      </w:r>
      <w:r w:rsidR="00677132" w:rsidRPr="00677132">
        <w:rPr>
          <w:rFonts w:eastAsia="Times New Roman" w:cs="Times New Roman"/>
          <w:iCs/>
          <w:noProof/>
          <w:szCs w:val="24"/>
          <w:lang w:eastAsia="pl-PL"/>
        </w:rPr>
        <w:t xml:space="preserve"> </w:t>
      </w:r>
      <w:r w:rsidRPr="00677132">
        <w:rPr>
          <w:rFonts w:eastAsia="Times New Roman" w:cs="Times New Roman"/>
          <w:noProof/>
          <w:szCs w:val="24"/>
          <w:lang w:eastAsia="pl-PL"/>
        </w:rPr>
        <w:t>(161).</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9D0316">
        <w:rPr>
          <w:rFonts w:eastAsia="Times New Roman" w:cs="Times New Roman"/>
          <w:noProof/>
          <w:szCs w:val="24"/>
          <w:lang w:eastAsia="pl-PL"/>
        </w:rPr>
        <w:t xml:space="preserve">Czaputowicz, J. (2009). </w:t>
      </w:r>
      <w:r w:rsidRPr="009D0316">
        <w:rPr>
          <w:rFonts w:eastAsia="Times New Roman" w:cs="Times New Roman"/>
          <w:iCs/>
          <w:noProof/>
          <w:szCs w:val="24"/>
          <w:lang w:eastAsia="pl-PL"/>
        </w:rPr>
        <w:t>Patologie w administracji publicznej – zagadnienia wprowadzające</w:t>
      </w:r>
      <w:r w:rsidRPr="009D0316">
        <w:rPr>
          <w:rFonts w:eastAsia="Times New Roman" w:cs="Times New Roman"/>
          <w:noProof/>
          <w:szCs w:val="24"/>
          <w:lang w:eastAsia="pl-PL"/>
        </w:rPr>
        <w:t xml:space="preserve">, wykład wprowadzający na </w:t>
      </w:r>
      <w:r w:rsidRPr="00677132">
        <w:rPr>
          <w:rFonts w:eastAsia="Times New Roman" w:cs="Times New Roman"/>
          <w:iCs/>
          <w:noProof/>
          <w:szCs w:val="24"/>
          <w:lang w:eastAsia="pl-PL"/>
        </w:rPr>
        <w:t>X Dorocznej Międzynarodowej Konferencji Naukowej Stowarzyszenia Edukacji Administracji Publicznej “Patologie Administracji Publicznej”</w:t>
      </w:r>
      <w:r w:rsidRPr="00677132">
        <w:rPr>
          <w:rFonts w:eastAsia="Times New Roman" w:cs="Times New Roman"/>
          <w:noProof/>
          <w:szCs w:val="24"/>
          <w:lang w:eastAsia="pl-PL"/>
        </w:rPr>
        <w:t xml:space="preserve">. </w:t>
      </w:r>
      <w:r w:rsidRPr="00677132">
        <w:rPr>
          <w:rFonts w:eastAsia="Times New Roman" w:cs="Times New Roman"/>
          <w:noProof/>
          <w:szCs w:val="24"/>
          <w:lang w:val="en-GB" w:eastAsia="pl-PL"/>
        </w:rPr>
        <w:t>Białystok – Białowie</w:t>
      </w:r>
      <w:r w:rsidRPr="009D0316">
        <w:rPr>
          <w:rFonts w:eastAsia="Times New Roman" w:cs="Times New Roman"/>
          <w:noProof/>
          <w:szCs w:val="24"/>
          <w:lang w:val="en-GB" w:eastAsia="pl-PL"/>
        </w:rPr>
        <w:t>ża, 26–28 April 2009.</w:t>
      </w:r>
    </w:p>
    <w:p w:rsidR="009D0316" w:rsidRPr="004513B5" w:rsidRDefault="009D0316" w:rsidP="004513B5">
      <w:pPr>
        <w:numPr>
          <w:ilvl w:val="0"/>
          <w:numId w:val="15"/>
        </w:numPr>
        <w:ind w:left="357" w:hanging="357"/>
        <w:jc w:val="left"/>
        <w:rPr>
          <w:rFonts w:eastAsia="Times New Roman" w:cs="Times New Roman"/>
          <w:noProof/>
          <w:szCs w:val="24"/>
          <w:lang w:eastAsia="pl-PL"/>
        </w:rPr>
      </w:pPr>
      <w:r w:rsidRPr="009D0316">
        <w:rPr>
          <w:rFonts w:eastAsia="Times New Roman" w:cs="Times New Roman"/>
          <w:noProof/>
          <w:szCs w:val="24"/>
          <w:lang w:eastAsia="pl-PL"/>
        </w:rPr>
        <w:t xml:space="preserve">Dembczyńska, J. (2009). </w:t>
      </w:r>
      <w:r w:rsidRPr="009D0316">
        <w:rPr>
          <w:rFonts w:eastAsia="Times New Roman" w:cs="Times New Roman"/>
          <w:iCs/>
          <w:noProof/>
          <w:szCs w:val="24"/>
          <w:lang w:eastAsia="pl-PL"/>
        </w:rPr>
        <w:t>Skąd patologia w działaniach administracji? (pierwotne i wtórne przyczyny powstawania patologii w administracji)</w:t>
      </w:r>
      <w:r w:rsidRPr="009D0316">
        <w:rPr>
          <w:rFonts w:eastAsia="Times New Roman" w:cs="Times New Roman"/>
          <w:noProof/>
          <w:szCs w:val="24"/>
          <w:lang w:eastAsia="pl-PL"/>
        </w:rPr>
        <w:t xml:space="preserve">. In P. J. Suwaj &amp; D. R. Kijowski (Eds.), </w:t>
      </w:r>
      <w:r w:rsidRPr="00677132">
        <w:rPr>
          <w:rFonts w:eastAsia="Times New Roman" w:cs="Times New Roman"/>
          <w:iCs/>
          <w:noProof/>
          <w:szCs w:val="24"/>
          <w:lang w:eastAsia="pl-PL"/>
        </w:rPr>
        <w:t>Patologie w administracji publicznej</w:t>
      </w:r>
      <w:r w:rsidRPr="009D0316">
        <w:rPr>
          <w:rFonts w:eastAsia="Times New Roman" w:cs="Times New Roman"/>
          <w:i/>
          <w:iCs/>
          <w:noProof/>
          <w:szCs w:val="24"/>
          <w:lang w:eastAsia="pl-PL"/>
        </w:rPr>
        <w:t xml:space="preserve"> </w:t>
      </w:r>
      <w:r w:rsidR="004513B5">
        <w:rPr>
          <w:rFonts w:eastAsia="Times New Roman" w:cs="Times New Roman"/>
          <w:noProof/>
          <w:szCs w:val="24"/>
          <w:lang w:eastAsia="pl-PL"/>
        </w:rPr>
        <w:t>(</w:t>
      </w:r>
      <w:r w:rsidRPr="009D0316">
        <w:rPr>
          <w:rFonts w:eastAsia="Times New Roman" w:cs="Times New Roman"/>
          <w:noProof/>
          <w:szCs w:val="24"/>
          <w:lang w:eastAsia="pl-PL"/>
        </w:rPr>
        <w:t xml:space="preserve">31-44). </w:t>
      </w:r>
      <w:r w:rsidRPr="004513B5">
        <w:rPr>
          <w:rFonts w:eastAsia="Times New Roman" w:cs="Times New Roman"/>
          <w:noProof/>
          <w:szCs w:val="24"/>
          <w:lang w:eastAsia="pl-PL"/>
        </w:rPr>
        <w:t>Warszawa: Oficyna Wolters Kluwer.</w:t>
      </w:r>
    </w:p>
    <w:p w:rsidR="009D0316" w:rsidRPr="009D0316" w:rsidRDefault="00E14A50" w:rsidP="004513B5">
      <w:pPr>
        <w:numPr>
          <w:ilvl w:val="0"/>
          <w:numId w:val="15"/>
        </w:numPr>
        <w:ind w:left="357" w:hanging="357"/>
        <w:jc w:val="left"/>
        <w:rPr>
          <w:rFonts w:eastAsia="Times New Roman" w:cs="Times New Roman"/>
          <w:noProof/>
          <w:szCs w:val="24"/>
          <w:lang w:val="en-GB"/>
        </w:rPr>
      </w:pPr>
      <w:hyperlink r:id="rId20" w:tgtFrame="_blank" w:history="1">
        <w:r w:rsidR="009D0316" w:rsidRPr="009D0316">
          <w:rPr>
            <w:rFonts w:eastAsia="Times New Roman" w:cs="Times New Roman"/>
            <w:noProof/>
            <w:szCs w:val="24"/>
            <w:lang w:val="en-GB"/>
          </w:rPr>
          <w:t>Duijn</w:t>
        </w:r>
      </w:hyperlink>
      <w:r w:rsidR="009D0316" w:rsidRPr="009D0316">
        <w:rPr>
          <w:rFonts w:eastAsia="Times New Roman" w:cs="Times New Roman"/>
          <w:noProof/>
          <w:szCs w:val="24"/>
          <w:lang w:val="en-GB"/>
        </w:rPr>
        <w:t>,M., &amp;</w:t>
      </w:r>
      <w:hyperlink r:id="rId21" w:tgtFrame="_blank" w:history="1">
        <w:r w:rsidR="009D0316" w:rsidRPr="00787B77">
          <w:rPr>
            <w:rFonts w:eastAsia="Times New Roman" w:cs="Times New Roman"/>
            <w:noProof/>
            <w:szCs w:val="24"/>
            <w:lang w:val="en-GB" w:eastAsia="pl-PL"/>
          </w:rPr>
          <w:t>Van</w:t>
        </w:r>
        <w:r w:rsidR="009D0316" w:rsidRPr="009D0316">
          <w:rPr>
            <w:rFonts w:eastAsia="Times New Roman" w:cs="Times New Roman"/>
            <w:noProof/>
            <w:szCs w:val="24"/>
            <w:lang w:val="en-GB"/>
          </w:rPr>
          <w:t xml:space="preserve"> Popering-Verkerk</w:t>
        </w:r>
      </w:hyperlink>
      <w:r w:rsidR="009D0316" w:rsidRPr="009D0316">
        <w:rPr>
          <w:rFonts w:eastAsia="Times New Roman" w:cs="Times New Roman"/>
          <w:noProof/>
          <w:szCs w:val="24"/>
          <w:lang w:val="en-GB"/>
        </w:rPr>
        <w:t xml:space="preserve">, J. (2018). </w:t>
      </w:r>
      <w:r w:rsidR="009D0316" w:rsidRPr="00677132">
        <w:rPr>
          <w:rFonts w:eastAsia="Times New Roman" w:cs="Times New Roman"/>
          <w:noProof/>
          <w:szCs w:val="24"/>
          <w:lang w:val="en-GB"/>
        </w:rPr>
        <w:t>Integrated Public Value Creation through Community Initiatives—Evidence from Dutch Water Management</w:t>
      </w:r>
      <w:r w:rsidR="009D0316" w:rsidRPr="00677132">
        <w:rPr>
          <w:rFonts w:eastAsia="Times New Roman" w:cs="Times New Roman"/>
          <w:iCs/>
          <w:noProof/>
          <w:szCs w:val="24"/>
          <w:lang w:val="en-GB"/>
        </w:rPr>
        <w:t>.</w:t>
      </w:r>
      <w:r w:rsidR="00677132">
        <w:rPr>
          <w:rFonts w:eastAsia="Times New Roman" w:cs="Times New Roman"/>
          <w:iCs/>
          <w:noProof/>
          <w:szCs w:val="24"/>
          <w:lang w:val="en-GB"/>
        </w:rPr>
        <w:t xml:space="preserve"> </w:t>
      </w:r>
      <w:r w:rsidR="009D0316" w:rsidRPr="00677132">
        <w:rPr>
          <w:rFonts w:eastAsia="Times New Roman" w:cs="Times New Roman"/>
          <w:noProof/>
          <w:szCs w:val="24"/>
          <w:lang w:val="en-GB"/>
        </w:rPr>
        <w:t>Rotterda</w:t>
      </w:r>
      <w:r w:rsidR="009D0316" w:rsidRPr="009D0316">
        <w:rPr>
          <w:rFonts w:eastAsia="Times New Roman" w:cs="Times New Roman"/>
          <w:noProof/>
          <w:szCs w:val="24"/>
          <w:lang w:val="en-GB"/>
        </w:rPr>
        <w:t>m: Erasmus University Rotterdam, Department of Public Administration &amp; Sociology.</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B83661">
        <w:rPr>
          <w:rFonts w:eastAsia="Times New Roman" w:cs="Times New Roman"/>
          <w:noProof/>
          <w:szCs w:val="24"/>
          <w:lang w:val="en-GB" w:eastAsia="pl-PL"/>
        </w:rPr>
        <w:lastRenderedPageBreak/>
        <w:t>Faludi</w:t>
      </w:r>
      <w:r w:rsidRPr="009D0316">
        <w:rPr>
          <w:rFonts w:eastAsia="Times New Roman" w:cs="Times New Roman"/>
          <w:noProof/>
          <w:szCs w:val="24"/>
          <w:lang w:val="en-GB" w:eastAsia="pl-PL"/>
        </w:rPr>
        <w:t xml:space="preserve">, A. (2014). </w:t>
      </w:r>
      <w:r w:rsidR="00677132">
        <w:rPr>
          <w:rFonts w:eastAsia="Times New Roman" w:cs="Times New Roman"/>
          <w:iCs/>
          <w:noProof/>
          <w:szCs w:val="24"/>
          <w:lang w:val="en-GB" w:eastAsia="pl-PL"/>
        </w:rPr>
        <w:t>Eu</w:t>
      </w:r>
      <w:r w:rsidRPr="009D0316">
        <w:rPr>
          <w:rFonts w:eastAsia="Times New Roman" w:cs="Times New Roman"/>
          <w:iCs/>
          <w:noProof/>
          <w:szCs w:val="24"/>
          <w:lang w:val="en-GB" w:eastAsia="pl-PL"/>
        </w:rPr>
        <w:t>ropeanisation Or Europeanisation of spatial planning.</w:t>
      </w:r>
      <w:r w:rsidR="00677132">
        <w:rPr>
          <w:rFonts w:eastAsia="Times New Roman" w:cs="Times New Roman"/>
          <w:iCs/>
          <w:noProof/>
          <w:szCs w:val="24"/>
          <w:lang w:val="en-GB" w:eastAsia="pl-PL"/>
        </w:rPr>
        <w:t xml:space="preserve"> </w:t>
      </w:r>
      <w:r w:rsidRPr="00677132">
        <w:rPr>
          <w:rFonts w:eastAsia="Times New Roman" w:cs="Times New Roman"/>
          <w:iCs/>
          <w:noProof/>
          <w:szCs w:val="24"/>
          <w:lang w:val="en-GB" w:eastAsia="pl-PL"/>
        </w:rPr>
        <w:t>Planning Theory and Practice</w:t>
      </w:r>
      <w:r w:rsidRPr="00677132">
        <w:rPr>
          <w:rFonts w:eastAsia="Times New Roman" w:cs="Times New Roman"/>
          <w:noProof/>
          <w:szCs w:val="24"/>
          <w:lang w:val="en-GB" w:eastAsia="pl-PL"/>
        </w:rPr>
        <w:t xml:space="preserve">, </w:t>
      </w:r>
      <w:r w:rsidRPr="00677132">
        <w:rPr>
          <w:rFonts w:eastAsia="Times New Roman" w:cs="Times New Roman"/>
          <w:iCs/>
          <w:noProof/>
          <w:szCs w:val="24"/>
          <w:lang w:val="en-GB" w:eastAsia="pl-PL"/>
        </w:rPr>
        <w:t>15</w:t>
      </w:r>
      <w:r w:rsidRPr="00677132">
        <w:rPr>
          <w:rFonts w:eastAsia="Times New Roman" w:cs="Times New Roman"/>
          <w:noProof/>
          <w:szCs w:val="24"/>
          <w:lang w:val="en-GB" w:eastAsia="pl-PL"/>
        </w:rPr>
        <w:t>(</w:t>
      </w:r>
      <w:r w:rsidRPr="009D0316">
        <w:rPr>
          <w:rFonts w:eastAsia="Times New Roman" w:cs="Times New Roman"/>
          <w:noProof/>
          <w:szCs w:val="24"/>
          <w:lang w:val="en-GB" w:eastAsia="pl-PL"/>
        </w:rPr>
        <w:t xml:space="preserve">2), 155-169. </w:t>
      </w:r>
      <w:r w:rsidR="00677132" w:rsidRPr="009D0316">
        <w:rPr>
          <w:rFonts w:eastAsia="Times New Roman" w:cs="Times New Roman"/>
          <w:noProof/>
          <w:szCs w:val="24"/>
          <w:lang w:val="en-GB" w:eastAsia="pl-PL"/>
        </w:rPr>
        <w:t xml:space="preserve">doi: </w:t>
      </w:r>
      <w:r w:rsidRPr="009D0316">
        <w:rPr>
          <w:rFonts w:eastAsia="Times New Roman" w:cs="Times New Roman"/>
          <w:noProof/>
          <w:szCs w:val="24"/>
          <w:lang w:val="en-GB" w:eastAsia="pl-PL"/>
        </w:rPr>
        <w:t>10.1080/14649357.2014.902095</w:t>
      </w:r>
      <w:r w:rsidR="00677132">
        <w:rPr>
          <w:rFonts w:eastAsia="Times New Roman" w:cs="Times New Roman"/>
          <w:noProof/>
          <w:szCs w:val="24"/>
          <w:lang w:val="en-GB" w:eastAsia="pl-PL"/>
        </w:rPr>
        <w:t>.</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9D0316">
        <w:rPr>
          <w:rFonts w:eastAsia="Times New Roman" w:cs="Times New Roman"/>
          <w:noProof/>
          <w:szCs w:val="24"/>
          <w:lang w:eastAsia="pl-PL"/>
        </w:rPr>
        <w:t xml:space="preserve">Gorzym-Wilkowski, W. A. (2016). </w:t>
      </w:r>
      <w:r w:rsidRPr="009D0316">
        <w:rPr>
          <w:rFonts w:eastAsia="Times New Roman" w:cs="Times New Roman"/>
          <w:iCs/>
          <w:noProof/>
          <w:szCs w:val="24"/>
          <w:lang w:eastAsia="pl-PL"/>
        </w:rPr>
        <w:t>Planowanie przestrzenne jako czynnik kształtujący atrakcyjność rynkowa nieruchomości – skuteczny i niebezpieczny.</w:t>
      </w:r>
      <w:r w:rsidR="00677132">
        <w:rPr>
          <w:rFonts w:eastAsia="Times New Roman" w:cs="Times New Roman"/>
          <w:iCs/>
          <w:noProof/>
          <w:szCs w:val="24"/>
          <w:lang w:eastAsia="pl-PL"/>
        </w:rPr>
        <w:t xml:space="preserve"> </w:t>
      </w:r>
      <w:r w:rsidRPr="00677132">
        <w:rPr>
          <w:rFonts w:eastAsia="Times New Roman" w:cs="Times New Roman"/>
          <w:iCs/>
          <w:noProof/>
          <w:szCs w:val="24"/>
          <w:lang w:val="en-GB" w:eastAsia="pl-PL"/>
        </w:rPr>
        <w:t>Annales Universitatis Mariae Curie-Skłodowska. Sectio B,LXXI</w:t>
      </w:r>
      <w:r w:rsidRPr="00677132">
        <w:rPr>
          <w:rFonts w:eastAsia="Times New Roman" w:cs="Times New Roman"/>
          <w:noProof/>
          <w:szCs w:val="24"/>
          <w:lang w:val="en-GB" w:eastAsia="pl-PL"/>
        </w:rPr>
        <w:t>(2</w:t>
      </w:r>
      <w:r w:rsidRPr="009D0316">
        <w:rPr>
          <w:rFonts w:eastAsia="Times New Roman" w:cs="Times New Roman"/>
          <w:noProof/>
          <w:szCs w:val="24"/>
          <w:lang w:val="en-GB" w:eastAsia="pl-PL"/>
        </w:rPr>
        <w:t xml:space="preserve">). </w:t>
      </w:r>
      <w:r w:rsidR="00677132" w:rsidRPr="009D0316">
        <w:rPr>
          <w:rFonts w:eastAsia="Times New Roman" w:cs="Times New Roman"/>
          <w:noProof/>
          <w:szCs w:val="24"/>
          <w:lang w:val="en-GB" w:eastAsia="pl-PL"/>
        </w:rPr>
        <w:t xml:space="preserve">doi: </w:t>
      </w:r>
      <w:r w:rsidRPr="009D0316">
        <w:rPr>
          <w:rFonts w:eastAsia="Times New Roman" w:cs="Times New Roman"/>
          <w:noProof/>
          <w:szCs w:val="24"/>
          <w:lang w:val="en-GB" w:eastAsia="pl-PL"/>
        </w:rPr>
        <w:t>223-232. 10.17951/b.2016.71.2.223</w:t>
      </w:r>
      <w:r w:rsidR="00677132">
        <w:rPr>
          <w:rFonts w:eastAsia="Times New Roman" w:cs="Times New Roman"/>
          <w:noProof/>
          <w:szCs w:val="24"/>
          <w:lang w:val="en-GB" w:eastAsia="pl-PL"/>
        </w:rPr>
        <w:t>.</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B83661">
        <w:rPr>
          <w:rFonts w:eastAsia="Times New Roman" w:cs="Times New Roman"/>
          <w:noProof/>
          <w:szCs w:val="24"/>
          <w:lang w:val="en-GB" w:eastAsia="pl-PL"/>
        </w:rPr>
        <w:t>Greffe</w:t>
      </w:r>
      <w:r w:rsidRPr="009D0316">
        <w:rPr>
          <w:rFonts w:eastAsia="Times New Roman" w:cs="Times New Roman"/>
          <w:noProof/>
          <w:szCs w:val="24"/>
          <w:lang w:val="en-GB" w:eastAsia="pl-PL"/>
        </w:rPr>
        <w:t xml:space="preserve">, X. (1999). </w:t>
      </w:r>
      <w:r w:rsidRPr="00677132">
        <w:rPr>
          <w:rFonts w:eastAsia="Times New Roman" w:cs="Times New Roman"/>
          <w:noProof/>
          <w:szCs w:val="24"/>
          <w:lang w:val="en-GB" w:eastAsia="pl-PL"/>
        </w:rPr>
        <w:t>Gestionpublique.</w:t>
      </w:r>
      <w:r w:rsidRPr="009D0316">
        <w:rPr>
          <w:rFonts w:eastAsia="Times New Roman" w:cs="Times New Roman"/>
          <w:noProof/>
          <w:szCs w:val="24"/>
          <w:lang w:val="en-GB" w:eastAsia="pl-PL"/>
        </w:rPr>
        <w:t xml:space="preserve"> Paris: Edition Dalloz.</w:t>
      </w:r>
    </w:p>
    <w:p w:rsidR="009D0316" w:rsidRPr="00677132" w:rsidRDefault="009D0316" w:rsidP="004513B5">
      <w:pPr>
        <w:numPr>
          <w:ilvl w:val="0"/>
          <w:numId w:val="15"/>
        </w:numPr>
        <w:ind w:left="357" w:hanging="357"/>
        <w:jc w:val="left"/>
        <w:rPr>
          <w:rFonts w:eastAsia="Times New Roman" w:cs="Times New Roman"/>
          <w:bCs/>
          <w:noProof/>
          <w:szCs w:val="24"/>
          <w:lang w:val="en-GB" w:eastAsia="pl-PL"/>
        </w:rPr>
      </w:pPr>
      <w:r w:rsidRPr="00B17D10">
        <w:rPr>
          <w:rFonts w:eastAsia="Times New Roman" w:cs="Times New Roman"/>
          <w:noProof/>
          <w:szCs w:val="24"/>
          <w:lang w:val="en-GB" w:eastAsia="pl-PL"/>
        </w:rPr>
        <w:t>Häggroth</w:t>
      </w:r>
      <w:r w:rsidRPr="009D0316">
        <w:rPr>
          <w:rFonts w:eastAsia="Times New Roman" w:cs="Times New Roman"/>
          <w:bCs/>
          <w:noProof/>
          <w:szCs w:val="24"/>
          <w:lang w:val="en-GB" w:eastAsia="pl-PL"/>
        </w:rPr>
        <w:t xml:space="preserve">, S. (2013). </w:t>
      </w:r>
      <w:r w:rsidRPr="009D0316">
        <w:rPr>
          <w:rFonts w:eastAsia="Times New Roman" w:cs="Times New Roman"/>
          <w:bCs/>
          <w:iCs/>
          <w:noProof/>
          <w:szCs w:val="24"/>
          <w:lang w:val="en-GB" w:eastAsia="pl-PL"/>
        </w:rPr>
        <w:t>Leading Change by Including Stakeholders</w:t>
      </w:r>
      <w:r w:rsidRPr="009D0316">
        <w:rPr>
          <w:rFonts w:eastAsia="Times New Roman" w:cs="Times New Roman"/>
          <w:bCs/>
          <w:noProof/>
          <w:szCs w:val="24"/>
          <w:lang w:val="en-GB" w:eastAsia="pl-PL"/>
        </w:rPr>
        <w:t xml:space="preserve">. </w:t>
      </w:r>
      <w:r w:rsidRPr="00677132">
        <w:rPr>
          <w:rFonts w:eastAsia="Times New Roman" w:cs="Times New Roman"/>
          <w:bCs/>
          <w:iCs/>
          <w:noProof/>
          <w:szCs w:val="24"/>
          <w:bdr w:val="none" w:sz="0" w:space="0" w:color="auto" w:frame="1"/>
          <w:shd w:val="clear" w:color="auto" w:fill="FFFFFF"/>
          <w:lang w:val="en-GB" w:eastAsia="pl-PL"/>
        </w:rPr>
        <w:t>Public Administration Review</w:t>
      </w:r>
      <w:r w:rsidRPr="00677132">
        <w:rPr>
          <w:rFonts w:eastAsia="Times New Roman" w:cs="Times New Roman"/>
          <w:bCs/>
          <w:noProof/>
          <w:szCs w:val="24"/>
          <w:bdr w:val="none" w:sz="0" w:space="0" w:color="auto" w:frame="1"/>
          <w:shd w:val="clear" w:color="auto" w:fill="FFFFFF"/>
          <w:lang w:val="en-GB" w:eastAsia="pl-PL"/>
        </w:rPr>
        <w:t xml:space="preserve">, </w:t>
      </w:r>
      <w:r w:rsidRPr="00677132">
        <w:rPr>
          <w:rFonts w:eastAsia="Times New Roman" w:cs="Times New Roman"/>
          <w:bCs/>
          <w:iCs/>
          <w:noProof/>
          <w:szCs w:val="24"/>
          <w:bdr w:val="none" w:sz="0" w:space="0" w:color="auto" w:frame="1"/>
          <w:shd w:val="clear" w:color="auto" w:fill="FFFFFF"/>
          <w:lang w:val="en-GB" w:eastAsia="pl-PL"/>
        </w:rPr>
        <w:t>73</w:t>
      </w:r>
      <w:r w:rsidRPr="00677132">
        <w:rPr>
          <w:rFonts w:eastAsia="Times New Roman" w:cs="Times New Roman"/>
          <w:bCs/>
          <w:noProof/>
          <w:szCs w:val="24"/>
          <w:bdr w:val="none" w:sz="0" w:space="0" w:color="auto" w:frame="1"/>
          <w:shd w:val="clear" w:color="auto" w:fill="FFFFFF"/>
          <w:lang w:val="en-GB" w:eastAsia="pl-PL"/>
        </w:rPr>
        <w:t>(4).</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B83661">
        <w:rPr>
          <w:rFonts w:eastAsia="Times New Roman" w:cs="Times New Roman"/>
          <w:noProof/>
          <w:szCs w:val="24"/>
          <w:lang w:val="en-GB" w:eastAsia="pl-PL"/>
        </w:rPr>
        <w:t>http</w:t>
      </w:r>
      <w:r w:rsidRPr="009D0316">
        <w:rPr>
          <w:rFonts w:eastAsia="Times New Roman" w:cs="Times New Roman"/>
          <w:noProof/>
          <w:szCs w:val="24"/>
          <w:lang w:val="en-GB" w:eastAsia="pl-PL"/>
        </w:rPr>
        <w:t>://wybory2014.pkw.gov.pl/pl/wyniki/gminy/view/66401 [access: 23.04.2016].</w:t>
      </w:r>
    </w:p>
    <w:p w:rsidR="009D0316" w:rsidRPr="009D0316" w:rsidRDefault="009D0316" w:rsidP="004513B5">
      <w:pPr>
        <w:numPr>
          <w:ilvl w:val="0"/>
          <w:numId w:val="15"/>
        </w:numPr>
        <w:ind w:left="357" w:hanging="357"/>
        <w:jc w:val="left"/>
        <w:rPr>
          <w:rFonts w:eastAsia="Times New Roman" w:cs="Times New Roman"/>
          <w:noProof/>
          <w:szCs w:val="24"/>
          <w:lang w:eastAsia="pl-PL"/>
        </w:rPr>
      </w:pPr>
      <w:r w:rsidRPr="009D0316">
        <w:rPr>
          <w:rFonts w:eastAsia="Times New Roman" w:cs="Times New Roman"/>
          <w:noProof/>
          <w:szCs w:val="24"/>
          <w:lang w:eastAsia="pl-PL"/>
        </w:rPr>
        <w:t xml:space="preserve">Izdebski, W., Śleszyński, P., Malinowski, Z., &amp; Kursa, M. (2018). </w:t>
      </w:r>
      <w:r w:rsidRPr="009D0316">
        <w:rPr>
          <w:rFonts w:eastAsia="Times New Roman" w:cs="Times New Roman"/>
          <w:iCs/>
          <w:noProof/>
          <w:szCs w:val="24"/>
          <w:lang w:eastAsia="pl-PL"/>
        </w:rPr>
        <w:t>Analiza morfometryczna planów miejscowych.</w:t>
      </w:r>
      <w:r w:rsidR="00677132">
        <w:rPr>
          <w:rFonts w:eastAsia="Times New Roman" w:cs="Times New Roman"/>
          <w:iCs/>
          <w:noProof/>
          <w:szCs w:val="24"/>
          <w:lang w:eastAsia="pl-PL"/>
        </w:rPr>
        <w:t xml:space="preserve"> </w:t>
      </w:r>
      <w:r w:rsidRPr="00677132">
        <w:rPr>
          <w:rFonts w:eastAsia="Times New Roman" w:cs="Times New Roman"/>
          <w:iCs/>
          <w:noProof/>
          <w:szCs w:val="24"/>
          <w:lang w:eastAsia="pl-PL"/>
        </w:rPr>
        <w:t>Infrastruktura i Ekologia Terenów Wiejskich</w:t>
      </w:r>
      <w:r w:rsidRPr="00677132">
        <w:rPr>
          <w:rFonts w:eastAsia="Times New Roman" w:cs="Times New Roman"/>
          <w:noProof/>
          <w:szCs w:val="24"/>
          <w:lang w:eastAsia="pl-PL"/>
        </w:rPr>
        <w:t>,</w:t>
      </w:r>
      <w:r w:rsidRPr="009D0316">
        <w:rPr>
          <w:rFonts w:eastAsia="Times New Roman" w:cs="Times New Roman"/>
          <w:noProof/>
          <w:szCs w:val="24"/>
          <w:lang w:eastAsia="pl-PL"/>
        </w:rPr>
        <w:t xml:space="preserve"> </w:t>
      </w:r>
      <w:r w:rsidRPr="009D0316">
        <w:rPr>
          <w:rFonts w:eastAsia="Times New Roman" w:cs="Times New Roman"/>
          <w:i/>
          <w:iCs/>
          <w:noProof/>
          <w:szCs w:val="24"/>
          <w:lang w:eastAsia="pl-PL"/>
        </w:rPr>
        <w:t>2</w:t>
      </w:r>
      <w:r w:rsidRPr="009D0316">
        <w:rPr>
          <w:rFonts w:eastAsia="Times New Roman" w:cs="Times New Roman"/>
          <w:noProof/>
          <w:szCs w:val="24"/>
          <w:lang w:eastAsia="pl-PL"/>
        </w:rPr>
        <w:t>(1), 331-347.</w:t>
      </w:r>
      <w:r w:rsidR="00677132">
        <w:rPr>
          <w:rFonts w:eastAsia="Times New Roman" w:cs="Times New Roman"/>
          <w:noProof/>
          <w:szCs w:val="24"/>
          <w:lang w:eastAsia="pl-PL"/>
        </w:rPr>
        <w:t xml:space="preserve"> </w:t>
      </w:r>
      <w:r w:rsidR="00677132" w:rsidRPr="009D0316">
        <w:rPr>
          <w:rFonts w:eastAsia="Times New Roman" w:cs="Times New Roman"/>
          <w:noProof/>
          <w:szCs w:val="24"/>
          <w:lang w:eastAsia="pl-PL"/>
        </w:rPr>
        <w:t>doi:</w:t>
      </w:r>
      <w:r w:rsidRPr="009D0316">
        <w:rPr>
          <w:rFonts w:eastAsia="Times New Roman" w:cs="Times New Roman"/>
          <w:noProof/>
          <w:szCs w:val="24"/>
          <w:lang w:eastAsia="pl-PL"/>
        </w:rPr>
        <w:t>10.14597/INFRAECO.2018.2.1.022</w:t>
      </w:r>
      <w:r w:rsidR="00677132">
        <w:rPr>
          <w:rFonts w:eastAsia="Times New Roman" w:cs="Times New Roman"/>
          <w:noProof/>
          <w:szCs w:val="24"/>
          <w:lang w:eastAsia="pl-PL"/>
        </w:rPr>
        <w:t>.</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9D0316">
        <w:rPr>
          <w:rFonts w:eastAsia="Times New Roman" w:cs="Times New Roman"/>
          <w:noProof/>
          <w:szCs w:val="24"/>
          <w:lang w:eastAsia="pl-PL"/>
        </w:rPr>
        <w:t xml:space="preserve">Kieżun, W. (1978). </w:t>
      </w:r>
      <w:r w:rsidRPr="009D0316">
        <w:rPr>
          <w:rFonts w:eastAsia="Times New Roman" w:cs="Times New Roman"/>
          <w:iCs/>
          <w:noProof/>
          <w:szCs w:val="24"/>
          <w:lang w:eastAsia="pl-PL"/>
        </w:rPr>
        <w:t>Zjawiska patologiczne jako bariera sprawności.</w:t>
      </w:r>
      <w:r w:rsidR="00677132">
        <w:rPr>
          <w:rFonts w:eastAsia="Times New Roman" w:cs="Times New Roman"/>
          <w:iCs/>
          <w:noProof/>
          <w:szCs w:val="24"/>
          <w:lang w:eastAsia="pl-PL"/>
        </w:rPr>
        <w:t xml:space="preserve"> I</w:t>
      </w:r>
      <w:r w:rsidRPr="00AB07B0">
        <w:rPr>
          <w:rFonts w:eastAsia="Times New Roman" w:cs="Times New Roman"/>
          <w:noProof/>
          <w:szCs w:val="24"/>
          <w:lang w:eastAsia="pl-PL"/>
        </w:rPr>
        <w:t>n</w:t>
      </w:r>
      <w:r w:rsidR="00677132">
        <w:rPr>
          <w:rFonts w:eastAsia="Times New Roman" w:cs="Times New Roman"/>
          <w:noProof/>
          <w:szCs w:val="24"/>
          <w:lang w:eastAsia="pl-PL"/>
        </w:rPr>
        <w:t>:</w:t>
      </w:r>
      <w:r w:rsidRPr="00AB07B0">
        <w:rPr>
          <w:rFonts w:eastAsia="Times New Roman" w:cs="Times New Roman"/>
          <w:noProof/>
          <w:szCs w:val="24"/>
          <w:lang w:eastAsia="pl-PL"/>
        </w:rPr>
        <w:t xml:space="preserve"> </w:t>
      </w:r>
      <w:r w:rsidRPr="00677132">
        <w:rPr>
          <w:rFonts w:eastAsia="Times New Roman" w:cs="Times New Roman"/>
          <w:iCs/>
          <w:noProof/>
          <w:szCs w:val="24"/>
          <w:lang w:eastAsia="pl-PL"/>
        </w:rPr>
        <w:t>Bariery sprawności organizacji</w:t>
      </w:r>
      <w:r w:rsidRPr="00677132">
        <w:rPr>
          <w:rFonts w:eastAsia="Times New Roman" w:cs="Times New Roman"/>
          <w:noProof/>
          <w:szCs w:val="24"/>
          <w:lang w:eastAsia="pl-PL"/>
        </w:rPr>
        <w:t>.</w:t>
      </w:r>
      <w:r w:rsidRPr="00AB07B0">
        <w:rPr>
          <w:rFonts w:eastAsia="Times New Roman" w:cs="Times New Roman"/>
          <w:noProof/>
          <w:szCs w:val="24"/>
          <w:lang w:eastAsia="pl-PL"/>
        </w:rPr>
        <w:t xml:space="preserve"> </w:t>
      </w:r>
      <w:r w:rsidRPr="00677132">
        <w:rPr>
          <w:rFonts w:eastAsia="Times New Roman" w:cs="Times New Roman"/>
          <w:noProof/>
          <w:szCs w:val="24"/>
          <w:lang w:eastAsia="pl-PL"/>
        </w:rPr>
        <w:t>Warszawa: PWN.</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9D0316">
        <w:rPr>
          <w:rFonts w:eastAsia="Times New Roman" w:cs="Times New Roman"/>
          <w:noProof/>
          <w:szCs w:val="24"/>
          <w:lang w:eastAsia="pl-PL"/>
        </w:rPr>
        <w:t>Konstytucja</w:t>
      </w:r>
      <w:r w:rsidRPr="009D0316">
        <w:rPr>
          <w:rFonts w:eastAsia="Times New Roman" w:cs="Times New Roman"/>
          <w:iCs/>
          <w:noProof/>
          <w:szCs w:val="24"/>
          <w:lang w:eastAsia="pl-PL"/>
        </w:rPr>
        <w:t xml:space="preserve"> Rzeczypospolitej Polskiej z dnia 2 kwietnia 1997 roku</w:t>
      </w:r>
      <w:r w:rsidRPr="009D0316">
        <w:rPr>
          <w:rFonts w:eastAsia="Times New Roman" w:cs="Times New Roman"/>
          <w:noProof/>
          <w:szCs w:val="24"/>
          <w:lang w:eastAsia="pl-PL"/>
        </w:rPr>
        <w:t xml:space="preserve">. </w:t>
      </w:r>
      <w:r w:rsidRPr="00677132">
        <w:rPr>
          <w:rFonts w:eastAsia="Times New Roman" w:cs="Times New Roman"/>
          <w:iCs/>
          <w:noProof/>
          <w:szCs w:val="24"/>
          <w:lang w:val="en-GB" w:eastAsia="pl-PL"/>
        </w:rPr>
        <w:t>Dziennik Ustaw</w:t>
      </w:r>
      <w:r w:rsidRPr="009D0316">
        <w:rPr>
          <w:rFonts w:eastAsia="Times New Roman" w:cs="Times New Roman"/>
          <w:i/>
          <w:iCs/>
          <w:noProof/>
          <w:szCs w:val="24"/>
          <w:lang w:val="en-GB" w:eastAsia="pl-PL"/>
        </w:rPr>
        <w:t xml:space="preserve"> </w:t>
      </w:r>
      <w:r w:rsidRPr="009D0316">
        <w:rPr>
          <w:rFonts w:eastAsia="Times New Roman" w:cs="Times New Roman"/>
          <w:noProof/>
          <w:szCs w:val="24"/>
          <w:lang w:val="en-GB" w:eastAsia="pl-PL"/>
        </w:rPr>
        <w:t>No. 78, item 483, as amended.</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9D0316">
        <w:rPr>
          <w:rFonts w:eastAsia="Times New Roman" w:cs="Times New Roman"/>
          <w:noProof/>
          <w:szCs w:val="24"/>
          <w:lang w:eastAsia="pl-PL"/>
        </w:rPr>
        <w:t xml:space="preserve">Kowalewski, A., Markowski, T., &amp; Śleszyński, P. (Eds.). (2018). </w:t>
      </w:r>
      <w:r w:rsidRPr="00677132">
        <w:rPr>
          <w:rFonts w:eastAsia="Times New Roman" w:cs="Times New Roman"/>
          <w:noProof/>
          <w:szCs w:val="24"/>
          <w:lang w:eastAsia="pl-PL"/>
        </w:rPr>
        <w:t xml:space="preserve">Studia nad chaosem przestrzennym. </w:t>
      </w:r>
      <w:r w:rsidRPr="00677132">
        <w:rPr>
          <w:rFonts w:eastAsia="Times New Roman" w:cs="Times New Roman"/>
          <w:iCs/>
          <w:noProof/>
          <w:szCs w:val="24"/>
          <w:lang w:eastAsia="pl-PL"/>
        </w:rPr>
        <w:t>Studia KPZK PAN</w:t>
      </w:r>
      <w:r w:rsidRPr="00677132">
        <w:rPr>
          <w:rFonts w:eastAsia="Times New Roman" w:cs="Times New Roman"/>
          <w:noProof/>
          <w:szCs w:val="24"/>
          <w:lang w:eastAsia="pl-PL"/>
        </w:rPr>
        <w:t xml:space="preserve">, </w:t>
      </w:r>
      <w:r w:rsidRPr="00677132">
        <w:rPr>
          <w:rFonts w:eastAsia="Times New Roman" w:cs="Times New Roman"/>
          <w:iCs/>
          <w:noProof/>
          <w:szCs w:val="24"/>
          <w:lang w:eastAsia="pl-PL"/>
        </w:rPr>
        <w:t>182</w:t>
      </w:r>
      <w:r w:rsidRPr="00677132">
        <w:rPr>
          <w:rFonts w:eastAsia="Times New Roman" w:cs="Times New Roman"/>
          <w:noProof/>
          <w:szCs w:val="24"/>
          <w:lang w:eastAsia="pl-PL"/>
        </w:rPr>
        <w:t>(1-3).</w:t>
      </w:r>
      <w:r w:rsidRPr="009D0316">
        <w:rPr>
          <w:rFonts w:eastAsia="Times New Roman" w:cs="Times New Roman"/>
          <w:noProof/>
          <w:szCs w:val="24"/>
          <w:lang w:eastAsia="pl-PL"/>
        </w:rPr>
        <w:t xml:space="preserve"> </w:t>
      </w:r>
      <w:r w:rsidRPr="009D0316">
        <w:rPr>
          <w:rFonts w:eastAsia="Times New Roman" w:cs="Times New Roman"/>
          <w:noProof/>
          <w:szCs w:val="24"/>
          <w:lang w:val="en-GB" w:eastAsia="pl-PL"/>
        </w:rPr>
        <w:t>Warszawa. (https://journals.pan.pl/skpzk/125268)</w:t>
      </w:r>
      <w:r w:rsidR="00677132">
        <w:rPr>
          <w:rFonts w:eastAsia="Times New Roman" w:cs="Times New Roman"/>
          <w:noProof/>
          <w:szCs w:val="24"/>
          <w:lang w:val="en-GB" w:eastAsia="pl-PL"/>
        </w:rPr>
        <w:t>.</w:t>
      </w:r>
    </w:p>
    <w:p w:rsidR="009D0316" w:rsidRPr="009D0316" w:rsidRDefault="009D0316" w:rsidP="004513B5">
      <w:pPr>
        <w:numPr>
          <w:ilvl w:val="0"/>
          <w:numId w:val="15"/>
        </w:numPr>
        <w:ind w:left="357" w:hanging="357"/>
        <w:jc w:val="left"/>
        <w:rPr>
          <w:rFonts w:eastAsia="Times New Roman" w:cs="Times New Roman"/>
          <w:noProof/>
          <w:szCs w:val="24"/>
          <w:lang w:val="en-GB" w:eastAsia="pl-PL"/>
        </w:rPr>
      </w:pPr>
      <w:r w:rsidRPr="009D0316">
        <w:rPr>
          <w:rFonts w:eastAsia="Times New Roman" w:cs="Times New Roman"/>
          <w:noProof/>
          <w:szCs w:val="24"/>
          <w:lang w:eastAsia="pl-PL"/>
        </w:rPr>
        <w:t xml:space="preserve">Kożuch, B. (2004). </w:t>
      </w:r>
      <w:r w:rsidRPr="00677132">
        <w:rPr>
          <w:rFonts w:eastAsia="Times New Roman" w:cs="Times New Roman"/>
          <w:noProof/>
          <w:szCs w:val="24"/>
          <w:lang w:eastAsia="pl-PL"/>
        </w:rPr>
        <w:t>Zarządzanie publiczne w teorii i praktyce polskich organizacji.</w:t>
      </w:r>
      <w:r w:rsidRPr="009D0316">
        <w:rPr>
          <w:rFonts w:eastAsia="Times New Roman" w:cs="Times New Roman"/>
          <w:noProof/>
          <w:szCs w:val="24"/>
          <w:lang w:eastAsia="pl-PL"/>
        </w:rPr>
        <w:t xml:space="preserve"> </w:t>
      </w:r>
      <w:r w:rsidRPr="009D0316">
        <w:rPr>
          <w:rFonts w:eastAsia="Times New Roman" w:cs="Times New Roman"/>
          <w:noProof/>
          <w:szCs w:val="24"/>
          <w:lang w:val="en-GB" w:eastAsia="pl-PL"/>
        </w:rPr>
        <w:t>Warszawa: Wydawnictwo Placet.</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9D0316">
        <w:rPr>
          <w:rFonts w:eastAsia="Times New Roman" w:cs="Times New Roman"/>
          <w:noProof/>
          <w:szCs w:val="24"/>
          <w:lang w:eastAsia="pl-PL"/>
        </w:rPr>
        <w:t xml:space="preserve">Kożuch, B. (2005). </w:t>
      </w:r>
      <w:r w:rsidRPr="009D0316">
        <w:rPr>
          <w:rFonts w:eastAsia="Times New Roman" w:cs="Times New Roman"/>
          <w:iCs/>
          <w:noProof/>
          <w:szCs w:val="24"/>
          <w:lang w:eastAsia="pl-PL"/>
        </w:rPr>
        <w:t>Zarządzanie publiczne jako dyscyplina naukowa.</w:t>
      </w:r>
      <w:r w:rsidR="00677132">
        <w:rPr>
          <w:rFonts w:eastAsia="Times New Roman" w:cs="Times New Roman"/>
          <w:iCs/>
          <w:noProof/>
          <w:szCs w:val="24"/>
          <w:lang w:eastAsia="pl-PL"/>
        </w:rPr>
        <w:t xml:space="preserve"> </w:t>
      </w:r>
      <w:r w:rsidRPr="00677132">
        <w:rPr>
          <w:rFonts w:eastAsia="Times New Roman" w:cs="Times New Roman"/>
          <w:iCs/>
          <w:noProof/>
          <w:szCs w:val="24"/>
          <w:lang w:eastAsia="pl-PL"/>
        </w:rPr>
        <w:t>Zarządzanie Publiczne</w:t>
      </w:r>
      <w:r w:rsidRPr="00677132">
        <w:rPr>
          <w:rFonts w:eastAsia="Times New Roman" w:cs="Times New Roman"/>
          <w:noProof/>
          <w:szCs w:val="24"/>
          <w:lang w:eastAsia="pl-PL"/>
        </w:rPr>
        <w:t xml:space="preserve"> (1).</w:t>
      </w:r>
    </w:p>
    <w:p w:rsidR="009D0316" w:rsidRPr="009D0316" w:rsidRDefault="009D0316" w:rsidP="004513B5">
      <w:pPr>
        <w:numPr>
          <w:ilvl w:val="0"/>
          <w:numId w:val="15"/>
        </w:numPr>
        <w:ind w:left="357" w:hanging="357"/>
        <w:jc w:val="left"/>
        <w:rPr>
          <w:rFonts w:eastAsia="Times New Roman" w:cs="Times New Roman"/>
          <w:noProof/>
          <w:szCs w:val="24"/>
          <w:bdr w:val="none" w:sz="0" w:space="0" w:color="auto" w:frame="1"/>
          <w:shd w:val="clear" w:color="auto" w:fill="FFFFFF"/>
          <w:lang w:eastAsia="pl-PL"/>
        </w:rPr>
      </w:pPr>
      <w:r w:rsidRPr="009D0316">
        <w:rPr>
          <w:rFonts w:eastAsia="Times New Roman" w:cs="Times New Roman"/>
          <w:noProof/>
          <w:szCs w:val="24"/>
          <w:lang w:eastAsia="pl-PL"/>
        </w:rPr>
        <w:t xml:space="preserve">Laskowska, A. (2008). </w:t>
      </w:r>
      <w:r w:rsidRPr="009D0316">
        <w:rPr>
          <w:rFonts w:eastAsia="Times New Roman" w:cs="Times New Roman"/>
          <w:iCs/>
          <w:noProof/>
          <w:szCs w:val="24"/>
          <w:lang w:eastAsia="pl-PL"/>
        </w:rPr>
        <w:t>Zmiana przeznaczenia gruntu a jego wartość.</w:t>
      </w:r>
      <w:r w:rsidR="00677132">
        <w:rPr>
          <w:rFonts w:eastAsia="Times New Roman" w:cs="Times New Roman"/>
          <w:iCs/>
          <w:noProof/>
          <w:szCs w:val="24"/>
          <w:lang w:eastAsia="pl-PL"/>
        </w:rPr>
        <w:t xml:space="preserve"> </w:t>
      </w:r>
      <w:r w:rsidRPr="00677132">
        <w:rPr>
          <w:rFonts w:eastAsia="Times New Roman" w:cs="Times New Roman"/>
          <w:iCs/>
          <w:noProof/>
          <w:szCs w:val="24"/>
          <w:lang w:eastAsia="pl-PL"/>
        </w:rPr>
        <w:t>Zeszyty Naukowe SGGW w Warszawie – Problemy Światowego Rolnictwa</w:t>
      </w:r>
      <w:r w:rsidRPr="00677132">
        <w:rPr>
          <w:rFonts w:eastAsia="Times New Roman" w:cs="Times New Roman"/>
          <w:noProof/>
          <w:szCs w:val="24"/>
          <w:lang w:eastAsia="pl-PL"/>
        </w:rPr>
        <w:t xml:space="preserve">, </w:t>
      </w:r>
      <w:r w:rsidRPr="00677132">
        <w:rPr>
          <w:rFonts w:eastAsia="Times New Roman" w:cs="Times New Roman"/>
          <w:iCs/>
          <w:noProof/>
          <w:szCs w:val="24"/>
          <w:lang w:eastAsia="pl-PL"/>
        </w:rPr>
        <w:t>5</w:t>
      </w:r>
      <w:r w:rsidRPr="00677132">
        <w:rPr>
          <w:rFonts w:eastAsia="Times New Roman" w:cs="Times New Roman"/>
          <w:noProof/>
          <w:szCs w:val="24"/>
          <w:lang w:eastAsia="pl-PL"/>
        </w:rPr>
        <w:t>(20),</w:t>
      </w:r>
      <w:r w:rsidR="004513B5">
        <w:rPr>
          <w:rFonts w:eastAsia="Times New Roman" w:cs="Times New Roman"/>
          <w:noProof/>
          <w:szCs w:val="24"/>
          <w:lang w:eastAsia="pl-PL"/>
        </w:rPr>
        <w:t xml:space="preserve"> </w:t>
      </w:r>
      <w:r w:rsidRPr="009D0316">
        <w:rPr>
          <w:rFonts w:eastAsia="Times New Roman" w:cs="Times New Roman"/>
          <w:noProof/>
          <w:szCs w:val="24"/>
          <w:lang w:eastAsia="pl-PL"/>
        </w:rPr>
        <w:t>42-49. (http://sj.wne.sggw.pl/article-PRS_2008_T5(20)_n_s42/)</w:t>
      </w:r>
    </w:p>
    <w:p w:rsidR="009D0316" w:rsidRPr="009D0316" w:rsidRDefault="009D0316" w:rsidP="004513B5">
      <w:pPr>
        <w:numPr>
          <w:ilvl w:val="0"/>
          <w:numId w:val="15"/>
        </w:numPr>
        <w:ind w:left="357" w:hanging="357"/>
        <w:jc w:val="left"/>
        <w:rPr>
          <w:rFonts w:eastAsia="Times New Roman" w:cs="Times New Roman"/>
          <w:noProof/>
          <w:szCs w:val="24"/>
          <w:bdr w:val="none" w:sz="0" w:space="0" w:color="auto" w:frame="1"/>
          <w:shd w:val="clear" w:color="auto" w:fill="FFFFFF"/>
          <w:lang w:val="en-GB" w:eastAsia="pl-PL"/>
        </w:rPr>
      </w:pPr>
      <w:r w:rsidRPr="00B83661">
        <w:rPr>
          <w:rFonts w:eastAsia="Times New Roman" w:cs="Times New Roman"/>
          <w:noProof/>
          <w:szCs w:val="24"/>
          <w:lang w:val="en-GB" w:eastAsia="pl-PL"/>
        </w:rPr>
        <w:t>Linnan</w:t>
      </w:r>
      <w:r w:rsidRPr="009D0316">
        <w:rPr>
          <w:rFonts w:eastAsia="Times New Roman" w:cs="Times New Roman"/>
          <w:noProof/>
          <w:szCs w:val="24"/>
          <w:lang w:val="en-GB" w:eastAsia="pl-PL"/>
        </w:rPr>
        <w:t xml:space="preserve"> L. A., Steckler A., Maman S., Ellenson M., French E.; Blanchard L.; Bowling M., Yamanis N., Succop S., Davenport A., Moracco B. (2010)  </w:t>
      </w:r>
      <w:r w:rsidRPr="00677132">
        <w:rPr>
          <w:rFonts w:eastAsia="Times New Roman" w:cs="Times New Roman"/>
          <w:noProof/>
          <w:szCs w:val="24"/>
          <w:lang w:val="en-GB" w:eastAsia="pl-PL"/>
        </w:rPr>
        <w:t>Engaging key stakeholders to assess and improve the professional preparation of MPH health educators.</w:t>
      </w:r>
      <w:r w:rsidR="00677132">
        <w:rPr>
          <w:rFonts w:eastAsia="Times New Roman" w:cs="Times New Roman"/>
          <w:noProof/>
          <w:szCs w:val="24"/>
          <w:lang w:val="en-GB" w:eastAsia="pl-PL"/>
        </w:rPr>
        <w:t xml:space="preserve"> </w:t>
      </w:r>
      <w:r w:rsidRPr="00677132">
        <w:rPr>
          <w:rFonts w:eastAsia="Times New Roman" w:cs="Times New Roman"/>
          <w:noProof/>
          <w:szCs w:val="24"/>
          <w:lang w:val="en-GB" w:eastAsia="pl-PL"/>
        </w:rPr>
        <w:t>(RESEARCH AND PRACTICE)</w:t>
      </w:r>
      <w:r w:rsidR="00677132" w:rsidRPr="00677132">
        <w:rPr>
          <w:rFonts w:eastAsia="Times New Roman" w:cs="Times New Roman"/>
          <w:noProof/>
          <w:szCs w:val="24"/>
          <w:lang w:val="en-GB" w:eastAsia="pl-PL"/>
        </w:rPr>
        <w:t>,</w:t>
      </w:r>
      <w:r w:rsidR="00677132">
        <w:rPr>
          <w:rFonts w:eastAsia="Times New Roman" w:cs="Times New Roman"/>
          <w:noProof/>
          <w:szCs w:val="24"/>
          <w:lang w:val="en-GB" w:eastAsia="pl-PL"/>
        </w:rPr>
        <w:t xml:space="preserve"> </w:t>
      </w:r>
      <w:r w:rsidRPr="009D0316">
        <w:rPr>
          <w:rFonts w:eastAsia="Times New Roman" w:cs="Times New Roman"/>
          <w:noProof/>
          <w:szCs w:val="24"/>
          <w:bdr w:val="none" w:sz="0" w:space="0" w:color="auto" w:frame="1"/>
          <w:shd w:val="clear" w:color="auto" w:fill="FFFFFF"/>
          <w:lang w:val="en-GB" w:eastAsia="pl-PL"/>
        </w:rPr>
        <w:t>The Am</w:t>
      </w:r>
      <w:r w:rsidR="00677132">
        <w:rPr>
          <w:rFonts w:eastAsia="Times New Roman" w:cs="Times New Roman"/>
          <w:noProof/>
          <w:szCs w:val="24"/>
          <w:bdr w:val="none" w:sz="0" w:space="0" w:color="auto" w:frame="1"/>
          <w:shd w:val="clear" w:color="auto" w:fill="FFFFFF"/>
          <w:lang w:val="en-GB" w:eastAsia="pl-PL"/>
        </w:rPr>
        <w:t>erican Journal of Public Health</w:t>
      </w:r>
      <w:r w:rsidRPr="009D0316">
        <w:rPr>
          <w:rFonts w:eastAsia="Times New Roman" w:cs="Times New Roman"/>
          <w:noProof/>
          <w:szCs w:val="24"/>
          <w:bdr w:val="none" w:sz="0" w:space="0" w:color="auto" w:frame="1"/>
          <w:shd w:val="clear" w:color="auto" w:fill="FFFFFF"/>
          <w:lang w:val="en-GB" w:eastAsia="pl-PL"/>
        </w:rPr>
        <w:t xml:space="preserve">, Vol.100(10). </w:t>
      </w:r>
      <w:r w:rsidR="00677132" w:rsidRPr="009D0316">
        <w:rPr>
          <w:rFonts w:eastAsia="Times New Roman" w:cs="Times New Roman"/>
          <w:noProof/>
          <w:szCs w:val="24"/>
          <w:bdr w:val="none" w:sz="0" w:space="0" w:color="auto" w:frame="1"/>
          <w:shd w:val="clear" w:color="auto" w:fill="FFFFFF"/>
          <w:lang w:val="en-GB" w:eastAsia="pl-PL"/>
        </w:rPr>
        <w:t xml:space="preserve">doi </w:t>
      </w:r>
      <w:r w:rsidRPr="009D0316">
        <w:rPr>
          <w:rFonts w:eastAsia="Times New Roman" w:cs="Times New Roman"/>
          <w:noProof/>
          <w:szCs w:val="24"/>
          <w:bdr w:val="none" w:sz="0" w:space="0" w:color="auto" w:frame="1"/>
          <w:shd w:val="clear" w:color="auto" w:fill="FFFFFF"/>
          <w:lang w:val="en-GB" w:eastAsia="pl-PL"/>
        </w:rPr>
        <w:t>10.2105/AJPH.2009.177709</w:t>
      </w:r>
      <w:r w:rsidR="00677132">
        <w:rPr>
          <w:rFonts w:eastAsia="Times New Roman" w:cs="Times New Roman"/>
          <w:noProof/>
          <w:szCs w:val="24"/>
          <w:bdr w:val="none" w:sz="0" w:space="0" w:color="auto" w:frame="1"/>
          <w:shd w:val="clear" w:color="auto" w:fill="FFFFFF"/>
          <w:lang w:val="en-GB" w:eastAsia="pl-PL"/>
        </w:rPr>
        <w:t>.</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val="en-GB" w:eastAsia="pl-PL"/>
        </w:rPr>
        <w:t>Logan, J., &amp; Molotch, H. (1987). Urban Fortunes: The Political Economy of Place. Berkeley-Los Angeles: University of California Press.</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val="en-GB" w:eastAsia="pl-PL"/>
        </w:rPr>
        <w:lastRenderedPageBreak/>
        <w:t xml:space="preserve">Luukkonen, J. (2016). </w:t>
      </w:r>
      <w:r w:rsidRPr="00677132">
        <w:rPr>
          <w:rFonts w:eastAsia="Times New Roman" w:cs="Times New Roman"/>
          <w:iCs/>
          <w:noProof/>
          <w:szCs w:val="24"/>
          <w:lang w:val="en-GB" w:eastAsia="pl-PL"/>
        </w:rPr>
        <w:t>A practice theoretical perspective of the Europeanization of spatial planning</w:t>
      </w:r>
      <w:r w:rsidRPr="00677132">
        <w:rPr>
          <w:rFonts w:eastAsia="Times New Roman" w:cs="Times New Roman"/>
          <w:noProof/>
          <w:szCs w:val="24"/>
          <w:lang w:val="en-GB" w:eastAsia="pl-PL"/>
        </w:rPr>
        <w:t xml:space="preserve">. </w:t>
      </w:r>
      <w:r w:rsidRPr="00677132">
        <w:rPr>
          <w:rFonts w:eastAsia="Times New Roman" w:cs="Times New Roman"/>
          <w:iCs/>
          <w:noProof/>
          <w:szCs w:val="24"/>
          <w:lang w:eastAsia="pl-PL"/>
        </w:rPr>
        <w:t>European Planning Studies</w:t>
      </w:r>
      <w:r w:rsidRPr="00677132">
        <w:rPr>
          <w:rFonts w:eastAsia="Times New Roman" w:cs="Times New Roman"/>
          <w:noProof/>
          <w:szCs w:val="24"/>
          <w:lang w:eastAsia="pl-PL"/>
        </w:rPr>
        <w:t xml:space="preserve">, </w:t>
      </w:r>
      <w:r w:rsidRPr="00677132">
        <w:rPr>
          <w:rFonts w:eastAsia="Times New Roman" w:cs="Times New Roman"/>
          <w:iCs/>
          <w:noProof/>
          <w:szCs w:val="24"/>
          <w:lang w:eastAsia="pl-PL"/>
        </w:rPr>
        <w:t>25</w:t>
      </w:r>
      <w:r w:rsidRPr="00677132">
        <w:rPr>
          <w:rFonts w:eastAsia="Times New Roman" w:cs="Times New Roman"/>
          <w:noProof/>
          <w:szCs w:val="24"/>
          <w:lang w:eastAsia="pl-PL"/>
        </w:rPr>
        <w:t>(2),</w:t>
      </w:r>
      <w:r w:rsidR="004513B5">
        <w:rPr>
          <w:rFonts w:eastAsia="Times New Roman" w:cs="Times New Roman"/>
          <w:noProof/>
          <w:szCs w:val="24"/>
          <w:lang w:eastAsia="pl-PL"/>
        </w:rPr>
        <w:t xml:space="preserve"> </w:t>
      </w:r>
      <w:r w:rsidRPr="00677132">
        <w:rPr>
          <w:rFonts w:eastAsia="Times New Roman" w:cs="Times New Roman"/>
          <w:noProof/>
          <w:szCs w:val="24"/>
          <w:lang w:eastAsia="pl-PL"/>
        </w:rPr>
        <w:t>259-277.</w:t>
      </w:r>
      <w:r w:rsidR="00677132" w:rsidRPr="00677132">
        <w:rPr>
          <w:rFonts w:eastAsia="Times New Roman" w:cs="Times New Roman"/>
          <w:noProof/>
          <w:szCs w:val="24"/>
          <w:lang w:eastAsia="pl-PL"/>
        </w:rPr>
        <w:t xml:space="preserve"> doi: </w:t>
      </w:r>
      <w:r w:rsidRPr="00677132">
        <w:rPr>
          <w:rFonts w:eastAsia="Times New Roman" w:cs="Times New Roman"/>
          <w:noProof/>
          <w:szCs w:val="24"/>
          <w:lang w:eastAsia="pl-PL"/>
        </w:rPr>
        <w:t>10.1080/09654313.2016.1260092</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eastAsia="pl-PL"/>
        </w:rPr>
        <w:t>Malisz, B. (1984). Podstawy gospodarki i polityki przestrzennej. Wrocław: Ossolineum.</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eastAsia="pl-PL"/>
        </w:rPr>
        <w:t xml:space="preserve">Marks-Krzyszkowska, M. (2016). </w:t>
      </w:r>
      <w:r w:rsidRPr="00677132">
        <w:rPr>
          <w:rFonts w:eastAsia="Times New Roman" w:cs="Times New Roman"/>
          <w:iCs/>
          <w:noProof/>
          <w:szCs w:val="24"/>
          <w:lang w:eastAsia="pl-PL"/>
        </w:rPr>
        <w:t>Zarządzanie publiczne – istota i wybrane koncepcje.Acta Universitatis Lodziensis, Folia Sociologica</w:t>
      </w:r>
      <w:r w:rsidRPr="00677132">
        <w:rPr>
          <w:rFonts w:eastAsia="Times New Roman" w:cs="Times New Roman"/>
          <w:noProof/>
          <w:szCs w:val="24"/>
          <w:lang w:eastAsia="pl-PL"/>
        </w:rPr>
        <w:t>(56).</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val="en-GB" w:eastAsia="pl-PL"/>
        </w:rPr>
        <w:t xml:space="preserve">Medina, M. G., &amp; Huete García, M. Á. (2020). </w:t>
      </w:r>
      <w:r w:rsidRPr="00677132">
        <w:rPr>
          <w:rFonts w:eastAsia="Times New Roman" w:cs="Times New Roman"/>
          <w:iCs/>
          <w:noProof/>
          <w:szCs w:val="24"/>
          <w:lang w:val="en-GB" w:eastAsia="pl-PL"/>
        </w:rPr>
        <w:t>Real innovation in urban planning? Assessing the institutional capacity in the frame of the integrated sustainable urban development programmes.European Planning Studies</w:t>
      </w:r>
      <w:r w:rsidRPr="00677132">
        <w:rPr>
          <w:rFonts w:eastAsia="Times New Roman" w:cs="Times New Roman"/>
          <w:noProof/>
          <w:szCs w:val="24"/>
          <w:lang w:val="en-GB" w:eastAsia="pl-PL"/>
        </w:rPr>
        <w:t xml:space="preserve">, </w:t>
      </w:r>
      <w:r w:rsidRPr="00677132">
        <w:rPr>
          <w:rFonts w:eastAsia="Times New Roman" w:cs="Times New Roman"/>
          <w:iCs/>
          <w:noProof/>
          <w:szCs w:val="24"/>
          <w:lang w:val="en-GB" w:eastAsia="pl-PL"/>
        </w:rPr>
        <w:t>28</w:t>
      </w:r>
      <w:r w:rsidRPr="00677132">
        <w:rPr>
          <w:rFonts w:eastAsia="Times New Roman" w:cs="Times New Roman"/>
          <w:noProof/>
          <w:szCs w:val="24"/>
          <w:lang w:val="en-GB" w:eastAsia="pl-PL"/>
        </w:rPr>
        <w:t xml:space="preserve">(6), 1139-1160. </w:t>
      </w:r>
      <w:r w:rsidR="00677132" w:rsidRPr="00677132">
        <w:rPr>
          <w:rFonts w:eastAsia="Times New Roman" w:cs="Times New Roman"/>
          <w:noProof/>
          <w:szCs w:val="24"/>
          <w:lang w:val="en-GB" w:eastAsia="pl-PL"/>
        </w:rPr>
        <w:t xml:space="preserve">doi: </w:t>
      </w:r>
      <w:r w:rsidRPr="00677132">
        <w:rPr>
          <w:rFonts w:eastAsia="Times New Roman" w:cs="Times New Roman"/>
          <w:noProof/>
          <w:szCs w:val="24"/>
          <w:lang w:val="en-GB" w:eastAsia="pl-PL"/>
        </w:rPr>
        <w:t>10.1080/09654313.2019.1675601</w:t>
      </w:r>
      <w:r w:rsidR="00677132">
        <w:rPr>
          <w:rFonts w:eastAsia="Times New Roman" w:cs="Times New Roman"/>
          <w:noProof/>
          <w:szCs w:val="24"/>
          <w:lang w:val="en-GB" w:eastAsia="pl-PL"/>
        </w:rPr>
        <w:t>.</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eastAsia="pl-PL"/>
        </w:rPr>
        <w:t>Morgan, G. (1997). Obrazy organizacji. Warszawa: Wydawnictwo Naukowe PWN.</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val="en-GB" w:eastAsia="pl-PL"/>
        </w:rPr>
        <w:t xml:space="preserve">Næss, P. (2015). </w:t>
      </w:r>
      <w:r w:rsidRPr="00677132">
        <w:rPr>
          <w:rFonts w:eastAsia="Times New Roman" w:cs="Times New Roman"/>
          <w:iCs/>
          <w:noProof/>
          <w:szCs w:val="24"/>
          <w:lang w:val="en-GB" w:eastAsia="pl-PL"/>
        </w:rPr>
        <w:t>Critical Realism. Urban Planning and Urban Research.European Planning Studies</w:t>
      </w:r>
      <w:r w:rsidRPr="00677132">
        <w:rPr>
          <w:rFonts w:eastAsia="Times New Roman" w:cs="Times New Roman"/>
          <w:noProof/>
          <w:szCs w:val="24"/>
          <w:lang w:val="en-GB" w:eastAsia="pl-PL"/>
        </w:rPr>
        <w:t xml:space="preserve">(23), 1228-1244. </w:t>
      </w:r>
      <w:r w:rsidR="00677132" w:rsidRPr="00677132">
        <w:rPr>
          <w:rFonts w:eastAsia="Times New Roman" w:cs="Times New Roman"/>
          <w:noProof/>
          <w:szCs w:val="24"/>
          <w:lang w:val="en-GB" w:eastAsia="pl-PL"/>
        </w:rPr>
        <w:t xml:space="preserve">doi: </w:t>
      </w:r>
      <w:r w:rsidRPr="00677132">
        <w:rPr>
          <w:rFonts w:eastAsia="Times New Roman" w:cs="Times New Roman"/>
          <w:noProof/>
          <w:szCs w:val="24"/>
          <w:lang w:val="en-GB" w:eastAsia="pl-PL"/>
        </w:rPr>
        <w:t>10.1080/09654313.2014.994091</w:t>
      </w:r>
      <w:r w:rsidR="00677132">
        <w:rPr>
          <w:rFonts w:eastAsia="Times New Roman" w:cs="Times New Roman"/>
          <w:noProof/>
          <w:szCs w:val="24"/>
          <w:lang w:val="en-GB" w:eastAsia="pl-PL"/>
        </w:rPr>
        <w:t>.</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Nowak, M. J. (2017). </w:t>
      </w:r>
      <w:r w:rsidRPr="00677132">
        <w:rPr>
          <w:rFonts w:eastAsia="Times New Roman" w:cs="Times New Roman"/>
          <w:iCs/>
          <w:noProof/>
          <w:szCs w:val="24"/>
          <w:lang w:eastAsia="pl-PL"/>
        </w:rPr>
        <w:t>Niesprawność władz publicznych a system gospodarki przestrzennej.Studia KPZK PAN</w:t>
      </w:r>
      <w:r w:rsidRPr="00677132">
        <w:rPr>
          <w:rFonts w:eastAsia="Times New Roman" w:cs="Times New Roman"/>
          <w:noProof/>
          <w:szCs w:val="24"/>
          <w:lang w:eastAsia="pl-PL"/>
        </w:rPr>
        <w:t xml:space="preserve"> (CLXXV). </w:t>
      </w:r>
      <w:r w:rsidRPr="00677132">
        <w:rPr>
          <w:rFonts w:eastAsia="Times New Roman" w:cs="Times New Roman"/>
          <w:noProof/>
          <w:szCs w:val="24"/>
          <w:lang w:val="en-GB" w:eastAsia="pl-PL"/>
        </w:rPr>
        <w:t xml:space="preserve">Warszawa: KPZK PAN. </w:t>
      </w:r>
      <w:r w:rsidR="00677132" w:rsidRPr="00677132">
        <w:rPr>
          <w:rFonts w:eastAsia="Times New Roman" w:cs="Times New Roman"/>
          <w:noProof/>
          <w:szCs w:val="24"/>
          <w:lang w:val="en-GB" w:eastAsia="pl-PL"/>
        </w:rPr>
        <w:t xml:space="preserve">doi: </w:t>
      </w:r>
      <w:r w:rsidRPr="00677132">
        <w:rPr>
          <w:rFonts w:eastAsia="Times New Roman" w:cs="Times New Roman"/>
          <w:noProof/>
          <w:szCs w:val="24"/>
          <w:lang w:val="en-GB" w:eastAsia="pl-PL"/>
        </w:rPr>
        <w:t>10.24425/118561</w:t>
      </w:r>
      <w:r w:rsidR="00677132">
        <w:rPr>
          <w:rFonts w:eastAsia="Times New Roman" w:cs="Times New Roman"/>
          <w:noProof/>
          <w:szCs w:val="24"/>
          <w:lang w:val="en-GB" w:eastAsia="pl-PL"/>
        </w:rPr>
        <w:t>.</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eastAsia="pl-PL"/>
        </w:rPr>
        <w:t>Noworól, A. (1998). Instrumenty zarządzania rozwojem miasta. Kraków: Instytut Gospodarki Przestrzennej i Komunalnej/Oddział w Krakowie.</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Obwieszczenie Komisarza Wyborczego w Lublinie z dnia 21 listopada 2014 r. o wynikach wyborów do rad na obszarze województwa lubelskiego. </w:t>
      </w:r>
      <w:r w:rsidRPr="00677132">
        <w:rPr>
          <w:rFonts w:eastAsia="Times New Roman" w:cs="Times New Roman"/>
          <w:noProof/>
          <w:szCs w:val="24"/>
          <w:lang w:val="en-GB" w:eastAsia="pl-PL"/>
        </w:rPr>
        <w:t xml:space="preserve">Dz. Urz. Woj. Lub. 2014, item </w:t>
      </w:r>
      <w:r w:rsidRPr="00677132">
        <w:rPr>
          <w:rFonts w:eastAsia="Times New Roman" w:cs="Times New Roman"/>
          <w:noProof/>
          <w:szCs w:val="24"/>
          <w:lang w:eastAsia="pl-PL"/>
        </w:rPr>
        <w:t>4005</w:t>
      </w:r>
      <w:r w:rsidRPr="00677132">
        <w:rPr>
          <w:rFonts w:eastAsia="Times New Roman" w:cs="Times New Roman"/>
          <w:noProof/>
          <w:szCs w:val="24"/>
          <w:lang w:val="en-GB" w:eastAsia="pl-PL"/>
        </w:rPr>
        <w:t>.</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Parysek, J. J. (2001). Problemy gospodarki lokalnej. </w:t>
      </w:r>
      <w:r w:rsidRPr="00677132">
        <w:rPr>
          <w:rFonts w:eastAsia="Times New Roman" w:cs="Times New Roman"/>
          <w:noProof/>
          <w:szCs w:val="24"/>
          <w:lang w:val="en-GB" w:eastAsia="pl-PL"/>
        </w:rPr>
        <w:t>Poznań: Wydawnictwo Naukowe UAM.</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eastAsia="pl-PL"/>
        </w:rPr>
        <w:t>Raport o ekonomicznych stratach i społecznych kosztach niekontrolowanej urbanizacji w Polsce. (2013). Warszawa: Fundacja Rozwoju Demokracji Lokalnej, Instytut Geografii i Przestrzennego Zagospodarowania PAN.</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val="en-GB" w:eastAsia="pl-PL"/>
        </w:rPr>
        <w:t xml:space="preserve">Rhodes, R. (1996). </w:t>
      </w:r>
      <w:r w:rsidRPr="00677132">
        <w:rPr>
          <w:rFonts w:eastAsia="Times New Roman" w:cs="Times New Roman"/>
          <w:iCs/>
          <w:noProof/>
          <w:szCs w:val="24"/>
          <w:lang w:val="en-GB" w:eastAsia="pl-PL"/>
        </w:rPr>
        <w:t>The New Governance: Governing without Government</w:t>
      </w:r>
      <w:r w:rsidRPr="00677132">
        <w:rPr>
          <w:rFonts w:eastAsia="Times New Roman" w:cs="Times New Roman"/>
          <w:noProof/>
          <w:szCs w:val="24"/>
          <w:lang w:val="en-GB" w:eastAsia="pl-PL"/>
        </w:rPr>
        <w:t>. Political Studies(44), 652–667.</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val="en-GB" w:eastAsia="pl-PL"/>
        </w:rPr>
        <w:t xml:space="preserve">Shepherd, E. (2020). </w:t>
      </w:r>
      <w:r w:rsidRPr="00677132">
        <w:rPr>
          <w:rFonts w:eastAsia="Times New Roman" w:cs="Times New Roman"/>
          <w:iCs/>
          <w:noProof/>
          <w:szCs w:val="24"/>
          <w:lang w:val="en-GB" w:eastAsia="pl-PL"/>
        </w:rPr>
        <w:t>Liberty, property and the state: The ideology of the institution of English town and country planning</w:t>
      </w:r>
      <w:r w:rsidRPr="00677132">
        <w:rPr>
          <w:rFonts w:eastAsia="Times New Roman" w:cs="Times New Roman"/>
          <w:noProof/>
          <w:szCs w:val="24"/>
          <w:lang w:val="en-GB" w:eastAsia="pl-PL"/>
        </w:rPr>
        <w:t xml:space="preserve">. </w:t>
      </w:r>
      <w:r w:rsidRPr="00677132">
        <w:rPr>
          <w:rFonts w:eastAsia="Times New Roman" w:cs="Times New Roman"/>
          <w:iCs/>
          <w:noProof/>
          <w:szCs w:val="24"/>
          <w:lang w:val="en-GB" w:eastAsia="pl-PL"/>
        </w:rPr>
        <w:t>Progress in Planning</w:t>
      </w:r>
      <w:r w:rsidRPr="00677132">
        <w:rPr>
          <w:rFonts w:eastAsia="Times New Roman" w:cs="Times New Roman"/>
          <w:noProof/>
          <w:szCs w:val="24"/>
          <w:lang w:val="en-GB" w:eastAsia="pl-PL"/>
        </w:rPr>
        <w:t xml:space="preserve">(135), 100425. </w:t>
      </w:r>
      <w:r w:rsidR="00677132" w:rsidRPr="00677132">
        <w:rPr>
          <w:rFonts w:eastAsia="Times New Roman" w:cs="Times New Roman"/>
          <w:noProof/>
          <w:szCs w:val="24"/>
          <w:lang w:val="en-GB" w:eastAsia="pl-PL"/>
        </w:rPr>
        <w:t xml:space="preserve">doi: </w:t>
      </w:r>
      <w:r w:rsidRPr="00677132">
        <w:rPr>
          <w:rFonts w:eastAsia="Times New Roman" w:cs="Times New Roman"/>
          <w:noProof/>
          <w:szCs w:val="24"/>
          <w:lang w:val="en-GB" w:eastAsia="pl-PL"/>
        </w:rPr>
        <w:t>10.1016/j.progress.2018.09.001</w:t>
      </w:r>
      <w:r w:rsidR="004513B5">
        <w:rPr>
          <w:rFonts w:eastAsia="Times New Roman" w:cs="Times New Roman"/>
          <w:noProof/>
          <w:szCs w:val="24"/>
          <w:lang w:val="en-GB" w:eastAsia="pl-PL"/>
        </w:rPr>
        <w:t>.</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Stocki, R. (2005). Patologie organizacyjne – diagnoza i interwencje. </w:t>
      </w:r>
      <w:r w:rsidRPr="00677132">
        <w:rPr>
          <w:rFonts w:eastAsia="Times New Roman" w:cs="Times New Roman"/>
          <w:noProof/>
          <w:szCs w:val="24"/>
          <w:lang w:val="en-GB" w:eastAsia="pl-PL"/>
        </w:rPr>
        <w:t>Kraków: Oficyna Ekonomiczna.</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eastAsia="pl-PL"/>
        </w:rPr>
        <w:lastRenderedPageBreak/>
        <w:t>Sudoł, S. (2012). Nauki o zarządzaniu. Podstawowe problemy i kontrowersje. Warszawa: PWE.</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eastAsia="pl-PL"/>
        </w:rPr>
        <w:t>Sześciło, D. (2014). Administracja i zarządzanie publiczne. Nauko o współczesnej administracji. Warszawa: Stowarzyszenie Absolwentów Wydziału Prawa i Administracji UW.</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Śleszyński, P., Deręgowska, A., Kubiak, Ł., Sudra, P., &amp; Zielińska B. (2018). Analiza stanu i uwarunkowań prac planistycznych w gminach w 2017 roku. </w:t>
      </w:r>
      <w:r w:rsidRPr="00677132">
        <w:rPr>
          <w:rFonts w:eastAsia="Times New Roman" w:cs="Times New Roman"/>
          <w:noProof/>
          <w:szCs w:val="24"/>
          <w:lang w:val="en-GB" w:eastAsia="pl-PL"/>
        </w:rPr>
        <w:t>Warszawa: Instytut Geografii I Przestrzennego Zagospodarowania PAN.</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Śleszyński, P., Komornicki, T., Deręgowska, A., &amp; Zielińska, B. (2015). Analiza stanu i uwarunkowań prac planistycznych w gminach w 2013 roku. </w:t>
      </w:r>
      <w:r w:rsidRPr="00677132">
        <w:rPr>
          <w:rFonts w:eastAsia="Times New Roman" w:cs="Times New Roman"/>
          <w:noProof/>
          <w:szCs w:val="24"/>
          <w:lang w:val="en-GB" w:eastAsia="pl-PL"/>
        </w:rPr>
        <w:t>Warszawa: Instytut Geografii I Przestrzennego Zagospodarowania PAN.</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Śleszyński, P., Kowalewski, A., Markowski, T., Legutko-Kobus, P., &amp; Nowak, M. (2020). </w:t>
      </w:r>
      <w:r w:rsidRPr="00677132">
        <w:rPr>
          <w:rFonts w:eastAsia="Times New Roman" w:cs="Times New Roman"/>
          <w:noProof/>
          <w:szCs w:val="24"/>
          <w:lang w:val="en-GB" w:eastAsia="pl-PL"/>
        </w:rPr>
        <w:t xml:space="preserve">The Contemporary Economic Costs of Spatial Chaos: Evidence from Poland. </w:t>
      </w:r>
      <w:r w:rsidRPr="00677132">
        <w:rPr>
          <w:rFonts w:eastAsia="Times New Roman" w:cs="Times New Roman"/>
          <w:iCs/>
          <w:noProof/>
          <w:szCs w:val="24"/>
          <w:lang w:val="en-GB" w:eastAsia="pl-PL"/>
        </w:rPr>
        <w:t xml:space="preserve">Land </w:t>
      </w:r>
      <w:r w:rsidRPr="00677132">
        <w:rPr>
          <w:rFonts w:eastAsia="Times New Roman" w:cs="Times New Roman"/>
          <w:noProof/>
          <w:szCs w:val="24"/>
          <w:lang w:val="en-GB" w:eastAsia="pl-PL"/>
        </w:rPr>
        <w:t xml:space="preserve">2020, </w:t>
      </w:r>
      <w:r w:rsidRPr="00677132">
        <w:rPr>
          <w:rFonts w:eastAsia="Times New Roman" w:cs="Times New Roman"/>
          <w:iCs/>
          <w:noProof/>
          <w:szCs w:val="24"/>
          <w:lang w:val="en-GB" w:eastAsia="pl-PL"/>
        </w:rPr>
        <w:t>9</w:t>
      </w:r>
      <w:r w:rsidRPr="00677132">
        <w:rPr>
          <w:rFonts w:eastAsia="Times New Roman" w:cs="Times New Roman"/>
          <w:noProof/>
          <w:szCs w:val="24"/>
          <w:lang w:val="en-GB" w:eastAsia="pl-PL"/>
        </w:rPr>
        <w:t xml:space="preserve">(7), 214. </w:t>
      </w:r>
      <w:r w:rsidR="00677132" w:rsidRPr="00677132">
        <w:rPr>
          <w:rFonts w:eastAsia="Times New Roman" w:cs="Times New Roman"/>
          <w:noProof/>
          <w:szCs w:val="24"/>
          <w:lang w:val="en-GB" w:eastAsia="pl-PL"/>
        </w:rPr>
        <w:t xml:space="preserve">doi: </w:t>
      </w:r>
      <w:r w:rsidRPr="00677132">
        <w:rPr>
          <w:rFonts w:eastAsia="Times New Roman" w:cs="Times New Roman"/>
          <w:noProof/>
          <w:szCs w:val="24"/>
          <w:lang w:val="en-GB" w:eastAsia="pl-PL"/>
        </w:rPr>
        <w:t>10.3390/land9070214</w:t>
      </w:r>
      <w:r w:rsidR="00677132">
        <w:rPr>
          <w:rFonts w:eastAsia="Times New Roman" w:cs="Times New Roman"/>
          <w:noProof/>
          <w:szCs w:val="24"/>
          <w:lang w:val="en-GB" w:eastAsia="pl-PL"/>
        </w:rPr>
        <w:t>.</w:t>
      </w:r>
    </w:p>
    <w:p w:rsidR="009D0316" w:rsidRPr="00677132" w:rsidRDefault="009D0316" w:rsidP="004513B5">
      <w:pPr>
        <w:numPr>
          <w:ilvl w:val="0"/>
          <w:numId w:val="15"/>
        </w:numPr>
        <w:ind w:left="357" w:hanging="357"/>
        <w:jc w:val="left"/>
        <w:rPr>
          <w:rFonts w:eastAsia="Times New Roman" w:cs="Times New Roman"/>
          <w:bCs/>
          <w:noProof/>
          <w:szCs w:val="24"/>
          <w:bdr w:val="none" w:sz="0" w:space="0" w:color="auto" w:frame="1"/>
          <w:shd w:val="clear" w:color="auto" w:fill="FFFFFF"/>
          <w:lang w:eastAsia="pl-PL"/>
        </w:rPr>
      </w:pPr>
      <w:r w:rsidRPr="00677132">
        <w:rPr>
          <w:rFonts w:eastAsia="Times New Roman" w:cs="Times New Roman"/>
          <w:noProof/>
          <w:szCs w:val="24"/>
          <w:lang w:val="en-GB" w:eastAsia="pl-PL"/>
        </w:rPr>
        <w:t>Tomaževič</w:t>
      </w:r>
      <w:r w:rsidRPr="00677132">
        <w:rPr>
          <w:rFonts w:eastAsia="Times New Roman" w:cs="Times New Roman"/>
          <w:bCs/>
          <w:noProof/>
          <w:szCs w:val="24"/>
          <w:lang w:val="en-GB" w:eastAsia="pl-PL"/>
        </w:rPr>
        <w:t xml:space="preserve">, N., Tekavčič, M., &amp; Peljhan, D. (2017). </w:t>
      </w:r>
      <w:r w:rsidRPr="00677132">
        <w:rPr>
          <w:rFonts w:eastAsia="Times New Roman" w:cs="Times New Roman"/>
          <w:bCs/>
          <w:iCs/>
          <w:noProof/>
          <w:szCs w:val="24"/>
          <w:lang w:val="en-GB" w:eastAsia="pl-PL"/>
        </w:rPr>
        <w:t>Towards excellence in public administration: organisation theory-based performance management model</w:t>
      </w:r>
      <w:r w:rsidRPr="00677132">
        <w:rPr>
          <w:rFonts w:eastAsia="Times New Roman" w:cs="Times New Roman"/>
          <w:bCs/>
          <w:noProof/>
          <w:szCs w:val="24"/>
          <w:lang w:val="en-GB" w:eastAsia="pl-PL"/>
        </w:rPr>
        <w:t xml:space="preserve">. </w:t>
      </w:r>
      <w:r w:rsidRPr="00677132">
        <w:rPr>
          <w:rFonts w:eastAsia="Times New Roman" w:cs="Times New Roman"/>
          <w:bCs/>
          <w:iCs/>
          <w:noProof/>
          <w:szCs w:val="24"/>
          <w:bdr w:val="none" w:sz="0" w:space="0" w:color="auto" w:frame="1"/>
          <w:shd w:val="clear" w:color="auto" w:fill="FFFFFF"/>
          <w:lang w:eastAsia="pl-PL"/>
        </w:rPr>
        <w:t>Total quality management &amp; business excellence</w:t>
      </w:r>
      <w:r w:rsidRPr="00677132">
        <w:rPr>
          <w:rFonts w:eastAsia="Times New Roman" w:cs="Times New Roman"/>
          <w:bCs/>
          <w:noProof/>
          <w:szCs w:val="24"/>
          <w:bdr w:val="none" w:sz="0" w:space="0" w:color="auto" w:frame="1"/>
          <w:shd w:val="clear" w:color="auto" w:fill="FFFFFF"/>
          <w:lang w:eastAsia="pl-PL"/>
        </w:rPr>
        <w:t xml:space="preserve">, </w:t>
      </w:r>
      <w:r w:rsidRPr="00677132">
        <w:rPr>
          <w:rFonts w:eastAsia="Times New Roman" w:cs="Times New Roman"/>
          <w:bCs/>
          <w:iCs/>
          <w:noProof/>
          <w:szCs w:val="24"/>
          <w:bdr w:val="none" w:sz="0" w:space="0" w:color="auto" w:frame="1"/>
          <w:shd w:val="clear" w:color="auto" w:fill="FFFFFF"/>
          <w:lang w:eastAsia="pl-PL"/>
        </w:rPr>
        <w:t>28</w:t>
      </w:r>
      <w:r w:rsidRPr="00677132">
        <w:rPr>
          <w:rFonts w:eastAsia="Times New Roman" w:cs="Times New Roman"/>
          <w:bCs/>
          <w:noProof/>
          <w:szCs w:val="24"/>
          <w:bdr w:val="none" w:sz="0" w:space="0" w:color="auto" w:frame="1"/>
          <w:shd w:val="clear" w:color="auto" w:fill="FFFFFF"/>
          <w:lang w:eastAsia="pl-PL"/>
        </w:rPr>
        <w:t xml:space="preserve">(5-6). </w:t>
      </w:r>
      <w:r w:rsidR="00677132" w:rsidRPr="00677132">
        <w:rPr>
          <w:rFonts w:eastAsia="Times New Roman" w:cs="Times New Roman"/>
          <w:bCs/>
          <w:noProof/>
          <w:szCs w:val="24"/>
          <w:bdr w:val="none" w:sz="0" w:space="0" w:color="auto" w:frame="1"/>
          <w:shd w:val="clear" w:color="auto" w:fill="FFFFFF"/>
          <w:lang w:eastAsia="pl-PL"/>
        </w:rPr>
        <w:t xml:space="preserve">doi: </w:t>
      </w:r>
      <w:r w:rsidRPr="00677132">
        <w:rPr>
          <w:rFonts w:eastAsia="Times New Roman" w:cs="Times New Roman"/>
          <w:bCs/>
          <w:noProof/>
          <w:szCs w:val="24"/>
          <w:bdr w:val="none" w:sz="0" w:space="0" w:color="auto" w:frame="1"/>
          <w:shd w:val="clear" w:color="auto" w:fill="FFFFFF"/>
          <w:lang w:eastAsia="pl-PL"/>
        </w:rPr>
        <w:t>10.2105/AJPH.2009. 17770944</w:t>
      </w:r>
      <w:r w:rsidR="00677132">
        <w:rPr>
          <w:rFonts w:eastAsia="Times New Roman" w:cs="Times New Roman"/>
          <w:bCs/>
          <w:noProof/>
          <w:szCs w:val="24"/>
          <w:bdr w:val="none" w:sz="0" w:space="0" w:color="auto" w:frame="1"/>
          <w:shd w:val="clear" w:color="auto" w:fill="FFFFFF"/>
          <w:lang w:eastAsia="pl-PL"/>
        </w:rPr>
        <w:t>.</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eastAsia="pl-PL"/>
        </w:rPr>
        <w:t>Ustawa z dnia 23 kwietnia 1964 r. – Kodeks cywilny. Dziennik Ustaw 1964 No. 16, item 93, as amended.</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Ustawa z dnia 21 marca 1985 r. o drogach publicznych. Dziennik</w:t>
      </w:r>
      <w:r w:rsidRPr="00677132">
        <w:rPr>
          <w:rFonts w:eastAsia="Times New Roman" w:cs="Times New Roman"/>
          <w:noProof/>
          <w:szCs w:val="24"/>
          <w:lang w:val="en-GB" w:eastAsia="pl-PL"/>
        </w:rPr>
        <w:t xml:space="preserve"> Ustaw 1985 No. 14, item 60, as amended.</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Ustawa z dnia 8 marca 1990 r. o samorządzie gminnym. Dziennik</w:t>
      </w:r>
      <w:r w:rsidRPr="00677132">
        <w:rPr>
          <w:rFonts w:eastAsia="Times New Roman" w:cs="Times New Roman"/>
          <w:noProof/>
          <w:szCs w:val="24"/>
          <w:lang w:val="en-GB" w:eastAsia="pl-PL"/>
        </w:rPr>
        <w:t xml:space="preserve"> Ustaw 1990 No. 16 item 95, as amended.</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Ustawa z dnia 12 stycznia 1991 r. o podatkach i opłatach lokalnych. Dziennik</w:t>
      </w:r>
      <w:r w:rsidRPr="00677132">
        <w:rPr>
          <w:rFonts w:eastAsia="Times New Roman" w:cs="Times New Roman"/>
          <w:noProof/>
          <w:szCs w:val="24"/>
          <w:lang w:val="en-GB" w:eastAsia="pl-PL"/>
        </w:rPr>
        <w:t xml:space="preserve"> Ustaw 1991 No. 9, item 31, as amended</w:t>
      </w:r>
      <w:r w:rsidR="00677132">
        <w:rPr>
          <w:rFonts w:eastAsia="Times New Roman" w:cs="Times New Roman"/>
          <w:noProof/>
          <w:szCs w:val="24"/>
          <w:lang w:val="en-GB" w:eastAsia="pl-PL"/>
        </w:rPr>
        <w:t>.</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Ustawa z dnia 28 września 1991 r. o lasach. </w:t>
      </w:r>
      <w:r w:rsidRPr="00677132">
        <w:rPr>
          <w:rFonts w:eastAsia="Times New Roman" w:cs="Times New Roman"/>
          <w:noProof/>
          <w:szCs w:val="24"/>
          <w:lang w:val="en-GB" w:eastAsia="pl-PL"/>
        </w:rPr>
        <w:t>Dziennik Ustaw 1991 No. 101, item 444, as amended</w:t>
      </w:r>
      <w:r w:rsidR="00677132">
        <w:rPr>
          <w:rFonts w:eastAsia="Times New Roman" w:cs="Times New Roman"/>
          <w:noProof/>
          <w:szCs w:val="24"/>
          <w:lang w:val="en-GB" w:eastAsia="pl-PL"/>
        </w:rPr>
        <w:t>.</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Ustawa z dnia 3 lutego 1995 r. o ochronie gruntów rolnych i leśnych. Dziennik</w:t>
      </w:r>
      <w:r w:rsidRPr="00677132">
        <w:rPr>
          <w:rFonts w:eastAsia="Times New Roman" w:cs="Times New Roman"/>
          <w:noProof/>
          <w:szCs w:val="24"/>
          <w:lang w:val="en-GB" w:eastAsia="pl-PL"/>
        </w:rPr>
        <w:t xml:space="preserve"> Ustaw 1995 No. 16, item 78, as amended.</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Ustawa z dnia 21 sierpnia 1997 r. o gospodarce nieruchomościami. </w:t>
      </w:r>
      <w:r w:rsidRPr="00677132">
        <w:rPr>
          <w:rFonts w:eastAsia="Times New Roman" w:cs="Times New Roman"/>
          <w:noProof/>
          <w:szCs w:val="24"/>
          <w:lang w:val="en-GB" w:eastAsia="pl-PL"/>
        </w:rPr>
        <w:t xml:space="preserve">Dziennik </w:t>
      </w:r>
      <w:r w:rsidRPr="00677132">
        <w:rPr>
          <w:rFonts w:eastAsia="Times New Roman" w:cs="Times New Roman"/>
          <w:noProof/>
          <w:szCs w:val="24"/>
          <w:lang w:eastAsia="pl-PL"/>
        </w:rPr>
        <w:t>Ustaw</w:t>
      </w:r>
      <w:r w:rsidRPr="00677132">
        <w:rPr>
          <w:rFonts w:eastAsia="Times New Roman" w:cs="Times New Roman"/>
          <w:noProof/>
          <w:szCs w:val="24"/>
          <w:lang w:val="en-GB" w:eastAsia="pl-PL"/>
        </w:rPr>
        <w:t xml:space="preserve"> 1997 No. 115, item 741, as amended.</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Ustawa z dnia 5 czerwca 1998 r. o samorządzie województwa. </w:t>
      </w:r>
      <w:r w:rsidRPr="00677132">
        <w:rPr>
          <w:rFonts w:eastAsia="Times New Roman" w:cs="Times New Roman"/>
          <w:noProof/>
          <w:szCs w:val="24"/>
          <w:lang w:val="en-GB" w:eastAsia="pl-PL"/>
        </w:rPr>
        <w:t>Dziennik U. 1998 No. 91, item 576, as amended.</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lastRenderedPageBreak/>
        <w:t>Ustawa z dnia 5 czerwca 1998 r. o samorządzie powiatowym. Dziennik</w:t>
      </w:r>
      <w:r w:rsidRPr="00677132">
        <w:rPr>
          <w:rFonts w:eastAsia="Times New Roman" w:cs="Times New Roman"/>
          <w:noProof/>
          <w:szCs w:val="24"/>
          <w:lang w:val="en-GB" w:eastAsia="pl-PL"/>
        </w:rPr>
        <w:t xml:space="preserve"> Ustaw 1998 No. 91, item 578, as amended.</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Ustawa z dnia 27 kwietnia 2001 r. Prawo ochrony środowiska. Dziennik</w:t>
      </w:r>
      <w:r w:rsidRPr="00677132">
        <w:rPr>
          <w:rFonts w:eastAsia="Times New Roman" w:cs="Times New Roman"/>
          <w:noProof/>
          <w:szCs w:val="24"/>
          <w:lang w:val="en-GB" w:eastAsia="pl-PL"/>
        </w:rPr>
        <w:t xml:space="preserve"> Ustaw 2001 No. 62, item 627, as amended.</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Ustawa z dnia 27 marca 2003 roku o planowaniu i zagospodarowaniu przestrzennym. </w:t>
      </w:r>
      <w:r w:rsidRPr="00677132">
        <w:rPr>
          <w:rFonts w:eastAsia="Times New Roman" w:cs="Times New Roman"/>
          <w:noProof/>
          <w:szCs w:val="24"/>
          <w:lang w:val="en-GB" w:eastAsia="pl-PL"/>
        </w:rPr>
        <w:t xml:space="preserve">Dziennik </w:t>
      </w:r>
      <w:r w:rsidRPr="00677132">
        <w:rPr>
          <w:rFonts w:eastAsia="Times New Roman" w:cs="Times New Roman"/>
          <w:noProof/>
          <w:szCs w:val="24"/>
          <w:lang w:eastAsia="pl-PL"/>
        </w:rPr>
        <w:t>Ustaw</w:t>
      </w:r>
      <w:r w:rsidRPr="00677132">
        <w:rPr>
          <w:rFonts w:eastAsia="Times New Roman" w:cs="Times New Roman"/>
          <w:noProof/>
          <w:szCs w:val="24"/>
          <w:lang w:val="en-GB" w:eastAsia="pl-PL"/>
        </w:rPr>
        <w:t xml:space="preserve"> 2003 No. 80, item. 717, as amended.</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Ustawa z dnia 23 lipca 2003 r. o ochronie zabytków i opiece nad zabytkami. </w:t>
      </w:r>
      <w:r w:rsidRPr="00677132">
        <w:rPr>
          <w:rFonts w:eastAsia="Times New Roman" w:cs="Times New Roman"/>
          <w:noProof/>
          <w:szCs w:val="24"/>
          <w:lang w:val="en-GB" w:eastAsia="pl-PL"/>
        </w:rPr>
        <w:t xml:space="preserve">Dziennik Ustaw 2003 No. 162, </w:t>
      </w:r>
      <w:r w:rsidRPr="00677132">
        <w:rPr>
          <w:rFonts w:eastAsia="Times New Roman" w:cs="Times New Roman"/>
          <w:noProof/>
          <w:szCs w:val="24"/>
          <w:lang w:eastAsia="pl-PL"/>
        </w:rPr>
        <w:t>item</w:t>
      </w:r>
      <w:r w:rsidRPr="00677132">
        <w:rPr>
          <w:rFonts w:eastAsia="Times New Roman" w:cs="Times New Roman"/>
          <w:noProof/>
          <w:szCs w:val="24"/>
          <w:lang w:val="en-GB" w:eastAsia="pl-PL"/>
        </w:rPr>
        <w:t xml:space="preserve"> 1568, as amended.</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Ustawa z dnia 16 kwietnia 2004 r. o ochronie przyrody. </w:t>
      </w:r>
      <w:r w:rsidRPr="00677132">
        <w:rPr>
          <w:rFonts w:eastAsia="Times New Roman" w:cs="Times New Roman"/>
          <w:noProof/>
          <w:szCs w:val="24"/>
          <w:lang w:val="en-GB" w:eastAsia="pl-PL"/>
        </w:rPr>
        <w:t xml:space="preserve">Dziennik Ustaw 2004 No. 92, item 880, as </w:t>
      </w:r>
      <w:r w:rsidRPr="00677132">
        <w:rPr>
          <w:rFonts w:eastAsia="Times New Roman" w:cs="Times New Roman"/>
          <w:noProof/>
          <w:szCs w:val="24"/>
          <w:lang w:eastAsia="pl-PL"/>
        </w:rPr>
        <w:t>amended</w:t>
      </w:r>
      <w:r w:rsidRPr="00677132">
        <w:rPr>
          <w:rFonts w:eastAsia="Times New Roman" w:cs="Times New Roman"/>
          <w:noProof/>
          <w:szCs w:val="24"/>
          <w:lang w:val="en-GB" w:eastAsia="pl-PL"/>
        </w:rPr>
        <w:t>.</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Ustawa z dnia 23 stycznia 2009 r. o wojewodzie i administracji rządowej w województwie. </w:t>
      </w:r>
      <w:r w:rsidRPr="00677132">
        <w:rPr>
          <w:rFonts w:eastAsia="Times New Roman" w:cs="Times New Roman"/>
          <w:noProof/>
          <w:szCs w:val="24"/>
          <w:lang w:val="en-GB" w:eastAsia="pl-PL"/>
        </w:rPr>
        <w:t xml:space="preserve">Dziennik Ustaw 2009 No. 31, item 206, as </w:t>
      </w:r>
      <w:r w:rsidRPr="00677132">
        <w:rPr>
          <w:rFonts w:eastAsia="Times New Roman" w:cs="Times New Roman"/>
          <w:noProof/>
          <w:szCs w:val="24"/>
          <w:lang w:eastAsia="pl-PL"/>
        </w:rPr>
        <w:t>amended</w:t>
      </w:r>
      <w:r w:rsidRPr="00677132">
        <w:rPr>
          <w:rFonts w:eastAsia="Times New Roman" w:cs="Times New Roman"/>
          <w:noProof/>
          <w:szCs w:val="24"/>
          <w:lang w:val="en-GB" w:eastAsia="pl-PL"/>
        </w:rPr>
        <w:t>.</w:t>
      </w:r>
    </w:p>
    <w:p w:rsidR="009D0316" w:rsidRPr="00677132" w:rsidRDefault="009D0316" w:rsidP="004513B5">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eastAsia="pl-PL"/>
        </w:rPr>
        <w:t>Ustawa z dnia 9 czerwca 2011 r. – Prawo geologiczne i górnicze. Dziennik Ustaw 2011 No. 163, item 981, as amended.</w:t>
      </w:r>
    </w:p>
    <w:p w:rsidR="009D0316" w:rsidRPr="00677132" w:rsidRDefault="009D0316" w:rsidP="004513B5">
      <w:pPr>
        <w:numPr>
          <w:ilvl w:val="0"/>
          <w:numId w:val="15"/>
        </w:numPr>
        <w:ind w:left="357" w:hanging="357"/>
        <w:jc w:val="left"/>
        <w:rPr>
          <w:rFonts w:eastAsia="Times New Roman" w:cs="Times New Roman"/>
          <w:noProof/>
          <w:lang w:val="en-GB"/>
        </w:rPr>
      </w:pPr>
      <w:r w:rsidRPr="00677132">
        <w:rPr>
          <w:rFonts w:eastAsia="Times New Roman" w:cs="Times New Roman"/>
          <w:noProof/>
        </w:rPr>
        <w:t xml:space="preserve">Van Buuren, M. W. (2017).Vormgeven aan Uitnodigend Bestuur: Pleidooi Voor een Ontwerpgerichte Bestuurskunde. </w:t>
      </w:r>
      <w:r w:rsidRPr="00677132">
        <w:rPr>
          <w:rFonts w:eastAsia="Times New Roman" w:cs="Times New Roman"/>
          <w:noProof/>
          <w:lang w:val="en-GB"/>
        </w:rPr>
        <w:t xml:space="preserve">Rotterdam: </w:t>
      </w:r>
      <w:r w:rsidRPr="00677132">
        <w:rPr>
          <w:rFonts w:eastAsia="Times New Roman" w:cs="Times New Roman"/>
          <w:noProof/>
          <w:szCs w:val="24"/>
          <w:lang w:eastAsia="pl-PL"/>
        </w:rPr>
        <w:t>Erasmus</w:t>
      </w:r>
      <w:r w:rsidRPr="00677132">
        <w:rPr>
          <w:rFonts w:eastAsia="Times New Roman" w:cs="Times New Roman"/>
          <w:noProof/>
          <w:lang w:val="en-GB"/>
        </w:rPr>
        <w:t xml:space="preserve"> Universiteit Rotterdam. </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val="en-GB" w:eastAsia="pl-PL"/>
        </w:rPr>
        <w:t xml:space="preserve">Williams, R. H. (2018). </w:t>
      </w:r>
      <w:r w:rsidRPr="00677132">
        <w:rPr>
          <w:rFonts w:eastAsia="Times New Roman" w:cs="Times New Roman"/>
          <w:iCs/>
          <w:noProof/>
          <w:szCs w:val="24"/>
          <w:lang w:val="en-GB" w:eastAsia="pl-PL"/>
        </w:rPr>
        <w:t>Introduction</w:t>
      </w:r>
      <w:r w:rsidRPr="00677132">
        <w:rPr>
          <w:rFonts w:eastAsia="Times New Roman" w:cs="Times New Roman"/>
          <w:noProof/>
          <w:szCs w:val="24"/>
          <w:lang w:val="en-GB" w:eastAsia="pl-PL"/>
        </w:rPr>
        <w:t xml:space="preserve">. In R. H. Williams (Ed.), Planning In </w:t>
      </w:r>
      <w:r w:rsidRPr="00677132">
        <w:rPr>
          <w:rFonts w:eastAsia="Times New Roman" w:cs="Times New Roman"/>
          <w:iCs/>
          <w:noProof/>
          <w:szCs w:val="24"/>
          <w:lang w:val="en-GB" w:eastAsia="pl-PL"/>
        </w:rPr>
        <w:t>Europe. Urban and Regional Planning in the EEC.</w:t>
      </w:r>
      <w:r w:rsidRPr="00677132">
        <w:rPr>
          <w:rFonts w:eastAsia="Times New Roman" w:cs="Times New Roman"/>
          <w:noProof/>
          <w:szCs w:val="24"/>
          <w:lang w:val="en-GB" w:eastAsia="pl-PL"/>
        </w:rPr>
        <w:t xml:space="preserve"> London-New York: Routledge.</w:t>
      </w:r>
    </w:p>
    <w:p w:rsidR="009D0316" w:rsidRPr="00677132" w:rsidRDefault="009D0316" w:rsidP="004513B5">
      <w:pPr>
        <w:numPr>
          <w:ilvl w:val="0"/>
          <w:numId w:val="15"/>
        </w:numPr>
        <w:ind w:left="357" w:hanging="357"/>
        <w:jc w:val="left"/>
        <w:rPr>
          <w:rFonts w:eastAsia="Times New Roman" w:cs="Times New Roman"/>
          <w:noProof/>
          <w:szCs w:val="24"/>
          <w:lang w:val="en-GB" w:eastAsia="pl-PL"/>
        </w:rPr>
      </w:pPr>
      <w:r w:rsidRPr="00677132">
        <w:rPr>
          <w:rFonts w:eastAsia="Times New Roman" w:cs="Times New Roman"/>
          <w:noProof/>
          <w:szCs w:val="24"/>
          <w:lang w:eastAsia="pl-PL"/>
        </w:rPr>
        <w:t xml:space="preserve">Zakrzewska-Półtorak, A. (Ed.). (2016). Planowanie przestrzenne w Europie. </w:t>
      </w:r>
      <w:r w:rsidRPr="00677132">
        <w:rPr>
          <w:rFonts w:eastAsia="Times New Roman" w:cs="Times New Roman"/>
          <w:noProof/>
          <w:szCs w:val="24"/>
          <w:lang w:val="en-GB" w:eastAsia="pl-PL"/>
        </w:rPr>
        <w:t xml:space="preserve">Wrocław: Wydawnictwo Uniwersytetu </w:t>
      </w:r>
      <w:r w:rsidRPr="00677132">
        <w:rPr>
          <w:rFonts w:eastAsia="Times New Roman" w:cs="Times New Roman"/>
          <w:noProof/>
          <w:szCs w:val="24"/>
          <w:lang w:eastAsia="pl-PL"/>
        </w:rPr>
        <w:t>Ekonomicznego</w:t>
      </w:r>
      <w:r w:rsidRPr="00677132">
        <w:rPr>
          <w:rFonts w:eastAsia="Times New Roman" w:cs="Times New Roman"/>
          <w:noProof/>
          <w:szCs w:val="24"/>
          <w:lang w:val="en-GB" w:eastAsia="pl-PL"/>
        </w:rPr>
        <w:t xml:space="preserve"> we Wrocławiu.</w:t>
      </w:r>
    </w:p>
    <w:p w:rsidR="009D0316" w:rsidRPr="00677132" w:rsidRDefault="009D0316" w:rsidP="004513B5">
      <w:pPr>
        <w:numPr>
          <w:ilvl w:val="0"/>
          <w:numId w:val="15"/>
        </w:numPr>
        <w:ind w:left="357" w:hanging="357"/>
        <w:jc w:val="left"/>
        <w:rPr>
          <w:rFonts w:eastAsia="TimesNewRomanPSMT" w:cs="Times New Roman"/>
          <w:noProof/>
          <w:szCs w:val="24"/>
          <w:lang w:val="en-GB" w:eastAsia="pl-PL"/>
        </w:rPr>
      </w:pPr>
      <w:r w:rsidRPr="00677132">
        <w:rPr>
          <w:rFonts w:eastAsia="Times New Roman" w:cs="Times New Roman"/>
          <w:noProof/>
          <w:szCs w:val="24"/>
          <w:lang w:eastAsia="pl-PL"/>
        </w:rPr>
        <w:t>Zbierowski,</w:t>
      </w:r>
      <w:r w:rsidRPr="00677132">
        <w:rPr>
          <w:rFonts w:eastAsia="TimesNewRomanPSMT" w:cs="Times New Roman"/>
          <w:noProof/>
          <w:szCs w:val="24"/>
          <w:lang w:eastAsia="pl-PL"/>
        </w:rPr>
        <w:t xml:space="preserve"> P. (2012). </w:t>
      </w:r>
      <w:r w:rsidRPr="00677132">
        <w:rPr>
          <w:rFonts w:eastAsia="TimesNewRomanPSMT" w:cs="Times New Roman"/>
          <w:iCs/>
          <w:noProof/>
          <w:szCs w:val="24"/>
          <w:lang w:eastAsia="pl-PL"/>
        </w:rPr>
        <w:t xml:space="preserve">Orientacja pozytywna organizacji wysokiej efektywności. </w:t>
      </w:r>
      <w:r w:rsidRPr="00677132">
        <w:rPr>
          <w:rFonts w:eastAsia="TimesNewRomanPSMT" w:cs="Times New Roman"/>
          <w:noProof/>
          <w:szCs w:val="24"/>
          <w:lang w:val="en-GB" w:eastAsia="pl-PL"/>
        </w:rPr>
        <w:t xml:space="preserve">Warszawa: Oficyna </w:t>
      </w:r>
      <w:r w:rsidRPr="00677132">
        <w:rPr>
          <w:rFonts w:eastAsia="Times New Roman" w:cs="Times New Roman"/>
          <w:noProof/>
          <w:szCs w:val="24"/>
          <w:lang w:eastAsia="pl-PL"/>
        </w:rPr>
        <w:t>Wolters</w:t>
      </w:r>
      <w:r w:rsidRPr="00677132">
        <w:rPr>
          <w:rFonts w:eastAsia="TimesNewRomanPSMT" w:cs="Times New Roman"/>
          <w:noProof/>
          <w:szCs w:val="24"/>
          <w:lang w:val="en-GB" w:eastAsia="pl-PL"/>
        </w:rPr>
        <w:t xml:space="preserve"> Kluwer.</w:t>
      </w:r>
    </w:p>
    <w:p w:rsidR="009D0316" w:rsidRPr="00677132" w:rsidRDefault="009D0316" w:rsidP="004513B5">
      <w:pPr>
        <w:numPr>
          <w:ilvl w:val="0"/>
          <w:numId w:val="15"/>
        </w:numPr>
        <w:ind w:left="357" w:hanging="357"/>
        <w:jc w:val="left"/>
        <w:rPr>
          <w:rFonts w:eastAsia="Times New Roman" w:cs="Times New Roman"/>
          <w:szCs w:val="24"/>
          <w:lang w:val="en-US"/>
        </w:rPr>
      </w:pPr>
      <w:r w:rsidRPr="00677132">
        <w:rPr>
          <w:rFonts w:eastAsia="Times New Roman" w:cs="Times New Roman"/>
          <w:noProof/>
          <w:szCs w:val="24"/>
          <w:lang w:val="en-GB"/>
        </w:rPr>
        <w:t xml:space="preserve">Znotka, M., Brandt, F., </w:t>
      </w:r>
      <w:r w:rsidRPr="00677132">
        <w:rPr>
          <w:rFonts w:eastAsia="Times New Roman" w:cs="Times New Roman"/>
          <w:noProof/>
          <w:szCs w:val="24"/>
          <w:lang w:val="en-GB" w:eastAsia="pl-PL"/>
        </w:rPr>
        <w:t>Lindenmeier</w:t>
      </w:r>
      <w:r w:rsidRPr="00677132">
        <w:rPr>
          <w:rFonts w:eastAsia="Times New Roman" w:cs="Times New Roman"/>
          <w:noProof/>
          <w:szCs w:val="24"/>
          <w:lang w:val="en-GB"/>
        </w:rPr>
        <w:t xml:space="preserve">, J., &amp; Dietrich, M. (2019). </w:t>
      </w:r>
      <w:r w:rsidRPr="00677132">
        <w:rPr>
          <w:rFonts w:eastAsia="Times New Roman" w:cs="Times New Roman"/>
          <w:iCs/>
          <w:noProof/>
          <w:szCs w:val="24"/>
          <w:lang w:val="en-GB"/>
        </w:rPr>
        <w:t xml:space="preserve">“What the public values...” The stakeholder-oriented business model approach as a tool for planning and managing innovation in public and nonprofit management – A qualitative inquiry into public value creation in German healthcare. </w:t>
      </w:r>
      <w:r w:rsidRPr="00677132">
        <w:rPr>
          <w:rFonts w:eastAsia="Times New Roman" w:cs="Times New Roman"/>
          <w:bCs/>
          <w:iCs/>
          <w:noProof/>
          <w:szCs w:val="24"/>
          <w:bdr w:val="none" w:sz="0" w:space="0" w:color="auto" w:frame="1"/>
          <w:shd w:val="clear" w:color="auto" w:fill="FFFFFF"/>
          <w:lang w:val="en-GB"/>
        </w:rPr>
        <w:t>ZÖgU Zeitschrift für Öffentliche und Gemeinwirtschaftliche Unternehmen</w:t>
      </w:r>
      <w:r w:rsidRPr="00677132">
        <w:rPr>
          <w:rFonts w:eastAsia="Times New Roman" w:cs="Times New Roman"/>
          <w:bCs/>
          <w:noProof/>
          <w:szCs w:val="24"/>
          <w:bdr w:val="none" w:sz="0" w:space="0" w:color="auto" w:frame="1"/>
          <w:shd w:val="clear" w:color="auto" w:fill="FFFFFF"/>
          <w:lang w:val="en-GB"/>
        </w:rPr>
        <w:t>/</w:t>
      </w:r>
      <w:r w:rsidRPr="00677132">
        <w:rPr>
          <w:rFonts w:eastAsia="Times New Roman" w:cs="Times New Roman"/>
          <w:bCs/>
          <w:iCs/>
          <w:noProof/>
          <w:szCs w:val="24"/>
          <w:bdr w:val="none" w:sz="0" w:space="0" w:color="auto" w:frame="1"/>
          <w:shd w:val="clear" w:color="auto" w:fill="FFFFFF"/>
          <w:lang w:val="en-GB"/>
        </w:rPr>
        <w:t xml:space="preserve">Journal for Public &amp; Nonprofit Services, </w:t>
      </w:r>
      <w:r w:rsidRPr="00677132">
        <w:rPr>
          <w:rFonts w:eastAsia="Times New Roman" w:cs="Times New Roman"/>
          <w:szCs w:val="24"/>
          <w:lang w:val="en-US" w:eastAsia="pl-PL"/>
        </w:rPr>
        <w:t xml:space="preserve">42(1-2):13-33, </w:t>
      </w:r>
      <w:r w:rsidR="00677132" w:rsidRPr="00677132">
        <w:rPr>
          <w:rFonts w:eastAsia="Times New Roman" w:cs="Times New Roman"/>
          <w:szCs w:val="24"/>
          <w:lang w:val="en-US" w:eastAsia="pl-PL"/>
        </w:rPr>
        <w:t>doi</w:t>
      </w:r>
      <w:r w:rsidR="00677132">
        <w:rPr>
          <w:rFonts w:eastAsia="Times New Roman" w:cs="Times New Roman"/>
          <w:szCs w:val="24"/>
          <w:lang w:val="en-US" w:eastAsia="pl-PL"/>
        </w:rPr>
        <w:t>:</w:t>
      </w:r>
      <w:r w:rsidR="00677132" w:rsidRPr="00677132">
        <w:rPr>
          <w:rFonts w:eastAsia="Times New Roman" w:cs="Times New Roman"/>
          <w:szCs w:val="24"/>
          <w:lang w:val="en-US" w:eastAsia="pl-PL"/>
        </w:rPr>
        <w:t xml:space="preserve"> </w:t>
      </w:r>
      <w:hyperlink r:id="rId22" w:history="1">
        <w:r w:rsidRPr="00677132">
          <w:rPr>
            <w:rFonts w:eastAsia="Times New Roman" w:cs="Times New Roman"/>
            <w:szCs w:val="24"/>
            <w:bdr w:val="none" w:sz="0" w:space="0" w:color="auto" w:frame="1"/>
            <w:lang w:val="en-US"/>
          </w:rPr>
          <w:t>10.5771/0344-9777-2019-1-2-13</w:t>
        </w:r>
      </w:hyperlink>
    </w:p>
    <w:p w:rsidR="009D0316" w:rsidRPr="00677132" w:rsidRDefault="009D0316" w:rsidP="004513B5">
      <w:pPr>
        <w:numPr>
          <w:ilvl w:val="0"/>
          <w:numId w:val="15"/>
        </w:numPr>
        <w:ind w:left="357" w:hanging="357"/>
        <w:jc w:val="left"/>
        <w:rPr>
          <w:rFonts w:eastAsia="Times New Roman" w:cs="Times New Roman"/>
          <w:noProof/>
          <w:lang w:val="en-GB"/>
        </w:rPr>
      </w:pPr>
      <w:r w:rsidRPr="00677132">
        <w:rPr>
          <w:rFonts w:eastAsia="Times New Roman" w:cs="Times New Roman"/>
          <w:noProof/>
          <w:szCs w:val="24"/>
          <w:lang w:eastAsia="pl-PL"/>
        </w:rPr>
        <w:t>Zgółkowa</w:t>
      </w:r>
      <w:r w:rsidRPr="00677132">
        <w:rPr>
          <w:rFonts w:eastAsia="Times New Roman" w:cs="Times New Roman"/>
          <w:bCs/>
          <w:noProof/>
          <w:szCs w:val="24"/>
          <w:bdr w:val="none" w:sz="0" w:space="0" w:color="auto" w:frame="1"/>
          <w:shd w:val="clear" w:color="auto" w:fill="FFFFFF"/>
        </w:rPr>
        <w:t xml:space="preserve">, H. (Ed.). (2004). Praktyczny słownik współczesnej polszczyzny. </w:t>
      </w:r>
      <w:r w:rsidRPr="00677132">
        <w:rPr>
          <w:rFonts w:eastAsia="Times New Roman" w:cs="Times New Roman"/>
          <w:bCs/>
          <w:noProof/>
          <w:szCs w:val="24"/>
          <w:bdr w:val="none" w:sz="0" w:space="0" w:color="auto" w:frame="1"/>
          <w:shd w:val="clear" w:color="auto" w:fill="FFFFFF"/>
          <w:lang w:val="en-GB"/>
        </w:rPr>
        <w:t>Poznań: Wydawnictwo Kurpisz.</w:t>
      </w:r>
    </w:p>
    <w:p w:rsidR="00A13C73" w:rsidRPr="00CF051D" w:rsidRDefault="009D0316" w:rsidP="00CF051D">
      <w:pPr>
        <w:numPr>
          <w:ilvl w:val="0"/>
          <w:numId w:val="15"/>
        </w:numPr>
        <w:ind w:left="357" w:hanging="357"/>
        <w:jc w:val="left"/>
        <w:rPr>
          <w:rFonts w:eastAsia="Times New Roman" w:cs="Times New Roman"/>
          <w:noProof/>
          <w:szCs w:val="24"/>
          <w:lang w:eastAsia="pl-PL"/>
        </w:rPr>
      </w:pPr>
      <w:r w:rsidRPr="00677132">
        <w:rPr>
          <w:rFonts w:eastAsia="Times New Roman" w:cs="Times New Roman"/>
          <w:noProof/>
          <w:szCs w:val="24"/>
          <w:lang w:eastAsia="pl-PL"/>
        </w:rPr>
        <w:t xml:space="preserve">Zybała, A. (2014). </w:t>
      </w:r>
      <w:r w:rsidRPr="00677132">
        <w:rPr>
          <w:rFonts w:eastAsia="Times New Roman" w:cs="Times New Roman"/>
          <w:iCs/>
          <w:noProof/>
          <w:szCs w:val="24"/>
          <w:lang w:eastAsia="pl-PL"/>
        </w:rPr>
        <w:t xml:space="preserve">Wokół modelu i praktyki zarządzania publicznego w Polsce. Prakseologia </w:t>
      </w:r>
      <w:r w:rsidRPr="00677132">
        <w:rPr>
          <w:rFonts w:eastAsia="Times New Roman" w:cs="Times New Roman"/>
          <w:noProof/>
          <w:szCs w:val="24"/>
          <w:lang w:eastAsia="pl-PL"/>
        </w:rPr>
        <w:t>(155), 61-83. (http://cejsh.icm.edu.pl/cejsh/element/bwmeta1.element.desklight-75d20ded-9785-4454-ab14-86083a4b0412</w:t>
      </w:r>
      <w:r w:rsidR="00250608" w:rsidRPr="00677132">
        <w:rPr>
          <w:rFonts w:eastAsia="Times New Roman" w:cs="Times New Roman"/>
          <w:noProof/>
          <w:szCs w:val="24"/>
          <w:lang w:eastAsia="pl-PL"/>
        </w:rPr>
        <w:t>)</w:t>
      </w:r>
      <w:bookmarkEnd w:id="0"/>
    </w:p>
    <w:sectPr w:rsidR="00A13C73" w:rsidRPr="00CF051D" w:rsidSect="0015412B">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073" w:rsidRDefault="00572073" w:rsidP="00067FD8">
      <w:pPr>
        <w:spacing w:line="240" w:lineRule="auto"/>
      </w:pPr>
      <w:r>
        <w:separator/>
      </w:r>
    </w:p>
  </w:endnote>
  <w:endnote w:type="continuationSeparator" w:id="0">
    <w:p w:rsidR="00572073" w:rsidRDefault="00572073" w:rsidP="00067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164840"/>
      <w:docPartObj>
        <w:docPartGallery w:val="Page Numbers (Bottom of Page)"/>
        <w:docPartUnique/>
      </w:docPartObj>
    </w:sdtPr>
    <w:sdtEndPr/>
    <w:sdtContent>
      <w:p w:rsidR="00B65D5E" w:rsidRDefault="00823863">
        <w:pPr>
          <w:pStyle w:val="Stopka"/>
          <w:jc w:val="right"/>
        </w:pPr>
        <w:r>
          <w:fldChar w:fldCharType="begin"/>
        </w:r>
        <w:r w:rsidR="00B65D5E">
          <w:instrText>PAGE   \* MERGEFORMAT</w:instrText>
        </w:r>
        <w:r>
          <w:fldChar w:fldCharType="separate"/>
        </w:r>
        <w:r w:rsidR="00E14A50">
          <w:rPr>
            <w:noProof/>
          </w:rPr>
          <w:t>21</w:t>
        </w:r>
        <w:r>
          <w:fldChar w:fldCharType="end"/>
        </w:r>
      </w:p>
    </w:sdtContent>
  </w:sdt>
  <w:p w:rsidR="00B65D5E" w:rsidRDefault="00B65D5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073" w:rsidRDefault="00572073" w:rsidP="00067FD8">
      <w:pPr>
        <w:spacing w:line="240" w:lineRule="auto"/>
      </w:pPr>
      <w:r>
        <w:separator/>
      </w:r>
    </w:p>
  </w:footnote>
  <w:footnote w:type="continuationSeparator" w:id="0">
    <w:p w:rsidR="00572073" w:rsidRDefault="00572073" w:rsidP="00067F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A63"/>
    <w:multiLevelType w:val="hybridMultilevel"/>
    <w:tmpl w:val="1CF67EBC"/>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053F7D1D"/>
    <w:multiLevelType w:val="hybridMultilevel"/>
    <w:tmpl w:val="07CEB8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7E94361"/>
    <w:multiLevelType w:val="hybridMultilevel"/>
    <w:tmpl w:val="298EBAB6"/>
    <w:lvl w:ilvl="0" w:tplc="7494D2E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2917141D"/>
    <w:multiLevelType w:val="hybridMultilevel"/>
    <w:tmpl w:val="9786831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DDA509D"/>
    <w:multiLevelType w:val="hybridMultilevel"/>
    <w:tmpl w:val="DBBC4B1C"/>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328D0949"/>
    <w:multiLevelType w:val="hybridMultilevel"/>
    <w:tmpl w:val="D6089FFC"/>
    <w:lvl w:ilvl="0" w:tplc="6ED088A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387C39E6"/>
    <w:multiLevelType w:val="hybridMultilevel"/>
    <w:tmpl w:val="F0C091D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EE21580"/>
    <w:multiLevelType w:val="hybridMultilevel"/>
    <w:tmpl w:val="0E6827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CC0142"/>
    <w:multiLevelType w:val="hybridMultilevel"/>
    <w:tmpl w:val="0B96CE0E"/>
    <w:lvl w:ilvl="0" w:tplc="40C08886">
      <w:start w:val="1"/>
      <w:numFmt w:val="decimal"/>
      <w:lvlText w:val="%1."/>
      <w:lvlJc w:val="left"/>
      <w:pPr>
        <w:ind w:left="0" w:hanging="360"/>
      </w:p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9" w15:restartNumberingAfterBreak="0">
    <w:nsid w:val="60CE7DDA"/>
    <w:multiLevelType w:val="multilevel"/>
    <w:tmpl w:val="296A1D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1F06B3"/>
    <w:multiLevelType w:val="hybridMultilevel"/>
    <w:tmpl w:val="534AD4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AD22994"/>
    <w:multiLevelType w:val="hybridMultilevel"/>
    <w:tmpl w:val="920A310C"/>
    <w:lvl w:ilvl="0" w:tplc="40C0888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
  </w:num>
  <w:num w:numId="11">
    <w:abstractNumId w:val="6"/>
  </w:num>
  <w:num w:numId="12">
    <w:abstractNumId w:val="3"/>
  </w:num>
  <w:num w:numId="13">
    <w:abstractNumId w:val="4"/>
  </w:num>
  <w:num w:numId="14">
    <w:abstractNumId w:val="8"/>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BF"/>
    <w:rsid w:val="00000D24"/>
    <w:rsid w:val="00015983"/>
    <w:rsid w:val="00047FB4"/>
    <w:rsid w:val="00062C0B"/>
    <w:rsid w:val="00065CA3"/>
    <w:rsid w:val="000674D7"/>
    <w:rsid w:val="00067FD8"/>
    <w:rsid w:val="000765C5"/>
    <w:rsid w:val="000C4974"/>
    <w:rsid w:val="000D5F0F"/>
    <w:rsid w:val="000F22BE"/>
    <w:rsid w:val="00114368"/>
    <w:rsid w:val="0013018E"/>
    <w:rsid w:val="0014133B"/>
    <w:rsid w:val="0015412B"/>
    <w:rsid w:val="00176C53"/>
    <w:rsid w:val="00180D03"/>
    <w:rsid w:val="001A2F6C"/>
    <w:rsid w:val="001A73D9"/>
    <w:rsid w:val="001C302F"/>
    <w:rsid w:val="001D7D54"/>
    <w:rsid w:val="001E0815"/>
    <w:rsid w:val="001F3A53"/>
    <w:rsid w:val="001F48C4"/>
    <w:rsid w:val="00203B75"/>
    <w:rsid w:val="002301CF"/>
    <w:rsid w:val="00233AAC"/>
    <w:rsid w:val="00235D92"/>
    <w:rsid w:val="0023642C"/>
    <w:rsid w:val="0024156D"/>
    <w:rsid w:val="00250608"/>
    <w:rsid w:val="00263AEF"/>
    <w:rsid w:val="002651C5"/>
    <w:rsid w:val="00297CBF"/>
    <w:rsid w:val="002A04E4"/>
    <w:rsid w:val="002A4256"/>
    <w:rsid w:val="002C633E"/>
    <w:rsid w:val="0031446D"/>
    <w:rsid w:val="00323F16"/>
    <w:rsid w:val="00337819"/>
    <w:rsid w:val="00362C42"/>
    <w:rsid w:val="00370630"/>
    <w:rsid w:val="00374FD2"/>
    <w:rsid w:val="003840DF"/>
    <w:rsid w:val="00394B86"/>
    <w:rsid w:val="003A709B"/>
    <w:rsid w:val="003A78A7"/>
    <w:rsid w:val="003B30B4"/>
    <w:rsid w:val="003B7C92"/>
    <w:rsid w:val="003D2B5E"/>
    <w:rsid w:val="003E18D9"/>
    <w:rsid w:val="003E5EB7"/>
    <w:rsid w:val="003E67DE"/>
    <w:rsid w:val="003F6F8B"/>
    <w:rsid w:val="004026FE"/>
    <w:rsid w:val="00426AA9"/>
    <w:rsid w:val="0043064B"/>
    <w:rsid w:val="004401E3"/>
    <w:rsid w:val="004453B3"/>
    <w:rsid w:val="004509C4"/>
    <w:rsid w:val="004513B5"/>
    <w:rsid w:val="00454F87"/>
    <w:rsid w:val="0049010A"/>
    <w:rsid w:val="00490254"/>
    <w:rsid w:val="00495BCC"/>
    <w:rsid w:val="004A1958"/>
    <w:rsid w:val="004A739B"/>
    <w:rsid w:val="004C2365"/>
    <w:rsid w:val="004C299E"/>
    <w:rsid w:val="004C639D"/>
    <w:rsid w:val="004C743A"/>
    <w:rsid w:val="004D0A27"/>
    <w:rsid w:val="004D3766"/>
    <w:rsid w:val="004F0D9C"/>
    <w:rsid w:val="0050734C"/>
    <w:rsid w:val="005125B6"/>
    <w:rsid w:val="00513D54"/>
    <w:rsid w:val="00526094"/>
    <w:rsid w:val="005606BC"/>
    <w:rsid w:val="00572073"/>
    <w:rsid w:val="005B1BC9"/>
    <w:rsid w:val="005D2548"/>
    <w:rsid w:val="005E27E4"/>
    <w:rsid w:val="005F377E"/>
    <w:rsid w:val="00604CF7"/>
    <w:rsid w:val="00621E95"/>
    <w:rsid w:val="0064087A"/>
    <w:rsid w:val="00640A1C"/>
    <w:rsid w:val="006444F3"/>
    <w:rsid w:val="00646353"/>
    <w:rsid w:val="0066257D"/>
    <w:rsid w:val="00674B12"/>
    <w:rsid w:val="00675847"/>
    <w:rsid w:val="00677132"/>
    <w:rsid w:val="00697410"/>
    <w:rsid w:val="006A435F"/>
    <w:rsid w:val="006C0F28"/>
    <w:rsid w:val="006C42F9"/>
    <w:rsid w:val="00746543"/>
    <w:rsid w:val="00787B77"/>
    <w:rsid w:val="007A3F78"/>
    <w:rsid w:val="007C505E"/>
    <w:rsid w:val="007D024A"/>
    <w:rsid w:val="007F139D"/>
    <w:rsid w:val="00814B68"/>
    <w:rsid w:val="00820065"/>
    <w:rsid w:val="00823863"/>
    <w:rsid w:val="00833F4D"/>
    <w:rsid w:val="00841763"/>
    <w:rsid w:val="0084661F"/>
    <w:rsid w:val="00850898"/>
    <w:rsid w:val="008508DD"/>
    <w:rsid w:val="00856CD1"/>
    <w:rsid w:val="0088627F"/>
    <w:rsid w:val="008A3979"/>
    <w:rsid w:val="008B45A7"/>
    <w:rsid w:val="008D4054"/>
    <w:rsid w:val="00911574"/>
    <w:rsid w:val="0093426A"/>
    <w:rsid w:val="009370EC"/>
    <w:rsid w:val="00963C91"/>
    <w:rsid w:val="009760FC"/>
    <w:rsid w:val="00993D50"/>
    <w:rsid w:val="00995EB4"/>
    <w:rsid w:val="009A3F9E"/>
    <w:rsid w:val="009B22F1"/>
    <w:rsid w:val="009B29E1"/>
    <w:rsid w:val="009B3066"/>
    <w:rsid w:val="009B3150"/>
    <w:rsid w:val="009D0316"/>
    <w:rsid w:val="00A13C73"/>
    <w:rsid w:val="00A1721D"/>
    <w:rsid w:val="00A77B26"/>
    <w:rsid w:val="00AA3AB2"/>
    <w:rsid w:val="00AA3DCA"/>
    <w:rsid w:val="00AA6BC1"/>
    <w:rsid w:val="00AA73DF"/>
    <w:rsid w:val="00AB07B0"/>
    <w:rsid w:val="00AB5DE3"/>
    <w:rsid w:val="00AB63A3"/>
    <w:rsid w:val="00AE0484"/>
    <w:rsid w:val="00AE3751"/>
    <w:rsid w:val="00B02E23"/>
    <w:rsid w:val="00B06486"/>
    <w:rsid w:val="00B17D10"/>
    <w:rsid w:val="00B22586"/>
    <w:rsid w:val="00B52295"/>
    <w:rsid w:val="00B65D5E"/>
    <w:rsid w:val="00B83661"/>
    <w:rsid w:val="00B8628F"/>
    <w:rsid w:val="00B9013D"/>
    <w:rsid w:val="00B91EAC"/>
    <w:rsid w:val="00B9202D"/>
    <w:rsid w:val="00BA00FA"/>
    <w:rsid w:val="00BA3681"/>
    <w:rsid w:val="00BB3B4B"/>
    <w:rsid w:val="00BC3C9B"/>
    <w:rsid w:val="00BD11DB"/>
    <w:rsid w:val="00BD3F0B"/>
    <w:rsid w:val="00BE32D8"/>
    <w:rsid w:val="00C01695"/>
    <w:rsid w:val="00C03FD6"/>
    <w:rsid w:val="00C143CD"/>
    <w:rsid w:val="00C24C86"/>
    <w:rsid w:val="00C303AD"/>
    <w:rsid w:val="00C47A0F"/>
    <w:rsid w:val="00C52870"/>
    <w:rsid w:val="00C76B84"/>
    <w:rsid w:val="00C9730A"/>
    <w:rsid w:val="00CA4316"/>
    <w:rsid w:val="00CE22CC"/>
    <w:rsid w:val="00CE2988"/>
    <w:rsid w:val="00CF051D"/>
    <w:rsid w:val="00D14878"/>
    <w:rsid w:val="00D15EAD"/>
    <w:rsid w:val="00D26378"/>
    <w:rsid w:val="00D37E97"/>
    <w:rsid w:val="00D41207"/>
    <w:rsid w:val="00D77E31"/>
    <w:rsid w:val="00DD4134"/>
    <w:rsid w:val="00E14A50"/>
    <w:rsid w:val="00E202F9"/>
    <w:rsid w:val="00E22407"/>
    <w:rsid w:val="00E257DD"/>
    <w:rsid w:val="00E266D6"/>
    <w:rsid w:val="00E50214"/>
    <w:rsid w:val="00E51875"/>
    <w:rsid w:val="00E63D1B"/>
    <w:rsid w:val="00E66F4C"/>
    <w:rsid w:val="00E759A0"/>
    <w:rsid w:val="00E802B2"/>
    <w:rsid w:val="00EA2CEC"/>
    <w:rsid w:val="00EC76DC"/>
    <w:rsid w:val="00ED1166"/>
    <w:rsid w:val="00EE3825"/>
    <w:rsid w:val="00F27BCD"/>
    <w:rsid w:val="00F42861"/>
    <w:rsid w:val="00F5199F"/>
    <w:rsid w:val="00F57839"/>
    <w:rsid w:val="00F617D1"/>
    <w:rsid w:val="00F62A2A"/>
    <w:rsid w:val="00F73AA6"/>
    <w:rsid w:val="00F77D8C"/>
    <w:rsid w:val="00F80904"/>
    <w:rsid w:val="00F83A69"/>
    <w:rsid w:val="00F84D2D"/>
    <w:rsid w:val="00FA6E37"/>
    <w:rsid w:val="00FB7D2C"/>
    <w:rsid w:val="00FD4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EC50"/>
  <w15:docId w15:val="{7823CEA4-9E06-4A9E-9659-2636A622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7CBF"/>
    <w:pPr>
      <w:spacing w:after="0" w:line="360" w:lineRule="auto"/>
      <w:jc w:val="both"/>
    </w:pPr>
    <w:rPr>
      <w:rFonts w:ascii="Times New Roman" w:eastAsiaTheme="minorEastAsia" w:hAnsi="Times New Roman"/>
      <w:sz w:val="24"/>
    </w:rPr>
  </w:style>
  <w:style w:type="paragraph" w:styleId="Nagwek1">
    <w:name w:val="heading 1"/>
    <w:basedOn w:val="Normalny"/>
    <w:next w:val="Normalny"/>
    <w:link w:val="Nagwek1Znak"/>
    <w:uiPriority w:val="9"/>
    <w:qFormat/>
    <w:rsid w:val="00235D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unhideWhenUsed/>
    <w:qFormat/>
    <w:rsid w:val="00297CBF"/>
    <w:pPr>
      <w:spacing w:before="100" w:beforeAutospacing="1" w:after="100" w:afterAutospacing="1" w:line="240" w:lineRule="auto"/>
      <w:jc w:val="left"/>
      <w:outlineLvl w:val="1"/>
    </w:pPr>
    <w:rPr>
      <w:rFonts w:eastAsia="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97CBF"/>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297CBF"/>
    <w:rPr>
      <w:color w:val="0000FF"/>
      <w:u w:val="single"/>
    </w:rPr>
  </w:style>
  <w:style w:type="paragraph" w:styleId="NormalnyWeb">
    <w:name w:val="Normal (Web)"/>
    <w:basedOn w:val="Normalny"/>
    <w:uiPriority w:val="99"/>
    <w:semiHidden/>
    <w:unhideWhenUsed/>
    <w:rsid w:val="00297CBF"/>
    <w:pPr>
      <w:spacing w:before="100" w:beforeAutospacing="1" w:after="100" w:afterAutospacing="1" w:line="240" w:lineRule="auto"/>
      <w:jc w:val="left"/>
    </w:pPr>
    <w:rPr>
      <w:rFonts w:eastAsia="Times New Roman" w:cs="Times New Roman"/>
      <w:szCs w:val="24"/>
      <w:lang w:eastAsia="pl-PL"/>
    </w:rPr>
  </w:style>
  <w:style w:type="paragraph" w:styleId="Akapitzlist">
    <w:name w:val="List Paragraph"/>
    <w:basedOn w:val="Normalny"/>
    <w:uiPriority w:val="34"/>
    <w:qFormat/>
    <w:rsid w:val="00297CBF"/>
    <w:pPr>
      <w:ind w:left="720"/>
      <w:contextualSpacing/>
    </w:pPr>
  </w:style>
  <w:style w:type="paragraph" w:customStyle="1" w:styleId="gwpc823ce06msonormal">
    <w:name w:val="gwpc823ce06_msonormal"/>
    <w:basedOn w:val="Normalny"/>
    <w:rsid w:val="00297CBF"/>
    <w:pPr>
      <w:spacing w:before="100" w:beforeAutospacing="1" w:after="100" w:afterAutospacing="1" w:line="240" w:lineRule="auto"/>
      <w:jc w:val="left"/>
    </w:pPr>
    <w:rPr>
      <w:rFonts w:eastAsia="Times New Roman" w:cs="Times New Roman"/>
      <w:szCs w:val="24"/>
      <w:lang w:eastAsia="pl-PL"/>
    </w:rPr>
  </w:style>
  <w:style w:type="paragraph" w:customStyle="1" w:styleId="gwpc823ce06msolistparagraph">
    <w:name w:val="gwpc823ce06_msolistparagraph"/>
    <w:basedOn w:val="Normalny"/>
    <w:uiPriority w:val="99"/>
    <w:rsid w:val="00297CBF"/>
    <w:pPr>
      <w:spacing w:before="100" w:beforeAutospacing="1" w:after="100" w:afterAutospacing="1" w:line="240" w:lineRule="auto"/>
      <w:jc w:val="left"/>
    </w:pPr>
    <w:rPr>
      <w:rFonts w:eastAsia="Times New Roman" w:cs="Times New Roman"/>
      <w:szCs w:val="24"/>
      <w:lang w:eastAsia="pl-PL"/>
    </w:rPr>
  </w:style>
  <w:style w:type="character" w:styleId="Odwoaniedokomentarza">
    <w:name w:val="annotation reference"/>
    <w:basedOn w:val="Domylnaczcionkaakapitu"/>
    <w:uiPriority w:val="99"/>
    <w:semiHidden/>
    <w:unhideWhenUsed/>
    <w:rsid w:val="00297CBF"/>
    <w:rPr>
      <w:sz w:val="16"/>
      <w:szCs w:val="16"/>
    </w:rPr>
  </w:style>
  <w:style w:type="paragraph" w:styleId="Tekstkomentarza">
    <w:name w:val="annotation text"/>
    <w:basedOn w:val="Normalny"/>
    <w:link w:val="TekstkomentarzaZnak"/>
    <w:uiPriority w:val="99"/>
    <w:semiHidden/>
    <w:unhideWhenUsed/>
    <w:rsid w:val="00297C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7CBF"/>
    <w:rPr>
      <w:rFonts w:ascii="Times New Roman" w:eastAsiaTheme="minorEastAsia" w:hAnsi="Times New Roman"/>
      <w:sz w:val="20"/>
      <w:szCs w:val="20"/>
    </w:rPr>
  </w:style>
  <w:style w:type="paragraph" w:styleId="Tekstdymka">
    <w:name w:val="Balloon Text"/>
    <w:basedOn w:val="Normalny"/>
    <w:link w:val="TekstdymkaZnak"/>
    <w:uiPriority w:val="99"/>
    <w:semiHidden/>
    <w:unhideWhenUsed/>
    <w:rsid w:val="0001598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5983"/>
    <w:rPr>
      <w:rFonts w:ascii="Tahoma" w:eastAsiaTheme="minorEastAsia" w:hAnsi="Tahoma" w:cs="Tahoma"/>
      <w:sz w:val="16"/>
      <w:szCs w:val="16"/>
    </w:rPr>
  </w:style>
  <w:style w:type="paragraph" w:styleId="Nagwek">
    <w:name w:val="header"/>
    <w:basedOn w:val="Normalny"/>
    <w:link w:val="NagwekZnak"/>
    <w:uiPriority w:val="99"/>
    <w:unhideWhenUsed/>
    <w:rsid w:val="00067FD8"/>
    <w:pPr>
      <w:tabs>
        <w:tab w:val="center" w:pos="4536"/>
        <w:tab w:val="right" w:pos="9072"/>
      </w:tabs>
      <w:spacing w:line="240" w:lineRule="auto"/>
    </w:pPr>
  </w:style>
  <w:style w:type="character" w:customStyle="1" w:styleId="NagwekZnak">
    <w:name w:val="Nagłówek Znak"/>
    <w:basedOn w:val="Domylnaczcionkaakapitu"/>
    <w:link w:val="Nagwek"/>
    <w:uiPriority w:val="99"/>
    <w:rsid w:val="00067FD8"/>
    <w:rPr>
      <w:rFonts w:ascii="Times New Roman" w:eastAsiaTheme="minorEastAsia" w:hAnsi="Times New Roman"/>
      <w:sz w:val="24"/>
    </w:rPr>
  </w:style>
  <w:style w:type="paragraph" w:styleId="Stopka">
    <w:name w:val="footer"/>
    <w:basedOn w:val="Normalny"/>
    <w:link w:val="StopkaZnak"/>
    <w:uiPriority w:val="99"/>
    <w:unhideWhenUsed/>
    <w:rsid w:val="00067FD8"/>
    <w:pPr>
      <w:tabs>
        <w:tab w:val="center" w:pos="4536"/>
        <w:tab w:val="right" w:pos="9072"/>
      </w:tabs>
      <w:spacing w:line="240" w:lineRule="auto"/>
    </w:pPr>
  </w:style>
  <w:style w:type="character" w:customStyle="1" w:styleId="StopkaZnak">
    <w:name w:val="Stopka Znak"/>
    <w:basedOn w:val="Domylnaczcionkaakapitu"/>
    <w:link w:val="Stopka"/>
    <w:uiPriority w:val="99"/>
    <w:rsid w:val="00067FD8"/>
    <w:rPr>
      <w:rFonts w:ascii="Times New Roman" w:eastAsiaTheme="minorEastAsia" w:hAnsi="Times New Roman"/>
      <w:sz w:val="24"/>
    </w:rPr>
  </w:style>
  <w:style w:type="paragraph" w:styleId="Tematkomentarza">
    <w:name w:val="annotation subject"/>
    <w:basedOn w:val="Tekstkomentarza"/>
    <w:next w:val="Tekstkomentarza"/>
    <w:link w:val="TematkomentarzaZnak"/>
    <w:uiPriority w:val="99"/>
    <w:semiHidden/>
    <w:unhideWhenUsed/>
    <w:rsid w:val="00F84D2D"/>
    <w:rPr>
      <w:b/>
      <w:bCs/>
    </w:rPr>
  </w:style>
  <w:style w:type="character" w:customStyle="1" w:styleId="TematkomentarzaZnak">
    <w:name w:val="Temat komentarza Znak"/>
    <w:basedOn w:val="TekstkomentarzaZnak"/>
    <w:link w:val="Tematkomentarza"/>
    <w:uiPriority w:val="99"/>
    <w:semiHidden/>
    <w:rsid w:val="00F84D2D"/>
    <w:rPr>
      <w:rFonts w:ascii="Times New Roman" w:eastAsiaTheme="minorEastAsia" w:hAnsi="Times New Roman"/>
      <w:b/>
      <w:bCs/>
      <w:sz w:val="20"/>
      <w:szCs w:val="20"/>
    </w:rPr>
  </w:style>
  <w:style w:type="character" w:styleId="Pogrubienie">
    <w:name w:val="Strong"/>
    <w:basedOn w:val="Domylnaczcionkaakapitu"/>
    <w:uiPriority w:val="22"/>
    <w:qFormat/>
    <w:rsid w:val="00235D92"/>
    <w:rPr>
      <w:b/>
      <w:bCs/>
    </w:rPr>
  </w:style>
  <w:style w:type="character" w:customStyle="1" w:styleId="publication-date">
    <w:name w:val="publication-date"/>
    <w:basedOn w:val="Domylnaczcionkaakapitu"/>
    <w:rsid w:val="00235D92"/>
  </w:style>
  <w:style w:type="character" w:customStyle="1" w:styleId="Nagwek1Znak">
    <w:name w:val="Nagłówek 1 Znak"/>
    <w:basedOn w:val="Domylnaczcionkaakapitu"/>
    <w:link w:val="Nagwek1"/>
    <w:uiPriority w:val="9"/>
    <w:rsid w:val="00235D92"/>
    <w:rPr>
      <w:rFonts w:asciiTheme="majorHAnsi" w:eastAsiaTheme="majorEastAsia" w:hAnsiTheme="majorHAnsi" w:cstheme="majorBidi"/>
      <w:color w:val="2E74B5" w:themeColor="accent1" w:themeShade="BF"/>
      <w:sz w:val="32"/>
      <w:szCs w:val="32"/>
    </w:rPr>
  </w:style>
  <w:style w:type="character" w:customStyle="1" w:styleId="exlresultdetails">
    <w:name w:val="exlresultdetails"/>
    <w:basedOn w:val="Domylnaczcionkaakapitu"/>
    <w:rsid w:val="00235D92"/>
  </w:style>
  <w:style w:type="character" w:customStyle="1" w:styleId="inlineblock">
    <w:name w:val="inlineblock"/>
    <w:basedOn w:val="Domylnaczcionkaakapitu"/>
    <w:rsid w:val="00235D92"/>
  </w:style>
  <w:style w:type="character" w:styleId="UyteHipercze">
    <w:name w:val="FollowedHyperlink"/>
    <w:basedOn w:val="Domylnaczcionkaakapitu"/>
    <w:uiPriority w:val="99"/>
    <w:semiHidden/>
    <w:unhideWhenUsed/>
    <w:rsid w:val="00640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6755">
      <w:bodyDiv w:val="1"/>
      <w:marLeft w:val="0"/>
      <w:marRight w:val="0"/>
      <w:marTop w:val="0"/>
      <w:marBottom w:val="0"/>
      <w:divBdr>
        <w:top w:val="none" w:sz="0" w:space="0" w:color="auto"/>
        <w:left w:val="none" w:sz="0" w:space="0" w:color="auto"/>
        <w:bottom w:val="none" w:sz="0" w:space="0" w:color="auto"/>
        <w:right w:val="none" w:sz="0" w:space="0" w:color="auto"/>
      </w:divBdr>
    </w:div>
    <w:div w:id="17690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andfonline-1com-10008a1060147.han.bg.umcs.edu.pl/author/Crosby%2C+Barbara+C" TargetMode="External"/><Relationship Id="rId13" Type="http://schemas.openxmlformats.org/officeDocument/2006/relationships/hyperlink" Target="https://www-1tandfonline-1com-10008a1060147.han.bg.umcs.edu.pl/author/Crosby%2C+Barbara+C" TargetMode="External"/><Relationship Id="rId18" Type="http://schemas.openxmlformats.org/officeDocument/2006/relationships/hyperlink" Target="https://www.researchgate.net/deref/http%3A%2F%2Fdx.doi.org%2F10.1007%2Fs10464-014-9677-8?_sg%5B0%5D=TxrFZ3uVha35FeJquVBXMLbwOr332uQPsNfxVwv2leTpq8_Gecb3Ou7iCCzlRMzsFQ7Ya4oUeMOlKdG64EwaBekbdA.EZ0GCCLyiVB8OfHZyqk1uVIlLhTxsUoBZzQguVN7jBo1qxQXJmVTX5NQ5SGPtJWsoz_bFBrLq339D88SaLWuNg" TargetMode="External"/><Relationship Id="rId3" Type="http://schemas.openxmlformats.org/officeDocument/2006/relationships/styles" Target="styles.xml"/><Relationship Id="rId21" Type="http://schemas.openxmlformats.org/officeDocument/2006/relationships/hyperlink" Target="https://sciprofiles.com/profile/author/OW5pMGd2V2VwQ3R0dXhSZ3Bqd2Y0YjE5Y2J1dkVkemZzQTV3bkorSktQOD0=" TargetMode="External"/><Relationship Id="rId7" Type="http://schemas.openxmlformats.org/officeDocument/2006/relationships/endnotes" Target="endnotes.xml"/><Relationship Id="rId12" Type="http://schemas.openxmlformats.org/officeDocument/2006/relationships/hyperlink" Target="https://sciprofiles.com/profile/author/OW5pMGd2V2VwQ3R0dXhSZ3Bqd2Y0YjE5Y2J1dkVkemZzQTV3bkorSktQOD0=" TargetMode="External"/><Relationship Id="rId17" Type="http://schemas.openxmlformats.org/officeDocument/2006/relationships/hyperlink" Target="https://www.jstor.org/publisher/georgetownupres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1900690902749578" TargetMode="External"/><Relationship Id="rId20" Type="http://schemas.openxmlformats.org/officeDocument/2006/relationships/hyperlink" Target="https://sciprofiles.com/profile/5335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profiles.com/profile/53356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tandfonline-1com-10008a1060147.han.bg.umcs.edu.pl/author/Torfing%2C+Jacob" TargetMode="External"/><Relationship Id="rId23" Type="http://schemas.openxmlformats.org/officeDocument/2006/relationships/footer" Target="footer1.xml"/><Relationship Id="rId10" Type="http://schemas.openxmlformats.org/officeDocument/2006/relationships/hyperlink" Target="https://www-1tandfonline-1com-10008a1060147.han.bg.umcs.edu.pl/author/Torfing%2C+Jacob" TargetMode="External"/><Relationship Id="rId19" Type="http://schemas.openxmlformats.org/officeDocument/2006/relationships/hyperlink" Target="https://www.researchgate.net/deref/http%3A%2F%2Fdx.doi.org%2F10.1080%2F14719037.2016.1192165?_sg%5B0%5D=BtWASyzD8x1YhmaCfoRAFA_13rbdLpS3sGwCN69n1bskIZAZCP2IA-lMWRssDONUCo4PJQgYMC-s0vorn0yjV5hazA.vJmf_swse7YZ8tuJRd7gT1RINBYOeCYhxOLRQ6bp0frgoueCmhu62C6rrbEaPJzpFaf1s3Ets8WfClRh1uoMPw" TargetMode="External"/><Relationship Id="rId4" Type="http://schemas.openxmlformats.org/officeDocument/2006/relationships/settings" Target="settings.xml"/><Relationship Id="rId9" Type="http://schemas.openxmlformats.org/officeDocument/2006/relationships/hyperlink" Target="https://www-1tandfonline-1com-10008a1060147.han.bg.umcs.edu.pl/author/%27t+Hart%2C+Paul" TargetMode="External"/><Relationship Id="rId14" Type="http://schemas.openxmlformats.org/officeDocument/2006/relationships/hyperlink" Target="https://www-1tandfonline-1com-10008a1060147.han.bg.umcs.edu.pl/author/%27t+Hart%2C+Paul" TargetMode="External"/><Relationship Id="rId22" Type="http://schemas.openxmlformats.org/officeDocument/2006/relationships/hyperlink" Target="https://www.researchgate.net/deref/http%3A%2F%2Fdx.doi.org%2F10.5771%2F0344-9777-2019-1-2-13?_sg%5B0%5D=Gsph-P-o-5AYTSov98h8MJCY3K8b73hsBIC6XH3NtHh-XbKgvzHrA6uxlSUE15pE_DwdxCHIyCQnEMTXlcAXqjNf-g.MY4LjxDgasEb-j62d7icybkOPuOjfYMoCOv381wwRkklBAeW0ay7QVU8Nusd2twSw4B54TDbTAa0kOJ0mxl99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50B73-6EB0-446F-B72F-8953144F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9654</Words>
  <Characters>57924</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umcs</dc:creator>
  <cp:lastModifiedBy>umcs</cp:lastModifiedBy>
  <cp:revision>3</cp:revision>
  <dcterms:created xsi:type="dcterms:W3CDTF">2022-06-07T15:15:00Z</dcterms:created>
  <dcterms:modified xsi:type="dcterms:W3CDTF">2022-06-07T15:57:00Z</dcterms:modified>
</cp:coreProperties>
</file>