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9620" w14:textId="4DA9F307" w:rsidR="00174F47" w:rsidRDefault="003274DB" w:rsidP="000F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0186">
        <w:rPr>
          <w:rFonts w:ascii="Times New Roman" w:eastAsia="Times New Roman" w:hAnsi="Times New Roman" w:cs="Times New Roman"/>
          <w:sz w:val="20"/>
          <w:szCs w:val="20"/>
        </w:rPr>
        <w:t>DR JUSTYNA RYBACKA</w:t>
      </w:r>
    </w:p>
    <w:p w14:paraId="3FD23263" w14:textId="6FA80DDC" w:rsidR="00250186" w:rsidRPr="00250186" w:rsidRDefault="00250186" w:rsidP="000F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j</w:t>
      </w:r>
      <w:r w:rsidRPr="00250186">
        <w:rPr>
          <w:rFonts w:ascii="Times New Roman" w:eastAsia="Times New Roman" w:hAnsi="Times New Roman" w:cs="Times New Roman"/>
          <w:sz w:val="16"/>
          <w:szCs w:val="16"/>
        </w:rPr>
        <w:t>ustyna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50186">
        <w:rPr>
          <w:rFonts w:ascii="Times New Roman" w:eastAsia="Times New Roman" w:hAnsi="Times New Roman" w:cs="Times New Roman"/>
          <w:sz w:val="16"/>
          <w:szCs w:val="16"/>
        </w:rPr>
        <w:t>rybacka@gdansk.</w:t>
      </w:r>
      <w:r>
        <w:rPr>
          <w:rFonts w:ascii="Times New Roman" w:eastAsia="Times New Roman" w:hAnsi="Times New Roman" w:cs="Times New Roman"/>
          <w:sz w:val="16"/>
          <w:szCs w:val="16"/>
        </w:rPr>
        <w:t>merito.</w:t>
      </w:r>
      <w:r w:rsidRPr="00250186">
        <w:rPr>
          <w:rFonts w:ascii="Times New Roman" w:eastAsia="Times New Roman" w:hAnsi="Times New Roman" w:cs="Times New Roman"/>
          <w:sz w:val="16"/>
          <w:szCs w:val="16"/>
        </w:rPr>
        <w:t>pl</w:t>
      </w:r>
    </w:p>
    <w:p w14:paraId="02673F1C" w14:textId="7C7A6B1C" w:rsidR="00250186" w:rsidRPr="00250186" w:rsidRDefault="00C65B65" w:rsidP="000F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0186">
        <w:rPr>
          <w:rFonts w:ascii="Times New Roman" w:eastAsia="Times New Roman" w:hAnsi="Times New Roman" w:cs="Times New Roman"/>
          <w:sz w:val="16"/>
          <w:szCs w:val="16"/>
        </w:rPr>
        <w:t xml:space="preserve">WSB </w:t>
      </w:r>
      <w:r w:rsidR="003274DB" w:rsidRPr="00250186">
        <w:rPr>
          <w:rFonts w:ascii="Times New Roman" w:eastAsia="Times New Roman" w:hAnsi="Times New Roman" w:cs="Times New Roman"/>
          <w:sz w:val="16"/>
          <w:szCs w:val="16"/>
        </w:rPr>
        <w:t>UNIVERSITY MERITO IN GDAŃSK</w:t>
      </w:r>
      <w:r w:rsidR="00250186" w:rsidRPr="00250186">
        <w:rPr>
          <w:rFonts w:ascii="Times New Roman" w:hAnsi="Times New Roman" w:cs="Times New Roman"/>
          <w:sz w:val="16"/>
          <w:szCs w:val="16"/>
        </w:rPr>
        <w:br/>
      </w:r>
      <w:r w:rsidR="00250186" w:rsidRPr="00250186">
        <w:rPr>
          <w:rFonts w:ascii="Times New Roman" w:hAnsi="Times New Roman" w:cs="Times New Roman"/>
          <w:sz w:val="16"/>
          <w:szCs w:val="16"/>
          <w:shd w:val="clear" w:color="auto" w:fill="FFFFFF"/>
        </w:rPr>
        <w:t>AL. GRUNWALDZKA 238A | 80-266 GDAŃSK</w:t>
      </w:r>
    </w:p>
    <w:p w14:paraId="0F0FE7D8" w14:textId="4487EA5C" w:rsidR="003274DB" w:rsidRDefault="003274DB" w:rsidP="000F7328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0186">
        <w:rPr>
          <w:rFonts w:ascii="Times New Roman" w:eastAsia="Times New Roman" w:hAnsi="Times New Roman" w:cs="Times New Roman"/>
          <w:sz w:val="16"/>
          <w:szCs w:val="16"/>
        </w:rPr>
        <w:t xml:space="preserve">ORCID: </w:t>
      </w:r>
      <w:hyperlink r:id="rId8">
        <w:r w:rsidRPr="00250186">
          <w:rPr>
            <w:rFonts w:ascii="Times New Roman" w:eastAsia="Times New Roman" w:hAnsi="Times New Roman" w:cs="Times New Roman"/>
            <w:sz w:val="16"/>
            <w:szCs w:val="16"/>
          </w:rPr>
          <w:t>0009-0005-8559-344</w:t>
        </w:r>
      </w:hyperlink>
    </w:p>
    <w:p w14:paraId="0CC74C7C" w14:textId="77777777" w:rsidR="000F7328" w:rsidRDefault="000F7328" w:rsidP="000F7328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BFB00DF" w14:textId="77777777" w:rsidR="000F7328" w:rsidRPr="00250186" w:rsidRDefault="000F7328" w:rsidP="000F7328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384193B" w14:textId="73111B1C" w:rsidR="003274DB" w:rsidRPr="003274DB" w:rsidRDefault="003274DB" w:rsidP="003274DB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eal </w:t>
      </w:r>
      <w:proofErr w:type="spellStart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>estate</w:t>
      </w:r>
      <w:proofErr w:type="spellEnd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 investment </w:t>
      </w:r>
      <w:proofErr w:type="spellStart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>instruments</w:t>
      </w:r>
      <w:proofErr w:type="spellEnd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>poland</w:t>
      </w:r>
      <w:proofErr w:type="spellEnd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>between</w:t>
      </w:r>
      <w:proofErr w:type="spellEnd"/>
      <w:r w:rsidR="000F7328"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274DB">
        <w:rPr>
          <w:rFonts w:ascii="Times New Roman" w:eastAsia="Times New Roman" w:hAnsi="Times New Roman" w:cs="Times New Roman"/>
          <w:i/>
          <w:iCs/>
          <w:sz w:val="24"/>
          <w:szCs w:val="24"/>
        </w:rPr>
        <w:t>2020-2023</w:t>
      </w:r>
    </w:p>
    <w:p w14:paraId="2B1EB149" w14:textId="77777777" w:rsidR="003274DB" w:rsidRPr="003274DB" w:rsidRDefault="003274DB" w:rsidP="003274DB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CCD78DC" w14:textId="2B52E15A" w:rsidR="00174F47" w:rsidRPr="00F759C9" w:rsidRDefault="002C0E62" w:rsidP="000F732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F759C9">
        <w:rPr>
          <w:rFonts w:ascii="Times New Roman" w:hAnsi="Times New Roman" w:cs="Times New Roman"/>
          <w:b/>
          <w:bCs/>
          <w:color w:val="000000"/>
          <w:sz w:val="16"/>
          <w:szCs w:val="16"/>
        </w:rPr>
        <w:t>Keywords</w:t>
      </w:r>
      <w:proofErr w:type="spellEnd"/>
      <w:r w:rsidRPr="00F759C9">
        <w:rPr>
          <w:rFonts w:ascii="Times New Roman" w:hAnsi="Times New Roman" w:cs="Times New Roman"/>
          <w:color w:val="000000"/>
          <w:sz w:val="16"/>
          <w:szCs w:val="16"/>
        </w:rPr>
        <w:t xml:space="preserve">: real </w:t>
      </w:r>
      <w:proofErr w:type="spellStart"/>
      <w:r w:rsidRPr="00F759C9">
        <w:rPr>
          <w:rFonts w:ascii="Times New Roman" w:hAnsi="Times New Roman" w:cs="Times New Roman"/>
          <w:color w:val="000000"/>
          <w:sz w:val="16"/>
          <w:szCs w:val="16"/>
        </w:rPr>
        <w:t>estate</w:t>
      </w:r>
      <w:proofErr w:type="spellEnd"/>
      <w:r w:rsidRPr="00F759C9">
        <w:rPr>
          <w:rFonts w:ascii="Times New Roman" w:hAnsi="Times New Roman" w:cs="Times New Roman"/>
          <w:color w:val="000000"/>
          <w:sz w:val="16"/>
          <w:szCs w:val="16"/>
        </w:rPr>
        <w:t xml:space="preserve">; investment </w:t>
      </w:r>
      <w:proofErr w:type="spellStart"/>
      <w:r w:rsidRPr="00F759C9">
        <w:rPr>
          <w:rFonts w:ascii="Times New Roman" w:hAnsi="Times New Roman" w:cs="Times New Roman"/>
          <w:color w:val="000000"/>
          <w:sz w:val="16"/>
          <w:szCs w:val="16"/>
        </w:rPr>
        <w:t>instruments</w:t>
      </w:r>
      <w:proofErr w:type="spellEnd"/>
      <w:r w:rsidRPr="00F759C9">
        <w:rPr>
          <w:rFonts w:ascii="Times New Roman" w:hAnsi="Times New Roman" w:cs="Times New Roman"/>
          <w:color w:val="000000"/>
          <w:sz w:val="16"/>
          <w:szCs w:val="16"/>
        </w:rPr>
        <w:t xml:space="preserve">; </w:t>
      </w:r>
      <w:proofErr w:type="spellStart"/>
      <w:r w:rsidRPr="00F759C9">
        <w:rPr>
          <w:rFonts w:ascii="Times New Roman" w:hAnsi="Times New Roman" w:cs="Times New Roman"/>
          <w:color w:val="000000"/>
          <w:sz w:val="16"/>
          <w:szCs w:val="16"/>
        </w:rPr>
        <w:t>property</w:t>
      </w:r>
      <w:proofErr w:type="spellEnd"/>
    </w:p>
    <w:p w14:paraId="09F5FC51" w14:textId="30C58D23" w:rsidR="002C0E62" w:rsidRPr="00F759C9" w:rsidRDefault="002C0E62" w:rsidP="000F732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759C9">
        <w:rPr>
          <w:rFonts w:ascii="Times New Roman" w:hAnsi="Times New Roman" w:cs="Times New Roman"/>
          <w:b/>
          <w:bCs/>
          <w:color w:val="000000"/>
          <w:sz w:val="16"/>
          <w:szCs w:val="16"/>
        </w:rPr>
        <w:t>JEL:</w:t>
      </w:r>
      <w:r w:rsidR="00AD539C" w:rsidRPr="00F759C9">
        <w:rPr>
          <w:rFonts w:ascii="Times New Roman" w:hAnsi="Times New Roman" w:cs="Times New Roman"/>
          <w:color w:val="000000"/>
          <w:sz w:val="16"/>
          <w:szCs w:val="16"/>
        </w:rPr>
        <w:t xml:space="preserve"> G5;G1;E3;E4</w:t>
      </w:r>
    </w:p>
    <w:p w14:paraId="7F3DDEF7" w14:textId="77777777" w:rsidR="000F7328" w:rsidRDefault="000F7328" w:rsidP="000F732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70C3636" w14:textId="1A7C9984" w:rsidR="00AD539C" w:rsidRPr="000F7328" w:rsidRDefault="0041190D" w:rsidP="00AD539C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F7328">
        <w:rPr>
          <w:rFonts w:ascii="Times New Roman" w:eastAsia="Times New Roman" w:hAnsi="Times New Roman" w:cs="Times New Roman"/>
          <w:b/>
          <w:sz w:val="20"/>
          <w:szCs w:val="20"/>
        </w:rPr>
        <w:t>Abstract</w:t>
      </w:r>
      <w:proofErr w:type="spellEnd"/>
      <w:r w:rsidR="00AD539C" w:rsidRPr="000F7328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6A887F1F" w14:textId="563B630F" w:rsidR="00AD539C" w:rsidRPr="000F7328" w:rsidRDefault="000F7328" w:rsidP="008D64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7328">
        <w:rPr>
          <w:rFonts w:ascii="Times New Roman" w:hAnsi="Times New Roman" w:cs="Times New Roman"/>
          <w:b/>
          <w:sz w:val="20"/>
          <w:szCs w:val="20"/>
          <w:lang w:val="en-GB"/>
        </w:rPr>
        <w:t>Theoretical background:</w:t>
      </w:r>
      <w:r w:rsidRPr="000F732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article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conducted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analysis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of 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macroeconomic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situation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from 2020 to </w:t>
      </w:r>
      <w:r w:rsidR="007C6898" w:rsidRPr="000F732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quarter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of (Q1) </w:t>
      </w:r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relation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to real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estate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investments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Factors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such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as the COVID-19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pandemic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, 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influx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refugees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to Poland, and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rising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inflation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had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significant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impact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investor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behavior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in 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discussed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market. 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dynamic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macroeconomic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situation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also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led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changes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consumer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tenant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preferences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while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significantly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affecting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demand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supply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years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2020-2023 (Q1)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were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characterized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by a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distinct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specificity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accentuated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risks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associated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with real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estate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investments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emphasized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clear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differences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various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categories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between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real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estate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as investment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assets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funds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, securities,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alternative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 xml:space="preserve"> investment </w:t>
      </w:r>
      <w:proofErr w:type="spellStart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methods</w:t>
      </w:r>
      <w:proofErr w:type="spellEnd"/>
      <w:r w:rsidR="00AD539C" w:rsidRPr="000F7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260FF8" w14:textId="1B859DF7" w:rsidR="007C6898" w:rsidRPr="000F7328" w:rsidRDefault="000F7328" w:rsidP="007C68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328">
        <w:rPr>
          <w:rFonts w:ascii="Times New Roman" w:hAnsi="Times New Roman" w:cs="Times New Roman"/>
          <w:b/>
          <w:sz w:val="20"/>
          <w:szCs w:val="20"/>
          <w:lang w:val="en-GB"/>
        </w:rPr>
        <w:t>Purpose of the article:</w:t>
      </w:r>
      <w:r w:rsidRPr="000F732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C6898" w:rsidRPr="000F732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aim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identify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risks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associated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with real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estate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investment in Poland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the period from 2020 to 2023 (Q1). It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crucial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describe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macroeconomic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aspects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impact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on the investment real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estate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market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mentioned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period.</w:t>
      </w:r>
    </w:p>
    <w:p w14:paraId="4D3F670C" w14:textId="68B11499" w:rsidR="007C6898" w:rsidRPr="000F7328" w:rsidRDefault="000F7328" w:rsidP="007C68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328">
        <w:rPr>
          <w:rFonts w:ascii="Times New Roman" w:hAnsi="Times New Roman" w:cs="Times New Roman"/>
          <w:b/>
          <w:sz w:val="20"/>
          <w:szCs w:val="20"/>
          <w:lang w:val="en-GB"/>
        </w:rPr>
        <w:t>Research methods:</w:t>
      </w:r>
      <w:r w:rsidRPr="000F732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C6898" w:rsidRPr="000F732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employed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methodology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critical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secondary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as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well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such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synthesis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description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deduction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induction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reduction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Polish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foreign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to investment and investment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properties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was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subjected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Additionally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laws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resolutions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regulations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organizations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reports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studied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serving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valuable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about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the real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estate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market </w:t>
      </w:r>
      <w:proofErr w:type="spellStart"/>
      <w:r w:rsidR="007C6898" w:rsidRPr="000F7328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="007C6898" w:rsidRPr="000F7328">
        <w:rPr>
          <w:rFonts w:ascii="Times New Roman" w:hAnsi="Times New Roman" w:cs="Times New Roman"/>
          <w:sz w:val="20"/>
          <w:szCs w:val="20"/>
        </w:rPr>
        <w:t xml:space="preserve"> from 2020 to 2023</w:t>
      </w:r>
      <w:r w:rsidR="00C17CFD" w:rsidRPr="000F7328">
        <w:rPr>
          <w:rFonts w:ascii="Times New Roman" w:hAnsi="Times New Roman" w:cs="Times New Roman"/>
          <w:sz w:val="20"/>
          <w:szCs w:val="20"/>
        </w:rPr>
        <w:t xml:space="preserve"> (Q1)</w:t>
      </w:r>
      <w:r w:rsidR="007C6898" w:rsidRPr="000F7328">
        <w:rPr>
          <w:rFonts w:ascii="Times New Roman" w:hAnsi="Times New Roman" w:cs="Times New Roman"/>
          <w:sz w:val="20"/>
          <w:szCs w:val="20"/>
        </w:rPr>
        <w:t>.</w:t>
      </w:r>
    </w:p>
    <w:p w14:paraId="14611BEB" w14:textId="391A2496" w:rsidR="007C6898" w:rsidRPr="000F7328" w:rsidRDefault="007C6898" w:rsidP="007C689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7328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formulating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recommendations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a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generalizing-synthesizing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was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employed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deduction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reduction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induction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).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inductive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aided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analyzing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significance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of investment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properties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. On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hand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deductive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was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analyze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issue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starting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from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macroeconomic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in Poland and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delving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in the investment real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estate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market. By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critically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analyzing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literature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reduction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technique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was applied,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thus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verifying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previously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formulated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hypotheses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>.</w:t>
      </w:r>
    </w:p>
    <w:p w14:paraId="6C78B0B4" w14:textId="486D6929" w:rsidR="007C6898" w:rsidRPr="000F7328" w:rsidRDefault="007C6898" w:rsidP="007C689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7328">
        <w:rPr>
          <w:rFonts w:ascii="Times New Roman" w:hAnsi="Times New Roman" w:cs="Times New Roman"/>
          <w:sz w:val="20"/>
          <w:szCs w:val="20"/>
        </w:rPr>
        <w:tab/>
      </w:r>
      <w:r w:rsidR="000F7328" w:rsidRPr="000F7328">
        <w:rPr>
          <w:rFonts w:ascii="Times New Roman" w:hAnsi="Times New Roman" w:cs="Times New Roman"/>
          <w:b/>
          <w:sz w:val="20"/>
          <w:szCs w:val="20"/>
          <w:lang w:val="en-GB"/>
        </w:rPr>
        <w:t>Main findings:</w:t>
      </w:r>
      <w:r w:rsidR="000F7328" w:rsidRPr="000F7328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on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can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return on equity (ROE) from real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estate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investments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takes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on a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negative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value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investors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partially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borrowed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capital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influenced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by high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interest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rates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However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alongside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factor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element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to the high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demand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property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rentals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. In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case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investors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investing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solely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from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own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leads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to a return on equity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ranging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2.7% and 3.6%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analyzed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time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period.</w:t>
      </w:r>
    </w:p>
    <w:p w14:paraId="41C4D42A" w14:textId="2338890C" w:rsidR="00AD539C" w:rsidRPr="000F7328" w:rsidRDefault="007C6898" w:rsidP="004119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732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conducted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reveals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macroeconomic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legal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factors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dynamically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shape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demand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supply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in the real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estate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market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the period from 2020 to 2023 (</w:t>
      </w:r>
      <w:r w:rsidR="00C17CFD" w:rsidRPr="000F7328">
        <w:rPr>
          <w:rFonts w:ascii="Times New Roman" w:hAnsi="Times New Roman" w:cs="Times New Roman"/>
          <w:sz w:val="20"/>
          <w:szCs w:val="20"/>
        </w:rPr>
        <w:t>Q1</w:t>
      </w:r>
      <w:r w:rsidRPr="000F7328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closely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to the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decisions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investors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aiming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invest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capital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 xml:space="preserve"> in investment </w:t>
      </w:r>
      <w:proofErr w:type="spellStart"/>
      <w:r w:rsidRPr="000F7328">
        <w:rPr>
          <w:rFonts w:ascii="Times New Roman" w:hAnsi="Times New Roman" w:cs="Times New Roman"/>
          <w:sz w:val="20"/>
          <w:szCs w:val="20"/>
        </w:rPr>
        <w:t>properties</w:t>
      </w:r>
      <w:proofErr w:type="spellEnd"/>
      <w:r w:rsidRPr="000F7328">
        <w:rPr>
          <w:rFonts w:ascii="Times New Roman" w:hAnsi="Times New Roman" w:cs="Times New Roman"/>
          <w:sz w:val="20"/>
          <w:szCs w:val="20"/>
        </w:rPr>
        <w:t>.</w:t>
      </w:r>
    </w:p>
    <w:p w14:paraId="46FA48C3" w14:textId="77777777" w:rsidR="0041190D" w:rsidRPr="0041190D" w:rsidRDefault="0041190D" w:rsidP="004119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5AF32" w14:textId="77777777" w:rsidR="000F7328" w:rsidRDefault="000F7328" w:rsidP="008D64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80DE05" w14:textId="77777777" w:rsidR="000F7328" w:rsidRDefault="000F7328" w:rsidP="008D64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A2620C" w14:textId="6AD459AB" w:rsidR="00174F47" w:rsidRPr="008D6465" w:rsidRDefault="00C65B65" w:rsidP="0084762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Introduction</w:t>
      </w:r>
      <w:proofErr w:type="spellEnd"/>
      <w:r w:rsidRPr="008D6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D981CD6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Poland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and 2023 (Q1).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socio-economic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country.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investment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in Poland from 2020 to 2023 (Q1).</w:t>
      </w:r>
    </w:p>
    <w:p w14:paraId="277CAA34" w14:textId="77777777" w:rsidR="006E3104" w:rsidRDefault="006E3104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hypotheses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formulated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20DA97C" w14:textId="77777777" w:rsidR="006E3104" w:rsidRDefault="006E3104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H1: The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socio-economic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in Poland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2020 and 2023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affected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supply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in the real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market. </w:t>
      </w:r>
    </w:p>
    <w:p w14:paraId="3F95CB01" w14:textId="749A647B" w:rsidR="006E3104" w:rsidRPr="006E3104" w:rsidRDefault="006E3104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H2: High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in real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experiencing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negative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returns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on equity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6E3104"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 w:rsidRPr="006E3104">
        <w:rPr>
          <w:rFonts w:ascii="Times New Roman" w:eastAsia="Times New Roman" w:hAnsi="Times New Roman" w:cs="Times New Roman"/>
          <w:sz w:val="24"/>
          <w:szCs w:val="24"/>
        </w:rPr>
        <w:t xml:space="preserve"> half of 2021.</w:t>
      </w:r>
    </w:p>
    <w:p w14:paraId="72ABEC89" w14:textId="0FC232BD" w:rsidR="0041190D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alternative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understanding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Pola</w:t>
      </w:r>
      <w:r>
        <w:rPr>
          <w:rFonts w:ascii="Times New Roman" w:eastAsia="Times New Roman" w:hAnsi="Times New Roman" w:cs="Times New Roman"/>
          <w:sz w:val="24"/>
          <w:szCs w:val="24"/>
        </w:rPr>
        <w:t>nd from 2020 to 2023.</w:t>
      </w:r>
    </w:p>
    <w:p w14:paraId="456A8480" w14:textId="2269F06D" w:rsidR="003A7E25" w:rsidRDefault="003A7E25" w:rsidP="008476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Literature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5A374F8" w14:textId="53502A10" w:rsidR="00174F47" w:rsidRDefault="00C65B65" w:rsidP="008476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Concept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r w:rsidR="0041190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nvestment and </w:t>
      </w:r>
      <w:proofErr w:type="spellStart"/>
      <w:r w:rsidR="0041190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efinition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r w:rsidR="0041190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nvestment </w:t>
      </w:r>
      <w:r w:rsidR="0041190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eal </w:t>
      </w:r>
      <w:proofErr w:type="spellStart"/>
      <w:r w:rsidR="0041190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state</w:t>
      </w:r>
      <w:proofErr w:type="spellEnd"/>
    </w:p>
    <w:p w14:paraId="3ACB070A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law,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acquired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revenue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form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dividends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immovable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intangible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acquired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understood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incurring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expenditures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E. Kucharska-Stasiak,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on:</w:t>
      </w:r>
    </w:p>
    <w:p w14:paraId="19D9E646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intangible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development,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763C486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acquiring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buildings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businesses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movable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9773241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numismatics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jewellery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373055C" w14:textId="77777777" w:rsidR="00A73A46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growth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reconstitution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pursued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illustrated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8B557" w14:textId="582D0DB0" w:rsidR="00174F47" w:rsidRPr="00A73A46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1.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Methods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of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Investment</w:t>
      </w:r>
    </w:p>
    <w:p w14:paraId="1CB19AC8" w14:textId="77777777" w:rsidR="00174F47" w:rsidRDefault="00C65B6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793047C" wp14:editId="7E1FD505">
                <wp:extent cx="4927600" cy="2108200"/>
                <wp:effectExtent l="0" t="0" r="0" b="0"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600" cy="2108200"/>
                          <a:chOff x="0" y="0"/>
                          <a:chExt cx="4927600" cy="2114375"/>
                        </a:xfrm>
                      </wpg:grpSpPr>
                      <wpg:grpSp>
                        <wpg:cNvPr id="301299720" name="Grupa 301299720"/>
                        <wpg:cNvGrpSpPr/>
                        <wpg:grpSpPr>
                          <a:xfrm>
                            <a:off x="0" y="0"/>
                            <a:ext cx="4927600" cy="2108200"/>
                            <a:chOff x="0" y="0"/>
                            <a:chExt cx="4927600" cy="2108200"/>
                          </a:xfrm>
                        </wpg:grpSpPr>
                        <wps:wsp>
                          <wps:cNvPr id="633651170" name="Prostokąt 633651170"/>
                          <wps:cNvSpPr/>
                          <wps:spPr>
                            <a:xfrm>
                              <a:off x="0" y="0"/>
                              <a:ext cx="4927600" cy="210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C7B883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5807079" name="Prostokąt: zaokrąglone rogi 1115807079"/>
                          <wps:cNvSpPr/>
                          <wps:spPr>
                            <a:xfrm>
                              <a:off x="1970588" y="737869"/>
                              <a:ext cx="986422" cy="6324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ED27F5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0787883" name="Pole tekstowe 1280787883"/>
                          <wps:cNvSpPr txBox="1"/>
                          <wps:spPr>
                            <a:xfrm>
                              <a:off x="2001462" y="768743"/>
                              <a:ext cx="924674" cy="570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3380B2" w14:textId="77777777" w:rsidR="00174F47" w:rsidRDefault="00C65B65" w:rsidP="007F5747">
                                <w:pPr>
                                  <w:spacing w:after="0" w:line="215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 xml:space="preserve">Investing in real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estate</w:t>
                                </w:r>
                              </w:p>
                            </w:txbxContent>
                          </wps:txbx>
                          <wps:bodyPr spcFirstLastPara="1" wrap="square" lIns="25400" tIns="25400" rIns="25400" bIns="25400" anchor="ctr" anchorCtr="0">
                            <a:noAutofit/>
                          </wps:bodyPr>
                        </wps:wsp>
                        <wps:wsp>
                          <wps:cNvPr id="1891369888" name="Dowolny kształt: kształt 1891369888"/>
                          <wps:cNvSpPr/>
                          <wps:spPr>
                            <a:xfrm rot="-5400000">
                              <a:off x="2306829" y="580899"/>
                              <a:ext cx="31394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26931139" name="Prostokąt: zaokrąglone rogi 1726931139"/>
                          <wps:cNvSpPr/>
                          <wps:spPr>
                            <a:xfrm>
                              <a:off x="838200" y="181"/>
                              <a:ext cx="3251199" cy="4237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E440091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0738339" name="Pole tekstowe 140738339"/>
                          <wps:cNvSpPr txBox="1"/>
                          <wps:spPr>
                            <a:xfrm>
                              <a:off x="858886" y="20867"/>
                              <a:ext cx="3209827" cy="382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2D0142" w14:textId="77777777" w:rsidR="00174F47" w:rsidRDefault="00C65B65" w:rsidP="007F5747">
                                <w:pPr>
                                  <w:spacing w:after="0" w:line="215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Indirect - acquiring units of participation in real estate investment funds</w:t>
                                </w:r>
                              </w:p>
                            </w:txbxContent>
                          </wps:txbx>
                          <wps:bodyPr spcFirstLastPara="1" wrap="square" lIns="25400" tIns="25400" rIns="25400" bIns="25400" anchor="ctr" anchorCtr="0">
                            <a:noAutofit/>
                          </wps:bodyPr>
                        </wps:wsp>
                        <wps:wsp>
                          <wps:cNvPr id="1968238502" name="Dowolny kształt: kształt 1968238502"/>
                          <wps:cNvSpPr/>
                          <wps:spPr>
                            <a:xfrm rot="5400000">
                              <a:off x="2306829" y="1527300"/>
                              <a:ext cx="31394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4231935" name="Prostokąt: zaokrąglone rogi 254231935"/>
                          <wps:cNvSpPr/>
                          <wps:spPr>
                            <a:xfrm>
                              <a:off x="984247" y="1684270"/>
                              <a:ext cx="2959105" cy="4237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496848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7991675" name="Pole tekstowe 1097991675"/>
                          <wps:cNvSpPr txBox="1"/>
                          <wps:spPr>
                            <a:xfrm>
                              <a:off x="1004933" y="1704956"/>
                              <a:ext cx="2917733" cy="382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6E86EB" w14:textId="77777777" w:rsidR="00174F47" w:rsidRDefault="00C65B65" w:rsidP="007F5747">
                                <w:pPr>
                                  <w:spacing w:after="0" w:line="215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 xml:space="preserve">Direct -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obtaining ownership rights to real estate</w:t>
                                </w:r>
                              </w:p>
                            </w:txbxContent>
                          </wps:txbx>
                          <wps:bodyPr spcFirstLastPara="1" wrap="square" lIns="25400" tIns="25400" rIns="25400" bIns="254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93047C" id="Grupa 8" o:spid="_x0000_s1026" style="width:388pt;height:166pt;mso-position-horizontal-relative:char;mso-position-vertical-relative:line" coordsize="49276,2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">
                <v:group id="Grupa 301299720" o:spid="_x0000_s1027" style="position:absolute;width:49276;height:21082" coordsize="49276,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">
                  <v:rect id="Prostokąt 633651170" o:spid="_x0000_s1028" style="position:absolute;width:49276;height:21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" filled="f" stroked="f">
                    <v:textbox inset="2.53958mm,2.53958mm,2.53958mm,2.53958mm">
                      <w:txbxContent>
                        <w:p w14:paraId="50C7B883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Prostokąt: zaokrąglone rogi 1115807079" o:spid="_x0000_s1029" style="position:absolute;left:19705;top:7378;width:9865;height:63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0ED27F5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80787883" o:spid="_x0000_s1030" type="#_x0000_t202" style="position:absolute;left:20014;top:7687;width:9247;height:5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" filled="f" stroked="f">
                    <v:textbox inset="2pt,2pt,2pt,2pt">
                      <w:txbxContent>
                        <w:p w14:paraId="333380B2" w14:textId="77777777" w:rsidR="00174F47" w:rsidRDefault="00000000" w:rsidP="007F5747">
                          <w:pPr>
                            <w:spacing w:after="0" w:line="21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Investing in real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estate</w:t>
                          </w:r>
                          <w:proofErr w:type="spellEnd"/>
                        </w:p>
                      </w:txbxContent>
                    </v:textbox>
                  </v:shape>
                  <v:shape id="Dowolny kształt: kształt 1891369888" o:spid="_x0000_s1031" style="position:absolute;left:23067;top:5809;width:3139;height:0;rotation:-9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" path="m,l120000,e" filled="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Prostokąt: zaokrąglone rogi 1726931139" o:spid="_x0000_s1032" style="position:absolute;left:8382;top:1;width:32511;height:4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E440091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Pole tekstowe 140738339" o:spid="_x0000_s1033" type="#_x0000_t202" style="position:absolute;left:8588;top:208;width:32099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" filled="f" stroked="f">
                    <v:textbox inset="2pt,2pt,2pt,2pt">
                      <w:txbxContent>
                        <w:p w14:paraId="7A2D0142" w14:textId="77777777" w:rsidR="00174F47" w:rsidRDefault="00000000" w:rsidP="007F5747">
                          <w:pPr>
                            <w:spacing w:after="0" w:line="215" w:lineRule="auto"/>
                            <w:jc w:val="both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Indirect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acquiring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units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participation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in real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estate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investment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funds</w:t>
                          </w:r>
                          <w:proofErr w:type="spellEnd"/>
                        </w:p>
                      </w:txbxContent>
                    </v:textbox>
                  </v:shape>
                  <v:shape id="Dowolny kształt: kształt 1968238502" o:spid="_x0000_s1034" style="position:absolute;left:23067;top:15273;width:3139;height:0;rotation:9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" path="m,l120000,e" filled="f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Prostokąt: zaokrąglone rogi 254231935" o:spid="_x0000_s1035" style="position:absolute;left:9842;top:16842;width:29591;height:4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F496848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Pole tekstowe 1097991675" o:spid="_x0000_s1036" type="#_x0000_t202" style="position:absolute;left:10049;top:17049;width:29177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" filled="f" stroked="f">
                    <v:textbox inset="2pt,2pt,2pt,2pt">
                      <w:txbxContent>
                        <w:p w14:paraId="6F6E86EB" w14:textId="77777777" w:rsidR="00174F47" w:rsidRDefault="00000000" w:rsidP="007F5747">
                          <w:pPr>
                            <w:spacing w:after="0" w:line="21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Direct -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obtaining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ownership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rights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to real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estate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01AB02" w14:textId="545082C7" w:rsidR="00A73A46" w:rsidRPr="007F5747" w:rsidRDefault="00C65B65" w:rsidP="007F574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Own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work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6A017AB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acquired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profit.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Accounting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perpetual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usufruct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buildings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ownership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residential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cooperative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ownership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B8E72B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perspectives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K. Śmietana and 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distinguish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land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necessitates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management,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defined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frameworks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responsibilities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Perceiving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phenomenon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target,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instrument, and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multidimensional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described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comprehensive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9339D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crucial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understand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as: </w:t>
      </w:r>
    </w:p>
    <w:p w14:paraId="108DE375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E5BB5AE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shaped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F559434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234703" w14:textId="77777777" w:rsidR="00174F47" w:rsidRDefault="00C65B65" w:rsidP="008476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K. Romanowski and Z.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encompass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entity's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growth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form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Similarly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Kucharska-Stasiak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in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return upon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0E0B7" w14:textId="72DA14AC" w:rsidR="00A73A46" w:rsidRDefault="00C65B65" w:rsidP="007F5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possesses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demonstrated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41190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14:paraId="2FAC6402" w14:textId="77777777" w:rsidR="00174F47" w:rsidRPr="008D6465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1.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Characteristics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of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comparison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to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other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types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investments</w:t>
      </w:r>
      <w:proofErr w:type="spellEnd"/>
    </w:p>
    <w:tbl>
      <w:tblPr>
        <w:tblStyle w:val="a3"/>
        <w:tblW w:w="7371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93"/>
        <w:gridCol w:w="3778"/>
      </w:tblGrid>
      <w:tr w:rsidR="00174F47" w14:paraId="1E1B825A" w14:textId="77777777">
        <w:trPr>
          <w:jc w:val="center"/>
        </w:trPr>
        <w:tc>
          <w:tcPr>
            <w:tcW w:w="3593" w:type="dxa"/>
          </w:tcPr>
          <w:p w14:paraId="03857852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Property</w:t>
            </w:r>
            <w:proofErr w:type="spellEnd"/>
          </w:p>
          <w:p w14:paraId="3265A23B" w14:textId="77777777" w:rsidR="00174F47" w:rsidRPr="008D6465" w:rsidRDefault="00174F47" w:rsidP="00D35F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8" w:type="dxa"/>
          </w:tcPr>
          <w:p w14:paraId="000D6D01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Other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types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investments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e.g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securities</w:t>
            </w:r>
          </w:p>
        </w:tc>
      </w:tr>
      <w:tr w:rsidR="00174F47" w14:paraId="4663743C" w14:textId="77777777">
        <w:trPr>
          <w:jc w:val="center"/>
        </w:trPr>
        <w:tc>
          <w:tcPr>
            <w:tcW w:w="3593" w:type="dxa"/>
          </w:tcPr>
          <w:p w14:paraId="20647903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liquidity</w:t>
            </w:r>
            <w:proofErr w:type="spellEnd"/>
          </w:p>
        </w:tc>
        <w:tc>
          <w:tcPr>
            <w:tcW w:w="3778" w:type="dxa"/>
          </w:tcPr>
          <w:p w14:paraId="49831FB0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liquidity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case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real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estate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23A36C73" w14:textId="77777777">
        <w:trPr>
          <w:jc w:val="center"/>
        </w:trPr>
        <w:tc>
          <w:tcPr>
            <w:tcW w:w="3593" w:type="dxa"/>
          </w:tcPr>
          <w:p w14:paraId="706EFEB5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High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transaction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3778" w:type="dxa"/>
          </w:tcPr>
          <w:p w14:paraId="6D2E4895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transaction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costs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6AA4102A" w14:textId="77777777">
        <w:trPr>
          <w:jc w:val="center"/>
        </w:trPr>
        <w:tc>
          <w:tcPr>
            <w:tcW w:w="3593" w:type="dxa"/>
          </w:tcPr>
          <w:p w14:paraId="4F84360B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stability</w:t>
            </w:r>
            <w:proofErr w:type="spellEnd"/>
          </w:p>
        </w:tc>
        <w:tc>
          <w:tcPr>
            <w:tcW w:w="3778" w:type="dxa"/>
          </w:tcPr>
          <w:p w14:paraId="1E1A1BAA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change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2B2F5EB6" w14:textId="77777777">
        <w:trPr>
          <w:jc w:val="center"/>
        </w:trPr>
        <w:tc>
          <w:tcPr>
            <w:tcW w:w="3593" w:type="dxa"/>
          </w:tcPr>
          <w:p w14:paraId="330CF912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Lack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standardization</w:t>
            </w:r>
            <w:proofErr w:type="spellEnd"/>
          </w:p>
        </w:tc>
        <w:tc>
          <w:tcPr>
            <w:tcW w:w="3778" w:type="dxa"/>
          </w:tcPr>
          <w:p w14:paraId="13BBEAE7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High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standardization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11831332" w14:textId="77777777">
        <w:trPr>
          <w:jc w:val="center"/>
        </w:trPr>
        <w:tc>
          <w:tcPr>
            <w:tcW w:w="3593" w:type="dxa"/>
          </w:tcPr>
          <w:p w14:paraId="535127D6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Local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market</w:t>
            </w:r>
          </w:p>
        </w:tc>
        <w:tc>
          <w:tcPr>
            <w:tcW w:w="3778" w:type="dxa"/>
          </w:tcPr>
          <w:p w14:paraId="6B720DAA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Organized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market.</w:t>
            </w:r>
          </w:p>
        </w:tc>
      </w:tr>
      <w:tr w:rsidR="00174F47" w14:paraId="2E30FE79" w14:textId="77777777">
        <w:trPr>
          <w:jc w:val="center"/>
        </w:trPr>
        <w:tc>
          <w:tcPr>
            <w:tcW w:w="3593" w:type="dxa"/>
          </w:tcPr>
          <w:p w14:paraId="6C840FF2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Limited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access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investors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3778" w:type="dxa"/>
          </w:tcPr>
          <w:p w14:paraId="2164AC41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Open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access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investors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71798417" w14:textId="77777777">
        <w:trPr>
          <w:jc w:val="center"/>
        </w:trPr>
        <w:tc>
          <w:tcPr>
            <w:tcW w:w="3593" w:type="dxa"/>
          </w:tcPr>
          <w:p w14:paraId="289F3F07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regulate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legal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status of th</w:t>
            </w: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e investment</w:t>
            </w:r>
          </w:p>
        </w:tc>
        <w:tc>
          <w:tcPr>
            <w:tcW w:w="3778" w:type="dxa"/>
          </w:tcPr>
          <w:p w14:paraId="0041A592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regulate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legal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status.</w:t>
            </w:r>
          </w:p>
        </w:tc>
      </w:tr>
      <w:tr w:rsidR="00174F47" w14:paraId="7D28CA5D" w14:textId="77777777">
        <w:trPr>
          <w:trHeight w:val="50"/>
          <w:jc w:val="center"/>
        </w:trPr>
        <w:tc>
          <w:tcPr>
            <w:tcW w:w="3593" w:type="dxa"/>
          </w:tcPr>
          <w:p w14:paraId="5DCD4D15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Lack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regular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valuation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the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organized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market</w:t>
            </w:r>
          </w:p>
        </w:tc>
        <w:tc>
          <w:tcPr>
            <w:tcW w:w="3778" w:type="dxa"/>
          </w:tcPr>
          <w:p w14:paraId="2813080E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Periodic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valuation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assets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the market.</w:t>
            </w:r>
          </w:p>
        </w:tc>
      </w:tr>
      <w:tr w:rsidR="00174F47" w14:paraId="677B4D49" w14:textId="77777777">
        <w:trPr>
          <w:trHeight w:val="50"/>
          <w:jc w:val="center"/>
        </w:trPr>
        <w:tc>
          <w:tcPr>
            <w:tcW w:w="3593" w:type="dxa"/>
          </w:tcPr>
          <w:p w14:paraId="20E8445A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Choosing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sources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income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rental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, sale)</w:t>
            </w:r>
          </w:p>
        </w:tc>
        <w:tc>
          <w:tcPr>
            <w:tcW w:w="3778" w:type="dxa"/>
          </w:tcPr>
          <w:p w14:paraId="09930033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method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generating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income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7588EE9F" w14:textId="77777777">
        <w:trPr>
          <w:trHeight w:val="50"/>
          <w:jc w:val="center"/>
        </w:trPr>
        <w:tc>
          <w:tcPr>
            <w:tcW w:w="3593" w:type="dxa"/>
          </w:tcPr>
          <w:p w14:paraId="0050E288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High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threshold</w:t>
            </w:r>
            <w:proofErr w:type="spellEnd"/>
          </w:p>
        </w:tc>
        <w:tc>
          <w:tcPr>
            <w:tcW w:w="3778" w:type="dxa"/>
          </w:tcPr>
          <w:p w14:paraId="3A0F3C4B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Lower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entry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threshold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real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estate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F47" w14:paraId="771C8543" w14:textId="77777777">
        <w:trPr>
          <w:trHeight w:val="50"/>
          <w:jc w:val="center"/>
        </w:trPr>
        <w:tc>
          <w:tcPr>
            <w:tcW w:w="3593" w:type="dxa"/>
          </w:tcPr>
          <w:p w14:paraId="21374F23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Indivisibility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investment -&gt;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lack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diversification</w:t>
            </w:r>
            <w:proofErr w:type="spellEnd"/>
          </w:p>
        </w:tc>
        <w:tc>
          <w:tcPr>
            <w:tcW w:w="3778" w:type="dxa"/>
          </w:tcPr>
          <w:p w14:paraId="61E3B17A" w14:textId="77777777" w:rsidR="00174F47" w:rsidRPr="008D6465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diversifying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the portfolio of securities/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stocks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/investment </w:t>
            </w:r>
            <w:proofErr w:type="spellStart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funds</w:t>
            </w:r>
            <w:proofErr w:type="spellEnd"/>
            <w:r w:rsidRPr="008D64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471DC6B" w14:textId="39B12966" w:rsidR="00A73A46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Own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work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F41EE3" w14:textId="77777777" w:rsidR="00174F47" w:rsidRDefault="00C65B65" w:rsidP="004F20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distinctiveness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securities,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51BB17" w14:textId="3AA53EA9" w:rsidR="00174F47" w:rsidRDefault="00C65B65" w:rsidP="004F20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Factors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affecting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investment real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risks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investm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</w:t>
      </w:r>
    </w:p>
    <w:p w14:paraId="328325EA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law, the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 market-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buyer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prud</w:t>
      </w:r>
      <w:r>
        <w:rPr>
          <w:rFonts w:ascii="Times New Roman" w:eastAsia="Times New Roman" w:hAnsi="Times New Roman" w:cs="Times New Roman"/>
          <w:sz w:val="24"/>
          <w:szCs w:val="24"/>
        </w:rPr>
        <w:t>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compulsion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government-related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encompasses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demographics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family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lifestyle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z w:val="24"/>
          <w:szCs w:val="24"/>
        </w:rPr>
        <w:t>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business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development status,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third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 and applied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land,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layout,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accessibility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26390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uniqueness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aforementioned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</w:t>
      </w:r>
      <w:r>
        <w:rPr>
          <w:rFonts w:ascii="Times New Roman" w:eastAsia="Times New Roman" w:hAnsi="Times New Roman" w:cs="Times New Roman"/>
          <w:sz w:val="24"/>
          <w:szCs w:val="24"/>
        </w:rPr>
        <w:t>ctiveness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investment.</w:t>
      </w:r>
    </w:p>
    <w:p w14:paraId="2FC2782F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heightened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fluctuations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unfreezing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enhance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One form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phenomenon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involves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mortgage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land register.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empowers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owner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allocate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revealing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so-called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accelerator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business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cycles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34DDE7" w14:textId="73E654E6" w:rsidR="00A73A46" w:rsidRDefault="00C65B65" w:rsidP="007F5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drawback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indivisibility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already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indivisibility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investment.</w:t>
      </w:r>
    </w:p>
    <w:p w14:paraId="2C17E430" w14:textId="2B99DD08" w:rsidR="00A73A46" w:rsidRPr="00A73A46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2.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Aspects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related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to the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indivisibility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of investment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</w:p>
    <w:p w14:paraId="116A8A4E" w14:textId="3F48922D" w:rsidR="00815CF8" w:rsidRDefault="00815CF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E1C98E5" wp14:editId="2D9B6D18">
            <wp:extent cx="5760720" cy="2404745"/>
            <wp:effectExtent l="0" t="0" r="0" b="14605"/>
            <wp:docPr id="124056725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BFD948A" w14:textId="25999EB7" w:rsidR="00174F47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Own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work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F4FEB99" w14:textId="51C986E7" w:rsidR="00A73A46" w:rsidRDefault="00C65B65" w:rsidP="007F5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investment. W. Tarczyński and M. Mojsiewicz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incurring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achieving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anticipated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P.J. Rowland,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adopted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42E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14:paraId="0C88256F" w14:textId="53924B4A" w:rsidR="00174F47" w:rsidRPr="00815CF8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3.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Risks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associated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with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investment</w:t>
      </w:r>
    </w:p>
    <w:p w14:paraId="63942E27" w14:textId="09FD4024" w:rsidR="00815CF8" w:rsidRDefault="00815CF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B9CD92" wp14:editId="34A46A6B">
            <wp:extent cx="5556250" cy="2139950"/>
            <wp:effectExtent l="0" t="57150" r="0" b="0"/>
            <wp:docPr id="70195757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AB8018C" w14:textId="64088F39" w:rsidR="00A73A46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Compilation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based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Rowland,</w:t>
      </w:r>
      <w:r w:rsidR="001C7FDB">
        <w:rPr>
          <w:rFonts w:ascii="Times New Roman" w:eastAsia="Times New Roman" w:hAnsi="Times New Roman" w:cs="Times New Roman"/>
          <w:sz w:val="16"/>
          <w:szCs w:val="16"/>
        </w:rPr>
        <w:t xml:space="preserve"> P.J. (1993).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Property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Investment and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Their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Financing</w:t>
      </w:r>
      <w:proofErr w:type="spellEnd"/>
      <w:r w:rsidR="001C7FD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The Law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Book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Company Limited</w:t>
      </w:r>
      <w:r w:rsidR="001C7FD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Sydney</w:t>
      </w:r>
      <w:r w:rsidR="001C7FD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p. 178.</w:t>
      </w:r>
    </w:p>
    <w:p w14:paraId="45DDEA2D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egulations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environment,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oversupply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market.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assumes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occurrence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unfavorable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bankruptcy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mandatory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deterioration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flaws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possibilities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002A25" w14:textId="19B32B9C" w:rsidR="00A73A46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so-called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environment.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ultimately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return on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DF2E9" w14:textId="4B0F2175" w:rsidR="00174F47" w:rsidRPr="008D6465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4.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Risk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categories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specific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to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investment</w:t>
      </w:r>
    </w:p>
    <w:p w14:paraId="7C5CC6AF" w14:textId="77777777" w:rsidR="00174F47" w:rsidRDefault="00C65B6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162FABBF" wp14:editId="3DDC7B14">
                <wp:extent cx="5251450" cy="2324100"/>
                <wp:effectExtent l="0" t="0" r="0" b="0"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450" cy="2324100"/>
                          <a:chOff x="0" y="0"/>
                          <a:chExt cx="5251450" cy="2324100"/>
                        </a:xfrm>
                      </wpg:grpSpPr>
                      <wpg:grpSp>
                        <wpg:cNvPr id="1477733164" name="Grupa 1477733164"/>
                        <wpg:cNvGrpSpPr/>
                        <wpg:grpSpPr>
                          <a:xfrm>
                            <a:off x="0" y="0"/>
                            <a:ext cx="5251450" cy="2324100"/>
                            <a:chOff x="0" y="0"/>
                            <a:chExt cx="5251450" cy="2324100"/>
                          </a:xfrm>
                        </wpg:grpSpPr>
                        <wps:wsp>
                          <wps:cNvPr id="687325682" name="Prostokąt 687325682"/>
                          <wps:cNvSpPr/>
                          <wps:spPr>
                            <a:xfrm>
                              <a:off x="0" y="0"/>
                              <a:ext cx="5251450" cy="232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4170E3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8734642" name="Owal 2118734642"/>
                          <wps:cNvSpPr/>
                          <wps:spPr>
                            <a:xfrm>
                              <a:off x="2227581" y="833659"/>
                              <a:ext cx="914686" cy="77378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75426E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4850045" name="Pole tekstowe 324850045"/>
                          <wps:cNvSpPr txBox="1"/>
                          <wps:spPr>
                            <a:xfrm>
                              <a:off x="2361534" y="946977"/>
                              <a:ext cx="646780" cy="547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C4309E" w14:textId="77777777" w:rsidR="00174F47" w:rsidRDefault="00C65B65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Types of risk</w:t>
                                </w:r>
                              </w:p>
                            </w:txbxContent>
                          </wps:txbx>
                          <wps:bodyPr spcFirstLastPara="1" wrap="square" lIns="12700" tIns="12700" rIns="12700" bIns="12700" anchor="ctr" anchorCtr="0">
                            <a:noAutofit/>
                          </wps:bodyPr>
                        </wps:wsp>
                        <wps:wsp>
                          <wps:cNvPr id="1430048450" name="Owal 1430048450"/>
                          <wps:cNvSpPr/>
                          <wps:spPr>
                            <a:xfrm>
                              <a:off x="2005291" y="215911"/>
                              <a:ext cx="1431023" cy="668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6341E6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3354074" name="Pole tekstowe 903354074"/>
                          <wps:cNvSpPr txBox="1"/>
                          <wps:spPr>
                            <a:xfrm>
                              <a:off x="2214859" y="313797"/>
                              <a:ext cx="1011887" cy="472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F45D1B" w14:textId="77777777" w:rsidR="00174F47" w:rsidRDefault="00C65B65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Economic risk</w:t>
                                </w:r>
                              </w:p>
                            </w:txbxContent>
                          </wps:txbx>
                          <wps:bodyPr spcFirstLastPara="1" wrap="square" lIns="12700" tIns="12700" rIns="12700" bIns="12700" anchor="ctr" anchorCtr="0">
                            <a:noAutofit/>
                          </wps:bodyPr>
                        </wps:wsp>
                        <wps:wsp>
                          <wps:cNvPr id="1935585256" name="Owal 1935585256"/>
                          <wps:cNvSpPr/>
                          <wps:spPr>
                            <a:xfrm>
                              <a:off x="3091733" y="757430"/>
                              <a:ext cx="1175678" cy="668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AB6E96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5812966" name="Pole tekstowe 315812966"/>
                          <wps:cNvSpPr txBox="1"/>
                          <wps:spPr>
                            <a:xfrm>
                              <a:off x="3263907" y="855316"/>
                              <a:ext cx="831330" cy="472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E54635" w14:textId="77777777" w:rsidR="00174F47" w:rsidRDefault="00C65B65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 xml:space="preserve">Technical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risk</w:t>
                                </w:r>
                              </w:p>
                            </w:txbxContent>
                          </wps:txbx>
                          <wps:bodyPr spcFirstLastPara="1" wrap="square" lIns="12700" tIns="12700" rIns="12700" bIns="12700" anchor="ctr" anchorCtr="0">
                            <a:noAutofit/>
                          </wps:bodyPr>
                        </wps:wsp>
                        <wps:wsp>
                          <wps:cNvPr id="338206540" name="Owal 338206540"/>
                          <wps:cNvSpPr/>
                          <wps:spPr>
                            <a:xfrm>
                              <a:off x="2545259" y="1436562"/>
                              <a:ext cx="1352859" cy="668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1343A9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4628773" name="Pole tekstowe 644628773"/>
                          <wps:cNvSpPr txBox="1"/>
                          <wps:spPr>
                            <a:xfrm>
                              <a:off x="2743381" y="1534448"/>
                              <a:ext cx="956615" cy="472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8CA23F" w14:textId="77777777" w:rsidR="00174F47" w:rsidRDefault="00C65B65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Legal risk</w:t>
                                </w:r>
                              </w:p>
                            </w:txbxContent>
                          </wps:txbx>
                          <wps:bodyPr spcFirstLastPara="1" wrap="square" lIns="12700" tIns="12700" rIns="12700" bIns="12700" anchor="ctr" anchorCtr="0">
                            <a:noAutofit/>
                          </wps:bodyPr>
                        </wps:wsp>
                        <wps:wsp>
                          <wps:cNvPr id="453956758" name="Owal 453956758"/>
                          <wps:cNvSpPr/>
                          <wps:spPr>
                            <a:xfrm>
                              <a:off x="1181984" y="1282571"/>
                              <a:ext cx="1346850" cy="668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E732084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0519560" name="Pole tekstowe 1350519560"/>
                          <wps:cNvSpPr txBox="1"/>
                          <wps:spPr>
                            <a:xfrm>
                              <a:off x="1379226" y="1380457"/>
                              <a:ext cx="952366" cy="472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F33CD3" w14:textId="77777777" w:rsidR="00174F47" w:rsidRDefault="00C65B65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Social risk</w:t>
                                </w:r>
                              </w:p>
                            </w:txbxContent>
                          </wps:txbx>
                          <wps:bodyPr spcFirstLastPara="1" wrap="square" lIns="12700" tIns="12700" rIns="12700" bIns="12700" anchor="ctr" anchorCtr="0">
                            <a:noAutofit/>
                          </wps:bodyPr>
                        </wps:wsp>
                        <wps:wsp>
                          <wps:cNvPr id="298894203" name="Owal 298894203"/>
                          <wps:cNvSpPr/>
                          <wps:spPr>
                            <a:xfrm>
                              <a:off x="968962" y="662718"/>
                              <a:ext cx="1357792" cy="668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19C6A1" w14:textId="77777777" w:rsidR="00174F47" w:rsidRDefault="00174F4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8173542" name="Pole tekstowe 1938173542"/>
                          <wps:cNvSpPr txBox="1"/>
                          <wps:spPr>
                            <a:xfrm>
                              <a:off x="1167806" y="760604"/>
                              <a:ext cx="960104" cy="472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CEC511" w14:textId="77777777" w:rsidR="00174F47" w:rsidRDefault="00C65B65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Environmental risk</w:t>
                                </w:r>
                              </w:p>
                            </w:txbxContent>
                          </wps:txbx>
                          <wps:bodyPr spcFirstLastPara="1" wrap="square" lIns="12700" tIns="12700" rIns="12700" bIns="12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2FABBF" id="Grupa 9" o:spid="_x0000_s1037" style="width:413.5pt;height:183pt;mso-position-horizontal-relative:char;mso-position-vertical-relative:line" coordsize="52514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">
                <v:group id="Grupa 1477733164" o:spid="_x0000_s1038" style="position:absolute;width:52514;height:23241" coordsize="52514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">
                  <v:rect id="Prostokąt 687325682" o:spid="_x0000_s1039" style="position:absolute;width:52514;height:2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4170E3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oval id="Owal 2118734642" o:spid="_x0000_s1040" style="position:absolute;left:22275;top:8336;width:9147;height:7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" strokecolor="#3d4b5f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075426E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Pole tekstowe 324850045" o:spid="_x0000_s1041" type="#_x0000_t202" style="position:absolute;left:23615;top:9469;width:6468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" filled="f" stroked="f">
                    <v:textbox inset="1pt,1pt,1pt,1pt">
                      <w:txbxContent>
                        <w:p w14:paraId="26C4309E" w14:textId="77777777" w:rsidR="00174F47" w:rsidRDefault="00000000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Types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risk</w:t>
                          </w:r>
                          <w:proofErr w:type="spellEnd"/>
                        </w:p>
                      </w:txbxContent>
                    </v:textbox>
                  </v:shape>
                  <v:oval id="Owal 1430048450" o:spid="_x0000_s1042" style="position:absolute;left:20052;top:2159;width:14311;height:6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" strokecolor="#3d4b5f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96341E6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Pole tekstowe 903354074" o:spid="_x0000_s1043" type="#_x0000_t202" style="position:absolute;left:22148;top:3137;width:10119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" filled="f" stroked="f">
                    <v:textbox inset="1pt,1pt,1pt,1pt">
                      <w:txbxContent>
                        <w:p w14:paraId="1CF45D1B" w14:textId="77777777" w:rsidR="00174F47" w:rsidRDefault="00000000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Economic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risk</w:t>
                          </w:r>
                          <w:proofErr w:type="spellEnd"/>
                        </w:p>
                      </w:txbxContent>
                    </v:textbox>
                  </v:shape>
                  <v:oval id="Owal 1935585256" o:spid="_x0000_s1044" style="position:absolute;left:30917;top:7574;width:11757;height:6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" strokecolor="#3d4b5f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3AB6E96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Pole tekstowe 315812966" o:spid="_x0000_s1045" type="#_x0000_t202" style="position:absolute;left:32639;top:8553;width:8313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" filled="f" stroked="f">
                    <v:textbox inset="1pt,1pt,1pt,1pt">
                      <w:txbxContent>
                        <w:p w14:paraId="2CE54635" w14:textId="77777777" w:rsidR="00174F47" w:rsidRDefault="00000000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Technical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risk</w:t>
                          </w:r>
                          <w:proofErr w:type="spellEnd"/>
                        </w:p>
                      </w:txbxContent>
                    </v:textbox>
                  </v:shape>
                  <v:oval id="Owal 338206540" o:spid="_x0000_s1046" style="position:absolute;left:25452;top:14365;width:13529;height:6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" strokecolor="#3d4b5f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61343A9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Pole tekstowe 644628773" o:spid="_x0000_s1047" type="#_x0000_t202" style="position:absolute;left:27433;top:15344;width:9566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" filled="f" stroked="f">
                    <v:textbox inset="1pt,1pt,1pt,1pt">
                      <w:txbxContent>
                        <w:p w14:paraId="5A8CA23F" w14:textId="77777777" w:rsidR="00174F47" w:rsidRDefault="00000000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Legal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risk</w:t>
                          </w:r>
                          <w:proofErr w:type="spellEnd"/>
                        </w:p>
                      </w:txbxContent>
                    </v:textbox>
                  </v:shape>
                  <v:oval id="Owal 453956758" o:spid="_x0000_s1048" style="position:absolute;left:11819;top:12825;width:13469;height:6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" strokecolor="#3d4b5f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E732084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Pole tekstowe 1350519560" o:spid="_x0000_s1049" type="#_x0000_t202" style="position:absolute;left:13792;top:13804;width:9523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" filled="f" stroked="f">
                    <v:textbox inset="1pt,1pt,1pt,1pt">
                      <w:txbxContent>
                        <w:p w14:paraId="01F33CD3" w14:textId="77777777" w:rsidR="00174F47" w:rsidRDefault="00000000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Social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risk</w:t>
                          </w:r>
                          <w:proofErr w:type="spellEnd"/>
                        </w:p>
                      </w:txbxContent>
                    </v:textbox>
                  </v:shape>
                  <v:oval id="Owal 298894203" o:spid="_x0000_s1050" style="position:absolute;left:9689;top:6627;width:13578;height:6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" strokecolor="#3d4b5f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B19C6A1" w14:textId="77777777" w:rsidR="00174F47" w:rsidRDefault="00174F4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oval>
                  <v:shape id="Pole tekstowe 1938173542" o:spid="_x0000_s1051" type="#_x0000_t202" style="position:absolute;left:11678;top:7606;width:9601;height:4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" filled="f" stroked="f">
                    <v:textbox inset="1pt,1pt,1pt,1pt">
                      <w:txbxContent>
                        <w:p w14:paraId="50CEC511" w14:textId="77777777" w:rsidR="00174F47" w:rsidRDefault="00000000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Environmental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risk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D3D5C7" w14:textId="6C6C68FE" w:rsidR="00A73A46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Compiled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based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on:Marcin</w:t>
      </w:r>
      <w:r w:rsidRPr="007F5747">
        <w:rPr>
          <w:rFonts w:ascii="Times New Roman" w:hAnsi="Times New Roman" w:cs="Times New Roman"/>
          <w:sz w:val="16"/>
          <w:szCs w:val="16"/>
        </w:rPr>
        <w:t>ek</w:t>
      </w:r>
      <w:proofErr w:type="spellEnd"/>
      <w:r w:rsidR="00F16567">
        <w:rPr>
          <w:rFonts w:ascii="Times New Roman" w:hAnsi="Times New Roman" w:cs="Times New Roman"/>
          <w:sz w:val="16"/>
          <w:szCs w:val="16"/>
        </w:rPr>
        <w:t xml:space="preserve"> K.</w:t>
      </w:r>
      <w:r w:rsidRPr="007F5747">
        <w:rPr>
          <w:rFonts w:ascii="Times New Roman" w:hAnsi="Times New Roman" w:cs="Times New Roman"/>
          <w:sz w:val="16"/>
          <w:szCs w:val="16"/>
        </w:rPr>
        <w:t xml:space="preserve"> </w:t>
      </w:r>
      <w:r w:rsidR="00F16567">
        <w:rPr>
          <w:rFonts w:ascii="Times New Roman" w:hAnsi="Times New Roman" w:cs="Times New Roman"/>
          <w:sz w:val="16"/>
          <w:szCs w:val="16"/>
        </w:rPr>
        <w:t xml:space="preserve">(2009). </w:t>
      </w:r>
      <w:r w:rsidR="0041190D" w:rsidRPr="007F5747">
        <w:rPr>
          <w:rFonts w:ascii="Times New Roman" w:hAnsi="Times New Roman" w:cs="Times New Roman"/>
          <w:sz w:val="16"/>
          <w:szCs w:val="16"/>
        </w:rPr>
        <w:t xml:space="preserve">Financial </w:t>
      </w:r>
      <w:proofErr w:type="spellStart"/>
      <w:r w:rsidR="0041190D" w:rsidRPr="007F5747">
        <w:rPr>
          <w:rFonts w:ascii="Times New Roman" w:hAnsi="Times New Roman" w:cs="Times New Roman"/>
          <w:sz w:val="16"/>
          <w:szCs w:val="16"/>
        </w:rPr>
        <w:t>evaluation</w:t>
      </w:r>
      <w:proofErr w:type="spellEnd"/>
      <w:r w:rsidR="0041190D" w:rsidRPr="007F5747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41190D" w:rsidRPr="007F5747">
        <w:rPr>
          <w:rFonts w:ascii="Times New Roman" w:hAnsi="Times New Roman" w:cs="Times New Roman"/>
          <w:sz w:val="16"/>
          <w:szCs w:val="16"/>
        </w:rPr>
        <w:t>investing</w:t>
      </w:r>
      <w:proofErr w:type="spellEnd"/>
      <w:r w:rsidR="0041190D" w:rsidRPr="007F5747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="0041190D" w:rsidRPr="007F5747">
        <w:rPr>
          <w:rFonts w:ascii="Times New Roman" w:hAnsi="Times New Roman" w:cs="Times New Roman"/>
          <w:sz w:val="16"/>
          <w:szCs w:val="16"/>
        </w:rPr>
        <w:t>commercial</w:t>
      </w:r>
      <w:proofErr w:type="spellEnd"/>
      <w:r w:rsidR="0041190D" w:rsidRPr="007F5747">
        <w:rPr>
          <w:rFonts w:ascii="Times New Roman" w:hAnsi="Times New Roman" w:cs="Times New Roman"/>
          <w:sz w:val="16"/>
          <w:szCs w:val="16"/>
        </w:rPr>
        <w:t xml:space="preserve"> real </w:t>
      </w:r>
      <w:proofErr w:type="spellStart"/>
      <w:r w:rsidR="0041190D" w:rsidRPr="007F5747">
        <w:rPr>
          <w:rFonts w:ascii="Times New Roman" w:hAnsi="Times New Roman" w:cs="Times New Roman"/>
          <w:sz w:val="16"/>
          <w:szCs w:val="16"/>
        </w:rPr>
        <w:t>estate</w:t>
      </w:r>
      <w:proofErr w:type="spellEnd"/>
      <w:r w:rsidR="00F16567">
        <w:rPr>
          <w:rFonts w:ascii="Times New Roman" w:hAnsi="Times New Roman" w:cs="Times New Roman"/>
          <w:sz w:val="16"/>
          <w:szCs w:val="16"/>
        </w:rPr>
        <w:t>.</w:t>
      </w:r>
      <w:r w:rsidR="0041190D" w:rsidRPr="007F5747">
        <w:rPr>
          <w:rFonts w:ascii="Times New Roman" w:hAnsi="Times New Roman" w:cs="Times New Roman"/>
          <w:sz w:val="16"/>
          <w:szCs w:val="16"/>
        </w:rPr>
        <w:t xml:space="preserve"> AE</w:t>
      </w:r>
      <w:r w:rsidR="00F16567">
        <w:rPr>
          <w:rFonts w:ascii="Times New Roman" w:hAnsi="Times New Roman" w:cs="Times New Roman"/>
          <w:sz w:val="16"/>
          <w:szCs w:val="16"/>
        </w:rPr>
        <w:t xml:space="preserve">. </w:t>
      </w:r>
      <w:r w:rsidR="0041190D" w:rsidRPr="007F5747">
        <w:rPr>
          <w:rFonts w:ascii="Times New Roman" w:hAnsi="Times New Roman" w:cs="Times New Roman"/>
          <w:sz w:val="16"/>
          <w:szCs w:val="16"/>
        </w:rPr>
        <w:t xml:space="preserve"> Katowice</w:t>
      </w:r>
      <w:r w:rsidR="00F16567">
        <w:rPr>
          <w:rFonts w:ascii="Times New Roman" w:hAnsi="Times New Roman" w:cs="Times New Roman"/>
          <w:sz w:val="16"/>
          <w:szCs w:val="16"/>
        </w:rPr>
        <w:t>.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pp. 233-236.</w:t>
      </w:r>
    </w:p>
    <w:p w14:paraId="525A692B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above-mentioned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country's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Alongside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management of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technical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</w:t>
      </w:r>
      <w:r>
        <w:rPr>
          <w:rFonts w:ascii="Times New Roman" w:eastAsia="Times New Roman" w:hAnsi="Times New Roman" w:cs="Times New Roman"/>
          <w:sz w:val="24"/>
          <w:szCs w:val="24"/>
        </w:rPr>
        <w:t>oitation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deterioration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Alongside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emerges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assumes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acceptance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unreliable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incurring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policy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28F787" w14:textId="0152B226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inherent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choosin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lower-than-expected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earnings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dividend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Similarly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indirect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agreements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investment.</w:t>
      </w:r>
    </w:p>
    <w:p w14:paraId="5113C56A" w14:textId="2CB67EEF" w:rsidR="003A7E25" w:rsidRDefault="003A7E25" w:rsidP="004F20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Discussions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7ACA16C" w14:textId="08E194BD" w:rsidR="00174F47" w:rsidRDefault="00C65B65" w:rsidP="004F20C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inv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estment real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market in Poland from 2020 to 2023</w:t>
      </w:r>
    </w:p>
    <w:p w14:paraId="641E9C60" w14:textId="656C83BA" w:rsidR="00A73A46" w:rsidRDefault="00C65B65" w:rsidP="007F5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2020-2023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socio-economic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5) in Poland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market's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functioning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6FCD4" w14:textId="0BACBA59" w:rsidR="00815CF8" w:rsidRPr="00A73A46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Figure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5.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Factors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influencing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the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market in Poland in the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years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2020-2023 (</w:t>
      </w:r>
      <w:r w:rsidR="00A73A46">
        <w:rPr>
          <w:rFonts w:ascii="Times New Roman" w:eastAsia="Times New Roman" w:hAnsi="Times New Roman" w:cs="Times New Roman"/>
          <w:bCs/>
          <w:sz w:val="20"/>
          <w:szCs w:val="20"/>
        </w:rPr>
        <w:t>Q1</w:t>
      </w:r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0084DAE3" w14:textId="03CDF915" w:rsidR="00815CF8" w:rsidRDefault="00815C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FD93A1A" wp14:editId="42773D48">
            <wp:extent cx="5486400" cy="2870200"/>
            <wp:effectExtent l="0" t="0" r="19050" b="6350"/>
            <wp:docPr id="1716426788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6D6E647" w14:textId="6E573856" w:rsidR="00A73A46" w:rsidRPr="007F5747" w:rsidRDefault="00C65B65" w:rsidP="007F574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Own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work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405444A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</w:p>
    <w:p w14:paraId="6919B282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2020,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/sale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sale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(44.3% and 48.0%,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Central Statistical Office (GUS),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trend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44% and 47.6%,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E20716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broader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market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noticeable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slowdown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uncertainty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restricted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nvestment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decisions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2020,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shifts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learning. People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major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gardens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desirable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trend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businesses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shifted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online services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outlets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Simultaneously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lodging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facilities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discouraged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mountain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69303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2020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high, as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returns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deposits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COVID-19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pandemic's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attractive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alternative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2020 was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household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fiscal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monetary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mortgage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2A086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2021, the residential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expansion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down in the third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period,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supply-side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barriers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Bank of Poland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half of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characteristics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substantial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role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fulfilling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consumption-oriented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31C07" w14:textId="315250E9" w:rsidR="00F5542E" w:rsidRPr="00D35F4F" w:rsidRDefault="00C65B65" w:rsidP="00D35F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a 24.3%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notarial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2021.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dynamically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the COV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ID-19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reversal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trend with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(from the third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environment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41190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90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318ABC" w14:textId="3C848607" w:rsidR="00174F47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7F5747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7F574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190D" w:rsidRPr="007F5747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7F5747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>Number</w:t>
      </w:r>
      <w:proofErr w:type="spellEnd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>value</w:t>
      </w:r>
      <w:proofErr w:type="spellEnd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 xml:space="preserve"> of real </w:t>
      </w:r>
      <w:proofErr w:type="spellStart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>transactions</w:t>
      </w:r>
      <w:proofErr w:type="spellEnd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 xml:space="preserve"> in the </w:t>
      </w:r>
      <w:proofErr w:type="spellStart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>years</w:t>
      </w:r>
      <w:proofErr w:type="spellEnd"/>
      <w:r w:rsidRPr="007F5747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2020-2022</w:t>
      </w:r>
    </w:p>
    <w:tbl>
      <w:tblPr>
        <w:tblStyle w:val="a4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4F47" w14:paraId="0C8FBF0D" w14:textId="77777777" w:rsidTr="00174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A41182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021" w:type="dxa"/>
          </w:tcPr>
          <w:p w14:paraId="58407F71" w14:textId="77777777" w:rsidR="00174F47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transactions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pcs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.]</w:t>
            </w:r>
          </w:p>
        </w:tc>
        <w:tc>
          <w:tcPr>
            <w:tcW w:w="3021" w:type="dxa"/>
          </w:tcPr>
          <w:p w14:paraId="3D65FC60" w14:textId="77777777" w:rsidR="00174F47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Transaction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value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 xml:space="preserve"> [in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millions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  <w:t>]</w:t>
            </w:r>
          </w:p>
        </w:tc>
      </w:tr>
      <w:tr w:rsidR="00174F47" w14:paraId="7ECC51FF" w14:textId="77777777" w:rsidTr="00174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A116D7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2020</w:t>
            </w:r>
          </w:p>
        </w:tc>
        <w:tc>
          <w:tcPr>
            <w:tcW w:w="3021" w:type="dxa"/>
          </w:tcPr>
          <w:p w14:paraId="1BF5E3AA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510 312</w:t>
            </w:r>
          </w:p>
        </w:tc>
        <w:tc>
          <w:tcPr>
            <w:tcW w:w="3021" w:type="dxa"/>
          </w:tcPr>
          <w:p w14:paraId="432BB505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145 146</w:t>
            </w:r>
          </w:p>
        </w:tc>
      </w:tr>
      <w:tr w:rsidR="00174F47" w14:paraId="076F7695" w14:textId="77777777" w:rsidTr="00174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F72AF99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2021</w:t>
            </w:r>
          </w:p>
        </w:tc>
        <w:tc>
          <w:tcPr>
            <w:tcW w:w="3021" w:type="dxa"/>
          </w:tcPr>
          <w:p w14:paraId="6DC78C78" w14:textId="77777777" w:rsidR="00174F47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614 178</w:t>
            </w:r>
          </w:p>
        </w:tc>
        <w:tc>
          <w:tcPr>
            <w:tcW w:w="3021" w:type="dxa"/>
          </w:tcPr>
          <w:p w14:paraId="1B64DC98" w14:textId="77777777" w:rsidR="00174F47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198 052</w:t>
            </w:r>
          </w:p>
        </w:tc>
      </w:tr>
      <w:tr w:rsidR="00174F47" w14:paraId="610B1E3E" w14:textId="77777777" w:rsidTr="00174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A24F0EB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2022</w:t>
            </w:r>
          </w:p>
        </w:tc>
        <w:tc>
          <w:tcPr>
            <w:tcW w:w="3021" w:type="dxa"/>
          </w:tcPr>
          <w:p w14:paraId="563B4974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489 971</w:t>
            </w:r>
          </w:p>
        </w:tc>
        <w:tc>
          <w:tcPr>
            <w:tcW w:w="3021" w:type="dxa"/>
          </w:tcPr>
          <w:p w14:paraId="3B7DB810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175 163</w:t>
            </w:r>
          </w:p>
        </w:tc>
      </w:tr>
    </w:tbl>
    <w:p w14:paraId="092423D4" w14:textId="1157A7FC" w:rsidR="00A73A46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Self-prepared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based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data from GUS (Central Statistical Office):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Transactions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in: 2021, file:///C:/Users/jrybacka/Downloads/obrot_nieruchomosciami_w_2021_roku%20(2).pdf,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accessed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August 23, 2024;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Transactions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in 2020, f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ile:///C:/Users/jrybacka/Downloads/obrot_nieruchomoaciami_w_2020_roku%20(3).pdf,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accessed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August 23, 2021.</w:t>
      </w:r>
    </w:p>
    <w:p w14:paraId="5ABFBBB5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2021 by 4%,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coupled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20.6%,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trend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2021,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z w:val="24"/>
          <w:szCs w:val="24"/>
        </w:rPr>
        <w:t>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secondary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Poland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exhibit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upward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trend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dynamics in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accelerated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end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double-digit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2020.</w:t>
      </w:r>
    </w:p>
    <w:p w14:paraId="0890EE82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yields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shifts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z w:val="24"/>
          <w:szCs w:val="24"/>
        </w:rPr>
        <w:t>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immigrants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approximately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21-26%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emphasizing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driver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2023,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slightly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emphasis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attractive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retur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Amid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devaluation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1A9AAA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profitability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acquiring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introduced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Poland.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concerned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ohibition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depreciation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exceeding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PLN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shopping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E6A2E23" w14:textId="7E25F8D9" w:rsidR="00A73A46" w:rsidRDefault="00C65B65" w:rsidP="00D35F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Crucial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and 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41190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90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C954DB" w14:textId="5D16632D" w:rsidR="00174F47" w:rsidRPr="008D6465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190D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Interest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rates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average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rental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price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, and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average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apartment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price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 the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years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2020-2023 (1Q).</w:t>
      </w:r>
    </w:p>
    <w:tbl>
      <w:tblPr>
        <w:tblStyle w:val="a5"/>
        <w:tblW w:w="906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74F47" w:rsidRPr="007F5747" w14:paraId="62B7F0B7" w14:textId="77777777" w:rsidTr="00174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4C917F2" w14:textId="77777777" w:rsidR="00174F47" w:rsidRPr="00D35F4F" w:rsidRDefault="00C65B65" w:rsidP="00D35F4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5" w:type="dxa"/>
          </w:tcPr>
          <w:p w14:paraId="71A87634" w14:textId="77777777" w:rsidR="00174F47" w:rsidRPr="00D35F4F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Reference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rate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average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) [%]</w:t>
            </w:r>
            <w:r w:rsidRPr="00D35F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6"/>
            </w:r>
          </w:p>
          <w:p w14:paraId="66CB9A2E" w14:textId="77777777" w:rsidR="00174F47" w:rsidRPr="00D35F4F" w:rsidRDefault="00174F47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BE6C921" w14:textId="77777777" w:rsidR="00174F47" w:rsidRPr="00D35F4F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Average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rent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price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per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square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meter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(Gdańsk) [PLN]</w:t>
            </w:r>
          </w:p>
        </w:tc>
        <w:tc>
          <w:tcPr>
            <w:tcW w:w="2266" w:type="dxa"/>
          </w:tcPr>
          <w:p w14:paraId="4FBEB87A" w14:textId="77777777" w:rsidR="00174F47" w:rsidRPr="00D35F4F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Average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price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of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apartments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in the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secondary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market per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square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meter</w:t>
            </w:r>
            <w:proofErr w:type="spellEnd"/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(Gdańsk) [PLN]</w:t>
            </w:r>
          </w:p>
        </w:tc>
      </w:tr>
      <w:tr w:rsidR="00174F47" w14:paraId="2BEDBAD4" w14:textId="77777777" w:rsidTr="00174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9A98DD" w14:textId="77777777" w:rsidR="00174F47" w:rsidRPr="00D35F4F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2020</w:t>
            </w:r>
          </w:p>
        </w:tc>
        <w:tc>
          <w:tcPr>
            <w:tcW w:w="2265" w:type="dxa"/>
          </w:tcPr>
          <w:p w14:paraId="56E71DD7" w14:textId="77777777" w:rsidR="00174F47" w:rsidRPr="00D35F4F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0,53</w:t>
            </w:r>
          </w:p>
        </w:tc>
        <w:tc>
          <w:tcPr>
            <w:tcW w:w="2266" w:type="dxa"/>
          </w:tcPr>
          <w:p w14:paraId="7B70ACD9" w14:textId="77777777" w:rsidR="00174F47" w:rsidRPr="00D35F4F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266" w:type="dxa"/>
          </w:tcPr>
          <w:p w14:paraId="2CA408AE" w14:textId="77777777" w:rsidR="00174F47" w:rsidRPr="00D35F4F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10 523</w:t>
            </w:r>
          </w:p>
        </w:tc>
      </w:tr>
      <w:tr w:rsidR="00174F47" w14:paraId="510644C9" w14:textId="77777777" w:rsidTr="00174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A2512A8" w14:textId="77777777" w:rsidR="00174F47" w:rsidRPr="00D35F4F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2021</w:t>
            </w:r>
          </w:p>
        </w:tc>
        <w:tc>
          <w:tcPr>
            <w:tcW w:w="2265" w:type="dxa"/>
          </w:tcPr>
          <w:p w14:paraId="5B49A759" w14:textId="77777777" w:rsidR="00174F47" w:rsidRPr="00D35F4F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1,16</w:t>
            </w:r>
          </w:p>
        </w:tc>
        <w:tc>
          <w:tcPr>
            <w:tcW w:w="2266" w:type="dxa"/>
          </w:tcPr>
          <w:p w14:paraId="33A5E5E3" w14:textId="77777777" w:rsidR="00174F47" w:rsidRPr="00D35F4F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266" w:type="dxa"/>
          </w:tcPr>
          <w:p w14:paraId="7E710629" w14:textId="77777777" w:rsidR="00174F47" w:rsidRPr="00D35F4F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11 444</w:t>
            </w:r>
          </w:p>
        </w:tc>
      </w:tr>
      <w:tr w:rsidR="00174F47" w14:paraId="317C27CD" w14:textId="77777777" w:rsidTr="00174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889B074" w14:textId="77777777" w:rsidR="00174F47" w:rsidRPr="00D35F4F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2022</w:t>
            </w:r>
          </w:p>
        </w:tc>
        <w:tc>
          <w:tcPr>
            <w:tcW w:w="2265" w:type="dxa"/>
          </w:tcPr>
          <w:p w14:paraId="55433F63" w14:textId="77777777" w:rsidR="00174F47" w:rsidRPr="00D35F4F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4,39</w:t>
            </w:r>
          </w:p>
        </w:tc>
        <w:tc>
          <w:tcPr>
            <w:tcW w:w="2266" w:type="dxa"/>
          </w:tcPr>
          <w:p w14:paraId="0FE38C83" w14:textId="77777777" w:rsidR="00174F47" w:rsidRPr="00D35F4F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266" w:type="dxa"/>
          </w:tcPr>
          <w:p w14:paraId="2792455F" w14:textId="77777777" w:rsidR="00174F47" w:rsidRPr="00D35F4F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12 065</w:t>
            </w:r>
          </w:p>
        </w:tc>
      </w:tr>
      <w:tr w:rsidR="00174F47" w14:paraId="29362914" w14:textId="77777777" w:rsidTr="00174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30FB898" w14:textId="77777777" w:rsidR="00174F47" w:rsidRPr="00D35F4F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2023 (from 2022.09)</w:t>
            </w:r>
          </w:p>
        </w:tc>
        <w:tc>
          <w:tcPr>
            <w:tcW w:w="2265" w:type="dxa"/>
          </w:tcPr>
          <w:p w14:paraId="0D295FE3" w14:textId="77777777" w:rsidR="00174F47" w:rsidRPr="00D35F4F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6,75</w:t>
            </w:r>
          </w:p>
        </w:tc>
        <w:tc>
          <w:tcPr>
            <w:tcW w:w="2266" w:type="dxa"/>
          </w:tcPr>
          <w:p w14:paraId="07503195" w14:textId="77777777" w:rsidR="00174F47" w:rsidRPr="00D35F4F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266" w:type="dxa"/>
          </w:tcPr>
          <w:p w14:paraId="2A8AC862" w14:textId="77777777" w:rsidR="00174F47" w:rsidRPr="00D35F4F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12 233</w:t>
            </w:r>
          </w:p>
        </w:tc>
      </w:tr>
    </w:tbl>
    <w:p w14:paraId="36BD3B89" w14:textId="433B8845" w:rsidR="00174F47" w:rsidRPr="007F5747" w:rsidRDefault="008D64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Source:Residential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and Commercial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Market in Poland in 2021,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cover.indd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(nbp.pl),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National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Bank of Poland, Information on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Apartment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Prices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and the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Situation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the Residential and Commercial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Market in Poland in the 1st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Quarter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of 2023, </w:t>
      </w:r>
      <w:r w:rsidRPr="007F5747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https://nbp.pl/wp-content/uploads/2023/06/Informacja-o-cenach-mieszkan-i-sytuacji-na-rynku-nieruchomosci-mieszkaniowych-i-komercyjnych-w-Polsce-%E2%80%93-I-kwartal-2023.pdf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National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Bank of Poland, Report on the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Situation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in the Residential and Commercial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Market in Poland in 2020, </w:t>
      </w:r>
      <w:r w:rsidRPr="007F5747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https://nbp.pl/wp-content/uploads/2022/09/raport_2020.pdf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National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Bank of Poland, 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Information on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Apartment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Prices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and the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Situation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the Residential and Commercial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Market in Poland in the 4th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Quarter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of 2022, </w:t>
      </w:r>
      <w:hyperlink r:id="rId24">
        <w:r w:rsidRPr="007F574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https://nbp.pl/wp-content/uploads/2023/03/Informacja-o-cenach-mieszkan-w-IV-2022.pdf</w:t>
        </w:r>
      </w:hyperlink>
      <w:r w:rsidRPr="007F574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E37D06C" w14:textId="77777777" w:rsidR="00A73A46" w:rsidRPr="00A73A46" w:rsidRDefault="00A73A4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852392" w14:textId="28581CA1" w:rsidR="003A7E25" w:rsidRPr="007F5747" w:rsidRDefault="00C65B65" w:rsidP="007F5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dynamically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Poland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characterized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refugees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Poland in 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coming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eastern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E1E51B" w14:textId="52B2510F" w:rsidR="00174F47" w:rsidRDefault="00C65B65" w:rsidP="004F20C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socio-economic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risks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real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investment from 2020 to 2023</w:t>
      </w:r>
    </w:p>
    <w:p w14:paraId="25581EFC" w14:textId="11C88A28" w:rsidR="00A73A46" w:rsidRDefault="00C65B65" w:rsidP="00D35F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Dynamic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socio-economic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2020-2023 (1st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illustrated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41190D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igure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 The major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period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political-legal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F2503" w14:textId="67E5E213" w:rsidR="00174F47" w:rsidRPr="00815CF8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6</w:t>
      </w:r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Risks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 real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estate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investment in the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years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2020-2023</w:t>
      </w:r>
    </w:p>
    <w:p w14:paraId="06B54BCE" w14:textId="7429D8F4" w:rsidR="00815CF8" w:rsidRDefault="00815CF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74EE8C" wp14:editId="332A1292">
            <wp:extent cx="5486400" cy="3200400"/>
            <wp:effectExtent l="0" t="0" r="19050" b="0"/>
            <wp:docPr id="828599819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065B2033" w14:textId="5568D49B" w:rsidR="00F5542E" w:rsidRPr="00D35F4F" w:rsidRDefault="00C65B65" w:rsidP="00D35F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Author's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own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compilation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04B5A23" w14:textId="7355CC49" w:rsidR="00A73A46" w:rsidRDefault="00C65B65" w:rsidP="007F57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return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bank.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return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worthwhile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ROE (Return on Equi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the ratio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multiplied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="0041190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investment return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residential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period 2020-</w:t>
      </w:r>
      <w:r w:rsidRPr="00351F6A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351F6A" w:rsidRPr="00351F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51F6A" w:rsidRPr="00351F6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351F6A" w:rsidRPr="00351F6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351F6A" w:rsidRPr="00351F6A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351F6A" w:rsidRPr="00351F6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351F6A" w:rsidRPr="00351F6A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351F6A" w:rsidRPr="00351F6A">
        <w:rPr>
          <w:rFonts w:ascii="Times New Roman" w:hAnsi="Times New Roman" w:cs="Times New Roman"/>
          <w:sz w:val="24"/>
          <w:szCs w:val="24"/>
        </w:rPr>
        <w:t xml:space="preserve"> of Gdańsk)</w:t>
      </w:r>
      <w:r w:rsidRPr="00351F6A">
        <w:rPr>
          <w:rFonts w:ascii="Times New Roman" w:hAnsi="Times New Roman" w:cs="Times New Roman"/>
          <w:sz w:val="24"/>
          <w:szCs w:val="24"/>
        </w:rPr>
        <w:t>.</w:t>
      </w:r>
    </w:p>
    <w:p w14:paraId="4EA7ABE2" w14:textId="77777777" w:rsidR="00A73A46" w:rsidRDefault="00A73A46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05EB9" w14:textId="66544F29" w:rsidR="00174F47" w:rsidRPr="008D6465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190D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8D6465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Return on </w:t>
      </w:r>
      <w:r w:rsidR="008D6465">
        <w:rPr>
          <w:rFonts w:ascii="Times New Roman" w:eastAsia="Times New Roman" w:hAnsi="Times New Roman" w:cs="Times New Roman"/>
          <w:bCs/>
          <w:sz w:val="20"/>
          <w:szCs w:val="20"/>
        </w:rPr>
        <w:t>e</w:t>
      </w:r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quity (ROE in %) from residential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property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investment in Gdańsk for the </w:t>
      </w:r>
      <w:proofErr w:type="spellStart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>years</w:t>
      </w:r>
      <w:proofErr w:type="spellEnd"/>
      <w:r w:rsidRPr="008D6465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2020-2023</w:t>
      </w:r>
    </w:p>
    <w:tbl>
      <w:tblPr>
        <w:tblStyle w:val="a6"/>
        <w:tblW w:w="821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276"/>
        <w:gridCol w:w="1559"/>
        <w:gridCol w:w="1985"/>
      </w:tblGrid>
      <w:tr w:rsidR="00174F47" w14:paraId="51374C65" w14:textId="77777777" w:rsidTr="00174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EEB8D2" w14:textId="77777777" w:rsidR="00174F47" w:rsidRDefault="00174F47" w:rsidP="00D35F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35336B" w14:textId="77777777" w:rsidR="00174F47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14:paraId="470275A0" w14:textId="77777777" w:rsidR="00174F47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2021</w:t>
            </w:r>
          </w:p>
        </w:tc>
        <w:tc>
          <w:tcPr>
            <w:tcW w:w="1559" w:type="dxa"/>
          </w:tcPr>
          <w:p w14:paraId="4467483A" w14:textId="77777777" w:rsidR="00174F47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2022</w:t>
            </w:r>
          </w:p>
        </w:tc>
        <w:tc>
          <w:tcPr>
            <w:tcW w:w="1985" w:type="dxa"/>
          </w:tcPr>
          <w:p w14:paraId="494AAF63" w14:textId="77777777" w:rsidR="00174F47" w:rsidRDefault="00C65B65" w:rsidP="00D35F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2023 (I q)</w:t>
            </w:r>
          </w:p>
        </w:tc>
      </w:tr>
      <w:tr w:rsidR="00174F47" w14:paraId="6C331A5A" w14:textId="77777777" w:rsidTr="00174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7A99F4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ROE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7F7F8"/>
              </w:rPr>
              <w:t xml:space="preserve">from investment in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7F7F8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7F7F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7F7F8"/>
              </w:rPr>
              <w:t>apartment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7F7F8"/>
              </w:rPr>
              <w:t xml:space="preserve"> </w:t>
            </w:r>
          </w:p>
          <w:p w14:paraId="6771089E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7F7F8"/>
              </w:rPr>
              <w:t>LTV = 0%</w:t>
            </w:r>
          </w:p>
        </w:tc>
        <w:tc>
          <w:tcPr>
            <w:tcW w:w="1275" w:type="dxa"/>
          </w:tcPr>
          <w:p w14:paraId="76649393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3,28</w:t>
            </w:r>
          </w:p>
        </w:tc>
        <w:tc>
          <w:tcPr>
            <w:tcW w:w="1276" w:type="dxa"/>
          </w:tcPr>
          <w:p w14:paraId="0B7E6A1D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2,73</w:t>
            </w:r>
          </w:p>
        </w:tc>
        <w:tc>
          <w:tcPr>
            <w:tcW w:w="1559" w:type="dxa"/>
          </w:tcPr>
          <w:p w14:paraId="0BB989D2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3,23</w:t>
            </w:r>
          </w:p>
        </w:tc>
        <w:tc>
          <w:tcPr>
            <w:tcW w:w="1985" w:type="dxa"/>
          </w:tcPr>
          <w:p w14:paraId="67E8E200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3,6</w:t>
            </w:r>
          </w:p>
        </w:tc>
      </w:tr>
      <w:tr w:rsidR="00174F47" w14:paraId="7B8A4AFA" w14:textId="77777777" w:rsidTr="00174F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86CE4D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ROE from investment in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apartment</w:t>
            </w:r>
            <w:proofErr w:type="spellEnd"/>
          </w:p>
          <w:p w14:paraId="71A5577B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LTV = 50%</w:t>
            </w:r>
          </w:p>
        </w:tc>
        <w:tc>
          <w:tcPr>
            <w:tcW w:w="1275" w:type="dxa"/>
          </w:tcPr>
          <w:p w14:paraId="6F19FF18" w14:textId="77777777" w:rsidR="00174F47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35C2DD5" w14:textId="77777777" w:rsidR="00174F47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1559" w:type="dxa"/>
          </w:tcPr>
          <w:p w14:paraId="125736CC" w14:textId="77777777" w:rsidR="00174F47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-1,48</w:t>
            </w:r>
          </w:p>
        </w:tc>
        <w:tc>
          <w:tcPr>
            <w:tcW w:w="1985" w:type="dxa"/>
          </w:tcPr>
          <w:p w14:paraId="36DDF199" w14:textId="77777777" w:rsidR="00174F47" w:rsidRDefault="00C65B65" w:rsidP="00D35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-1,7</w:t>
            </w:r>
          </w:p>
        </w:tc>
      </w:tr>
      <w:tr w:rsidR="00174F47" w14:paraId="3C9F5208" w14:textId="77777777" w:rsidTr="00174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6B5535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ROE from investment in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apartment</w:t>
            </w:r>
            <w:proofErr w:type="spellEnd"/>
          </w:p>
          <w:p w14:paraId="47B07372" w14:textId="77777777" w:rsidR="00174F47" w:rsidRDefault="00C65B65" w:rsidP="00D35F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LTV = 80%</w:t>
            </w:r>
          </w:p>
        </w:tc>
        <w:tc>
          <w:tcPr>
            <w:tcW w:w="1275" w:type="dxa"/>
          </w:tcPr>
          <w:p w14:paraId="5749C829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1276" w:type="dxa"/>
          </w:tcPr>
          <w:p w14:paraId="4490AE60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-0,1</w:t>
            </w:r>
          </w:p>
        </w:tc>
        <w:tc>
          <w:tcPr>
            <w:tcW w:w="1559" w:type="dxa"/>
          </w:tcPr>
          <w:p w14:paraId="7D7E7EC6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-15,63</w:t>
            </w:r>
          </w:p>
        </w:tc>
        <w:tc>
          <w:tcPr>
            <w:tcW w:w="1985" w:type="dxa"/>
          </w:tcPr>
          <w:p w14:paraId="78D27354" w14:textId="77777777" w:rsidR="00174F47" w:rsidRDefault="00C65B65" w:rsidP="00D35F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-17,5</w:t>
            </w:r>
          </w:p>
        </w:tc>
      </w:tr>
    </w:tbl>
    <w:p w14:paraId="471AC1C4" w14:textId="1A65DC7F" w:rsidR="00174F47" w:rsidRPr="007F5747" w:rsidRDefault="00C65B65" w:rsidP="007F57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Source: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Author's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own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work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based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on: NBP, Information on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Housing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Prices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and the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Situation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in the Residential and Commercial Real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Estate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Market in Poland in the 1st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Quarter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of 2023, </w:t>
      </w:r>
      <w:r w:rsidRPr="007F5747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https://nbp.pl/wp-content/uploads/2023/06/Informacja-o-cenach-mieszkan-i-sytuacji-na-rynku-nieruchomosci-mieszkaniowych-i-komercyjnych-w-Polsce-%E2%80%93-I-kwartal-</w:t>
      </w:r>
      <w:r w:rsidRPr="007F5747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2023.pdf</w:t>
      </w:r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7F5747">
        <w:rPr>
          <w:rFonts w:ascii="Times New Roman" w:eastAsia="Times New Roman" w:hAnsi="Times New Roman" w:cs="Times New Roman"/>
          <w:sz w:val="16"/>
          <w:szCs w:val="16"/>
        </w:rPr>
        <w:t>accessed</w:t>
      </w:r>
      <w:proofErr w:type="spellEnd"/>
      <w:r w:rsidRPr="007F5747">
        <w:rPr>
          <w:rFonts w:ascii="Times New Roman" w:eastAsia="Times New Roman" w:hAnsi="Times New Roman" w:cs="Times New Roman"/>
          <w:sz w:val="16"/>
          <w:szCs w:val="16"/>
        </w:rPr>
        <w:t xml:space="preserve"> on August 24, 2023.</w:t>
      </w:r>
    </w:p>
    <w:p w14:paraId="68885345" w14:textId="77777777" w:rsidR="00174F47" w:rsidRDefault="00174F4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EF5A74" w14:textId="71BA521E" w:rsidR="00174F47" w:rsidRDefault="00C65B65" w:rsidP="005A18D6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0.53% to 6.75%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investment return,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borrowed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equity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end of 2021,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return on equity.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2020 to 2023 (</w:t>
      </w:r>
      <w:r w:rsidR="00C17CFD">
        <w:rPr>
          <w:rFonts w:ascii="Times New Roman" w:eastAsia="Times New Roman" w:hAnsi="Times New Roman" w:cs="Times New Roman"/>
          <w:sz w:val="24"/>
          <w:szCs w:val="24"/>
        </w:rPr>
        <w:t>1Q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illustrates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influence the ret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6DEC8F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maintenance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investment return.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materials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maintaining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rent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maintenance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materials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2021 was 1.8%,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22%, and by mid-2022,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reached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34%.</w:t>
      </w:r>
    </w:p>
    <w:p w14:paraId="5918EA50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aggression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Russia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decisions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citizens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uncertainty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unfolding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encourage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conflict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eastern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liquidity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conflicts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retrieval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the investment.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indivisibility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anxiety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fluctuations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isolated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liquidity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</w:t>
      </w:r>
      <w:r>
        <w:rPr>
          <w:rFonts w:ascii="Times New Roman" w:eastAsia="Times New Roman" w:hAnsi="Times New Roman" w:cs="Times New Roman"/>
          <w:sz w:val="24"/>
          <w:szCs w:val="24"/>
        </w:rPr>
        <w:t>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distinct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fixed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paintings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securities.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disasters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military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conflicts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complicates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investment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605A7" w14:textId="58FBCA7D" w:rsidR="00174F47" w:rsidRPr="004F20C9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commodity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usually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Supply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quickly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adjusted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potenti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buyers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segment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assuming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unchanged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commodity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3999B" w14:textId="0568490D" w:rsidR="00174F47" w:rsidRDefault="00C65B65" w:rsidP="004F20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Conclusio</w:t>
      </w:r>
      <w:r w:rsidR="003A7E25">
        <w:rPr>
          <w:rFonts w:ascii="Times New Roman" w:eastAsia="Times New Roman" w:hAnsi="Times New Roman" w:cs="Times New Roman"/>
          <w:b/>
          <w:sz w:val="24"/>
          <w:szCs w:val="24"/>
        </w:rPr>
        <w:t>ns</w:t>
      </w:r>
      <w:proofErr w:type="spellEnd"/>
      <w:r w:rsidR="003A7E2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EE8A327" w14:textId="77777777" w:rsidR="00174F47" w:rsidRPr="00F33FBF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strongly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period from 2020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2023.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dependent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subsidies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countr</w:t>
      </w:r>
      <w:r>
        <w:rPr>
          <w:rFonts w:ascii="Times New Roman" w:eastAsia="Times New Roman" w:hAnsi="Times New Roman" w:cs="Times New Roman"/>
          <w:sz w:val="24"/>
          <w:szCs w:val="24"/>
        </w:rPr>
        <w:t>y's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preserve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</w:t>
      </w:r>
      <w:r>
        <w:rPr>
          <w:rFonts w:ascii="Times New Roman" w:eastAsia="Times New Roman" w:hAnsi="Times New Roman" w:cs="Times New Roman"/>
          <w:sz w:val="24"/>
          <w:szCs w:val="24"/>
        </w:rPr>
        <w:t>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intention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profit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speculative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effect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8F46565" w14:textId="5A931380" w:rsidR="00F33FBF" w:rsidRPr="00F33FBF" w:rsidRDefault="00F33FBF" w:rsidP="004F2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FB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macroeconomic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tenant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preferences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impacting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2020-2023 (</w:t>
      </w:r>
      <w:r>
        <w:rPr>
          <w:rFonts w:ascii="Times New Roman" w:hAnsi="Times New Roman" w:cs="Times New Roman"/>
          <w:sz w:val="24"/>
          <w:szCs w:val="24"/>
        </w:rPr>
        <w:t>Q1</w:t>
      </w:r>
      <w:r w:rsidRPr="00F33F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distinct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specificity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with real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prominently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resulted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as investment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securities,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investment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>.</w:t>
      </w:r>
    </w:p>
    <w:p w14:paraId="02E2CB0E" w14:textId="0B0EF536" w:rsidR="00F33FBF" w:rsidRPr="00F33FBF" w:rsidRDefault="00F33FBF" w:rsidP="004F2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FB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in Poland from 2020 to 2023 (Q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3F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drew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investors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allocating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asset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liquidity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and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dependence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>.</w:t>
      </w:r>
    </w:p>
    <w:p w14:paraId="6451FA3E" w14:textId="212BC3A8" w:rsidR="00F33FBF" w:rsidRPr="00F33FBF" w:rsidRDefault="00F33FBF" w:rsidP="004F20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FB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by the Central Statistical Office and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Bank of Poland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the real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driver of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of return on equity for real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estate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F33FBF">
        <w:rPr>
          <w:rFonts w:ascii="Times New Roman" w:hAnsi="Times New Roman" w:cs="Times New Roman"/>
          <w:sz w:val="24"/>
          <w:szCs w:val="24"/>
        </w:rPr>
        <w:t>.</w:t>
      </w:r>
      <w:r w:rsidRPr="00F33FBF">
        <w:rPr>
          <w:rFonts w:ascii="Times New Roman" w:eastAsia="Times New Roman" w:hAnsi="Times New Roman" w:cs="Times New Roman"/>
          <w:vanish/>
          <w:sz w:val="24"/>
          <w:szCs w:val="24"/>
        </w:rPr>
        <w:t>Początek formularza</w:t>
      </w:r>
    </w:p>
    <w:p w14:paraId="6DC7F2D2" w14:textId="510EE5C0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FB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In the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, the real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investment market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challenges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purchase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taxes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to a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spellEnd"/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F33FBF">
        <w:rPr>
          <w:rFonts w:ascii="Times New Roman" w:eastAsia="Times New Roman" w:hAnsi="Times New Roman" w:cs="Times New Roman"/>
          <w:sz w:val="24"/>
          <w:szCs w:val="24"/>
        </w:rPr>
        <w:t xml:space="preserve">n investment </w:t>
      </w:r>
      <w:proofErr w:type="spellStart"/>
      <w:r w:rsidRPr="00F33FBF">
        <w:rPr>
          <w:rFonts w:ascii="Times New Roman" w:eastAsia="Times New Roman" w:hAnsi="Times New Roman" w:cs="Times New Roman"/>
          <w:sz w:val="24"/>
          <w:szCs w:val="24"/>
        </w:rPr>
        <w:t>returns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returns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equity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employed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Additionally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B529C" w14:textId="77777777" w:rsidR="00174F47" w:rsidRDefault="00C65B65" w:rsidP="004F20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carrier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expectations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affordable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friendly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warehouses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residential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Energy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face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D01F48" w14:textId="77777777" w:rsidR="00174F47" w:rsidRDefault="00174F47" w:rsidP="00F33F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CEEA3" w14:textId="38865D7A" w:rsidR="00174F47" w:rsidRDefault="003A7E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14:paraId="5BBA995C" w14:textId="3BD2B6B6" w:rsidR="00B42532" w:rsidRDefault="00B42532" w:rsidP="00B42532">
      <w:pPr>
        <w:pStyle w:val="nova-legacy-e-listitem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Bilozor</w:t>
      </w:r>
      <w:proofErr w:type="spellEnd"/>
      <w:r>
        <w:rPr>
          <w:color w:val="000000"/>
          <w:sz w:val="20"/>
          <w:szCs w:val="20"/>
        </w:rPr>
        <w:t>. A.&amp;</w:t>
      </w:r>
      <w:proofErr w:type="spellStart"/>
      <w:r>
        <w:rPr>
          <w:color w:val="000000"/>
          <w:sz w:val="20"/>
          <w:szCs w:val="20"/>
        </w:rPr>
        <w:t>Kalaukas</w:t>
      </w:r>
      <w:proofErr w:type="spellEnd"/>
      <w:r>
        <w:rPr>
          <w:color w:val="000000"/>
          <w:sz w:val="20"/>
          <w:szCs w:val="20"/>
        </w:rPr>
        <w:t xml:space="preserve">. A. (2014). </w:t>
      </w:r>
      <w:r w:rsidRPr="00B42532">
        <w:rPr>
          <w:color w:val="000000"/>
          <w:sz w:val="20"/>
          <w:szCs w:val="20"/>
        </w:rPr>
        <w:t xml:space="preserve">Rating </w:t>
      </w:r>
      <w:proofErr w:type="spellStart"/>
      <w:r w:rsidRPr="00B42532">
        <w:rPr>
          <w:color w:val="000000"/>
          <w:sz w:val="20"/>
          <w:szCs w:val="20"/>
        </w:rPr>
        <w:t>methodology</w:t>
      </w:r>
      <w:proofErr w:type="spellEnd"/>
      <w:r w:rsidRPr="00B42532">
        <w:rPr>
          <w:color w:val="000000"/>
          <w:sz w:val="20"/>
          <w:szCs w:val="20"/>
        </w:rPr>
        <w:t xml:space="preserve"> for real </w:t>
      </w:r>
      <w:proofErr w:type="spellStart"/>
      <w:r w:rsidRPr="00B42532">
        <w:rPr>
          <w:color w:val="000000"/>
          <w:sz w:val="20"/>
          <w:szCs w:val="20"/>
        </w:rPr>
        <w:t>estate</w:t>
      </w:r>
      <w:proofErr w:type="spellEnd"/>
      <w:r w:rsidRPr="00B42532">
        <w:rPr>
          <w:color w:val="000000"/>
          <w:sz w:val="20"/>
          <w:szCs w:val="20"/>
        </w:rPr>
        <w:t xml:space="preserve"> </w:t>
      </w:r>
      <w:proofErr w:type="spellStart"/>
      <w:r w:rsidRPr="00B42532">
        <w:rPr>
          <w:color w:val="000000"/>
          <w:sz w:val="20"/>
          <w:szCs w:val="20"/>
        </w:rPr>
        <w:t>markets</w:t>
      </w:r>
      <w:proofErr w:type="spellEnd"/>
      <w:r w:rsidRPr="00B42532">
        <w:rPr>
          <w:color w:val="000000"/>
          <w:sz w:val="20"/>
          <w:szCs w:val="20"/>
        </w:rPr>
        <w:t xml:space="preserve"> – Poland </w:t>
      </w:r>
      <w:proofErr w:type="spellStart"/>
      <w:r w:rsidRPr="00B42532">
        <w:rPr>
          <w:color w:val="000000"/>
          <w:sz w:val="20"/>
          <w:szCs w:val="20"/>
        </w:rPr>
        <w:t>case</w:t>
      </w:r>
      <w:proofErr w:type="spellEnd"/>
      <w:r w:rsidRPr="00B42532">
        <w:rPr>
          <w:color w:val="000000"/>
          <w:sz w:val="20"/>
          <w:szCs w:val="20"/>
        </w:rPr>
        <w:t xml:space="preserve"> </w:t>
      </w:r>
      <w:proofErr w:type="spellStart"/>
      <w:r w:rsidRPr="00B42532">
        <w:rPr>
          <w:color w:val="000000"/>
          <w:sz w:val="20"/>
          <w:szCs w:val="20"/>
        </w:rPr>
        <w:t>study</w:t>
      </w:r>
      <w:proofErr w:type="spellEnd"/>
      <w:r>
        <w:rPr>
          <w:color w:val="000000"/>
          <w:sz w:val="20"/>
          <w:szCs w:val="20"/>
        </w:rPr>
        <w:t xml:space="preserve">. </w:t>
      </w:r>
      <w:hyperlink r:id="rId30" w:history="1">
        <w:r w:rsidRPr="00B42532">
          <w:rPr>
            <w:color w:val="000000"/>
            <w:sz w:val="20"/>
            <w:szCs w:val="20"/>
          </w:rPr>
          <w:t xml:space="preserve">International </w:t>
        </w:r>
        <w:proofErr w:type="spellStart"/>
        <w:r w:rsidRPr="00B42532">
          <w:rPr>
            <w:color w:val="000000"/>
            <w:sz w:val="20"/>
            <w:szCs w:val="20"/>
          </w:rPr>
          <w:t>Journal</w:t>
        </w:r>
        <w:proofErr w:type="spellEnd"/>
        <w:r w:rsidRPr="00B42532">
          <w:rPr>
            <w:color w:val="000000"/>
            <w:sz w:val="20"/>
            <w:szCs w:val="20"/>
          </w:rPr>
          <w:t xml:space="preserve"> of Strategic </w:t>
        </w:r>
        <w:proofErr w:type="spellStart"/>
        <w:r w:rsidRPr="00B42532">
          <w:rPr>
            <w:color w:val="000000"/>
            <w:sz w:val="20"/>
            <w:szCs w:val="20"/>
          </w:rPr>
          <w:t>Property</w:t>
        </w:r>
        <w:proofErr w:type="spellEnd"/>
        <w:r w:rsidRPr="00B42532">
          <w:rPr>
            <w:color w:val="000000"/>
            <w:sz w:val="20"/>
            <w:szCs w:val="20"/>
          </w:rPr>
          <w:t xml:space="preserve"> Management</w:t>
        </w:r>
      </w:hyperlink>
      <w:r w:rsidRPr="00B42532">
        <w:rPr>
          <w:color w:val="000000"/>
          <w:sz w:val="20"/>
          <w:szCs w:val="20"/>
        </w:rPr>
        <w:t xml:space="preserve"> 18(2). Doi: </w:t>
      </w:r>
      <w:hyperlink r:id="rId31" w:tgtFrame="_blank" w:history="1">
        <w:r w:rsidRPr="00B42532">
          <w:rPr>
            <w:color w:val="000000"/>
            <w:sz w:val="20"/>
            <w:szCs w:val="20"/>
          </w:rPr>
          <w:t>10.3846/1648715X.2014.927401</w:t>
        </w:r>
      </w:hyperlink>
      <w:r>
        <w:rPr>
          <w:color w:val="000000"/>
          <w:sz w:val="20"/>
          <w:szCs w:val="20"/>
        </w:rPr>
        <w:t>.</w:t>
      </w:r>
    </w:p>
    <w:p w14:paraId="0D6BC91F" w14:textId="705DDB7F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Czerkas</w:t>
      </w:r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(2019).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Risk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Investing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Practical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Approach</w:t>
      </w:r>
      <w:proofErr w:type="spellEnd"/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70F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Real </w:t>
      </w:r>
      <w:proofErr w:type="spellStart"/>
      <w:r w:rsidRPr="00C70F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Estate</w:t>
      </w:r>
      <w:proofErr w:type="spellEnd"/>
      <w:r w:rsidRPr="00C70F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C70F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Financing</w:t>
      </w:r>
      <w:proofErr w:type="spellEnd"/>
      <w:r w:rsidRPr="00C70F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Market</w:t>
      </w:r>
      <w:r w:rsidR="00E63A7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63A79" w:rsidRPr="00E63A79">
        <w:rPr>
          <w:rFonts w:ascii="Times New Roman" w:eastAsia="Times New Roman" w:hAnsi="Times New Roman" w:cs="Times New Roman"/>
          <w:color w:val="000000"/>
          <w:sz w:val="20"/>
          <w:szCs w:val="20"/>
        </w:rPr>
        <w:t>nr 1(55)</w:t>
      </w:r>
      <w:r w:rsidR="00C70FCF" w:rsidRPr="00E63A7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B0F5EEF" w14:textId="4CCCC25A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Czapiewski</w:t>
      </w:r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P.</w:t>
      </w:r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Niedziółka P.</w:t>
      </w:r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(2016).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Investment Portfolio Management</w:t>
      </w:r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Difin</w:t>
      </w:r>
      <w:proofErr w:type="spellEnd"/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Warsaw</w:t>
      </w:r>
      <w:proofErr w:type="spellEnd"/>
      <w:r w:rsid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70FCF" w:rsidRPr="00C70FCF">
        <w:rPr>
          <w:rFonts w:ascii="Times New Roman" w:eastAsia="Times New Roman" w:hAnsi="Times New Roman" w:cs="Times New Roman"/>
          <w:color w:val="000000"/>
          <w:sz w:val="20"/>
          <w:szCs w:val="20"/>
        </w:rPr>
        <w:t>ISBN: 978-83-8085-163-4.</w:t>
      </w:r>
    </w:p>
    <w:p w14:paraId="0149666A" w14:textId="77777777" w:rsidR="00E63A79" w:rsidRDefault="00C65B65" w:rsidP="00E63A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Dasso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&amp;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Ring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AA.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(1989).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Principles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Practices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Prentice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Hall INC.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Englewood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Cliffs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E63A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ISBN: </w:t>
      </w:r>
      <w:r w:rsidR="00E63A79" w:rsidRPr="00E63A7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0137660154, 9780137660155.</w:t>
      </w:r>
    </w:p>
    <w:p w14:paraId="12477B48" w14:textId="556A6887" w:rsidR="00174F47" w:rsidRPr="00E63A79" w:rsidRDefault="00C65B65" w:rsidP="00E63A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Gawron H.</w:t>
      </w:r>
      <w:r w:rsidR="008D170B"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(2006).</w:t>
      </w:r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Profitability</w:t>
      </w:r>
      <w:proofErr w:type="spellEnd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Investing</w:t>
      </w:r>
      <w:proofErr w:type="spellEnd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Real </w:t>
      </w:r>
      <w:proofErr w:type="spellStart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Estate</w:t>
      </w:r>
      <w:proofErr w:type="spellEnd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Market</w:t>
      </w:r>
      <w:r w:rsidR="008D170B"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Publishing House of the University of </w:t>
      </w:r>
      <w:proofErr w:type="spellStart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Economics</w:t>
      </w:r>
      <w:proofErr w:type="spellEnd"/>
      <w:r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Poznań</w:t>
      </w:r>
      <w:r w:rsidR="008D170B" w:rsidRPr="00220C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E63A7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ISBN: </w:t>
      </w:r>
      <w:r w:rsidR="00E63A79" w:rsidRPr="0044278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83-7417-128-0.</w:t>
      </w:r>
    </w:p>
    <w:p w14:paraId="5B512AAF" w14:textId="32EABEC8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Gołębska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(2018).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Network of Investment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Risk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Publishing House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Bialystok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University of Technology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A3B70EA" w14:textId="454D5221" w:rsidR="00174F47" w:rsidRPr="005E5F22" w:rsidRDefault="00C65B65" w:rsidP="00835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Institute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Urban and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Regional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Development,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Polish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 in 2021, with a Special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Emphasis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Properties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Intende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or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Used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Residential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Purposes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Institute_of_Urban_and_Regional_Development,Polish_Real_Estate_Market_in_2021_with_a_Special_Emphasis_on_Properties_Intended_or_Used_for_Residential_Purposes(1).pdf,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accessed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August 18, 2023.</w:t>
      </w:r>
    </w:p>
    <w:p w14:paraId="1567857F" w14:textId="58B2F980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Kucharska-Stasiak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(2016).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Economic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Dimension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PWN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720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ISBN:</w:t>
      </w:r>
      <w:r w:rsidR="001720D6" w:rsidRPr="001720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9788301185237.</w:t>
      </w:r>
    </w:p>
    <w:p w14:paraId="3F790D5D" w14:textId="76CF924E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Kucharska-Stasiak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(1999).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Investing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VALOR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Institute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Łódź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B8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ISBN: </w:t>
      </w:r>
      <w:r w:rsidR="00B8016F" w:rsidRPr="00B8016F">
        <w:rPr>
          <w:rFonts w:ascii="Times New Roman" w:eastAsia="Times New Roman" w:hAnsi="Times New Roman" w:cs="Times New Roman"/>
          <w:color w:val="000000"/>
          <w:sz w:val="20"/>
          <w:szCs w:val="20"/>
        </w:rPr>
        <w:t>8391095940.</w:t>
      </w:r>
      <w:r w:rsidR="00B8016F">
        <w:rPr>
          <w:rFonts w:ascii="Lato" w:hAnsi="Lato"/>
          <w:color w:val="212121"/>
          <w:sz w:val="23"/>
          <w:szCs w:val="23"/>
        </w:rPr>
        <w:t xml:space="preserve"> </w:t>
      </w:r>
    </w:p>
    <w:p w14:paraId="2202736A" w14:textId="0C1D6EA2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Mach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(2014).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Factors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Shaping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Value of Residential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Context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Macro-, Micro, and Ultra-Environment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Conditions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3577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3577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Econometrics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(46)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ISSN 1507-3866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312800D" w14:textId="0C134248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Marcinek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(2009).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Financial Evaluation of Investment in Commercial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University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Economics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Katowice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7C744B3" w14:textId="4EE4DFE8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National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Bank of Poland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Report on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Situation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Housing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Commercial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 in Poland in 2021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cover.indd (nbp.pl).</w:t>
      </w:r>
    </w:p>
    <w:p w14:paraId="02A32F91" w14:textId="519019E4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National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Bank of Poland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D17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(2003).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Information on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Apartment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Prices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Situation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Housing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Commercial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 in Poland in the 1st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Quarter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2023</w:t>
      </w:r>
      <w:r w:rsidR="008D17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E5F2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https://nbp.pl/wp-content/uploads/2023/06/Information-on-Apartment-Prices-and-the-Situation-in-the-Housing-and-Commercial-Real-Estate-Market-in-Poland-in-the-1st-Quarter-of-2023.pdf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9648B6B" w14:textId="2F8982FB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National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Bank of Poland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D17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(2020).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Report on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Situation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Housing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Commercial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RealEstate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 in Poland in 2020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E5F2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https://nbp.pl/wp-content/uploads/2022/09/raport_2020.pdf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1455520" w14:textId="272B0E9D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National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Bank of Poland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D17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(2022).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Information on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Apartment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Prices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Situation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Housing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Commercial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 in Poland in the 4th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Quarter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2022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32">
        <w:r w:rsidRPr="005E5F2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https://nbp.pl/wp-content/uploads/2023/03/Information-on-Apartment-Prices-and-the-Situation-in-the-Housing-and-Commercial-Real-Estate-Market-in-Poland-in-the-4th-Quarter-of-2022.pdf</w:t>
        </w:r>
      </w:hyperlink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2683BAF" w14:textId="03C67AB3" w:rsidR="00B42532" w:rsidRPr="005E5F22" w:rsidRDefault="00C65B65" w:rsidP="00B425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Proclamation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Prime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Minister's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Council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Ministers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March 3, 2021, on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announcement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uniform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text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Council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Ministers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'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regulation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valuation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preparation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appraisal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report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Journal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Laws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item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555.</w:t>
      </w:r>
    </w:p>
    <w:p w14:paraId="58789D70" w14:textId="30F8CCC0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Romanowski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Fedak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(2020).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Valuation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Investment-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Related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83577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Accounting 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9/2020.</w:t>
      </w:r>
    </w:p>
    <w:p w14:paraId="4CAB3EF7" w14:textId="63A70B6D" w:rsidR="0083577F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Rowland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P.J.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(1993).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Property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Investment and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Their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Financing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Law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Book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Company Limited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Sydney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DF18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ISBN:</w:t>
      </w:r>
      <w:r w:rsidR="00DF182F" w:rsidRPr="00DF18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0455211671.</w:t>
      </w:r>
    </w:p>
    <w:p w14:paraId="0100268C" w14:textId="4F188657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Stawecki</w:t>
      </w:r>
      <w:proofErr w:type="spellEnd"/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M.</w:t>
      </w:r>
      <w:r w:rsidR="008357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(2018).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Determination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Value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F3D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Administrative</w:t>
      </w:r>
      <w:proofErr w:type="spellEnd"/>
      <w:r w:rsidRPr="001F3D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1F3D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Studies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10/2018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Szczecin.</w:t>
      </w:r>
    </w:p>
    <w:p w14:paraId="7DD3707E" w14:textId="6EFEB6CE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Śmietana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&amp;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Ramian</w:t>
      </w:r>
      <w:proofErr w:type="spellEnd"/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(2014).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Economic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Analysis of Investment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Publishing House of the University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Economics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r w:rsidRPr="00DF182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Katowice</w:t>
      </w:r>
      <w:r w:rsidR="001F3D69" w:rsidRPr="00DF182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 w:rsidR="00DF182F" w:rsidRPr="00DF182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DF182F" w:rsidRPr="00DF182F">
        <w:rPr>
          <w:rFonts w:ascii="Times New Roman" w:eastAsia="Times New Roman" w:hAnsi="Times New Roman" w:cs="Times New Roman"/>
          <w:color w:val="000000"/>
          <w:sz w:val="20"/>
          <w:szCs w:val="20"/>
        </w:rPr>
        <w:t>ISBN: 9788378751908.</w:t>
      </w:r>
    </w:p>
    <w:p w14:paraId="338F955A" w14:textId="63AB7F72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Tarczyński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W.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Mojsiewicz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M.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(2001).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Risk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Management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PWE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DF18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ISBN:</w:t>
      </w:r>
      <w:r w:rsidR="00DF182F" w:rsidRPr="00DF182F">
        <w:t xml:space="preserve"> </w:t>
      </w:r>
      <w:r w:rsidR="00DF182F">
        <w:br/>
      </w:r>
      <w:r w:rsidR="00DF182F" w:rsidRPr="00DF182F">
        <w:rPr>
          <w:rFonts w:ascii="Times New Roman" w:eastAsia="Times New Roman" w:hAnsi="Times New Roman" w:cs="Times New Roman"/>
          <w:color w:val="000000"/>
          <w:sz w:val="20"/>
          <w:szCs w:val="20"/>
        </w:rPr>
        <w:t>8320813468.</w:t>
      </w:r>
    </w:p>
    <w:p w14:paraId="26615B37" w14:textId="082B8A14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Trotz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(2004).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Property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Market Rating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Practical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Tool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Property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Analysis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HVBExpertise</w:t>
      </w:r>
      <w:proofErr w:type="spellEnd"/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FF50553" w14:textId="77777777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Accounting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Act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September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29, 1994,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Journal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Laws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1994, No. 121,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item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591.</w:t>
      </w:r>
    </w:p>
    <w:p w14:paraId="0F2DDB50" w14:textId="77777777" w:rsidR="008D6465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Act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August 21, 1997 on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Management,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Journal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Laws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2023,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item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344.</w:t>
      </w:r>
    </w:p>
    <w:p w14:paraId="4EB42CB4" w14:textId="5AB02B54" w:rsidR="00174F47" w:rsidRPr="005E5F22" w:rsidRDefault="00C65B65" w:rsidP="005E5F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Ziembicka</w:t>
      </w:r>
      <w:proofErr w:type="spellEnd"/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B.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(2013).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Property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Valuation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[in:]Nowak,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M.&amp;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Skotarczak,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T. (2013).</w:t>
      </w:r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Basics of Real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Estate</w:t>
      </w:r>
      <w:proofErr w:type="spellEnd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Management</w:t>
      </w:r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E5F22">
        <w:rPr>
          <w:rFonts w:ascii="Times New Roman" w:eastAsia="Times New Roman" w:hAnsi="Times New Roman" w:cs="Times New Roman"/>
          <w:color w:val="000000"/>
          <w:sz w:val="20"/>
          <w:szCs w:val="20"/>
        </w:rPr>
        <w:t>CeDeWu</w:t>
      </w:r>
      <w:proofErr w:type="spellEnd"/>
      <w:r w:rsidR="001F3D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123E302" w14:textId="77777777" w:rsidR="00174F47" w:rsidRPr="005E5F22" w:rsidRDefault="00174F47" w:rsidP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567"/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C8B9F8" w14:textId="77777777" w:rsidR="00174F47" w:rsidRPr="005E5F22" w:rsidRDefault="00174F47" w:rsidP="005E5F22">
      <w:pPr>
        <w:spacing w:after="0" w:line="240" w:lineRule="auto"/>
        <w:ind w:hanging="567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74F47" w:rsidRPr="005E5F22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53C3" w14:textId="77777777" w:rsidR="009902E9" w:rsidRDefault="009902E9">
      <w:pPr>
        <w:spacing w:after="0" w:line="240" w:lineRule="auto"/>
      </w:pPr>
      <w:r>
        <w:separator/>
      </w:r>
    </w:p>
  </w:endnote>
  <w:endnote w:type="continuationSeparator" w:id="0">
    <w:p w14:paraId="7197F817" w14:textId="77777777" w:rsidR="009902E9" w:rsidRDefault="0099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1D8B" w14:textId="77777777" w:rsidR="00174F47" w:rsidRDefault="00174F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0DA7" w14:textId="77777777" w:rsidR="009902E9" w:rsidRDefault="009902E9">
      <w:pPr>
        <w:spacing w:after="0" w:line="240" w:lineRule="auto"/>
      </w:pPr>
      <w:r>
        <w:separator/>
      </w:r>
    </w:p>
  </w:footnote>
  <w:footnote w:type="continuationSeparator" w:id="0">
    <w:p w14:paraId="70932FCA" w14:textId="77777777" w:rsidR="009902E9" w:rsidRDefault="009902E9">
      <w:pPr>
        <w:spacing w:after="0" w:line="240" w:lineRule="auto"/>
      </w:pPr>
      <w:r>
        <w:continuationSeparator/>
      </w:r>
    </w:p>
  </w:footnote>
  <w:footnote w:id="1">
    <w:p w14:paraId="55631427" w14:textId="77777777" w:rsidR="00174F47" w:rsidRDefault="00C65B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Accounting Act of September 29, 1994, Article 3, Journal of Laws 1994, No. 121, item 591.</w:t>
      </w:r>
    </w:p>
    <w:p w14:paraId="55090511" w14:textId="77777777" w:rsidR="00174F47" w:rsidRDefault="00174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  <w:footnote w:id="2">
    <w:p w14:paraId="56144267" w14:textId="69807192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Kucharska-Stasiak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E.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(1999).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Estate Investment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VALOR Real Estate Institute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Łódź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3">
    <w:p w14:paraId="62445277" w14:textId="4A9DB898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Czapiewski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P.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Niedziółka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P.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(2016).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Investment Portfolio Mana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gement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Difin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Warsa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w.</w:t>
      </w:r>
    </w:p>
  </w:footnote>
  <w:footnote w:id="4">
    <w:p w14:paraId="721C9264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Accounting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Act of September 29, 1994, Article 3, Paragraph 1, Point 17, Journal of Laws 1994, No. 121, item 591.</w:t>
      </w:r>
    </w:p>
  </w:footnote>
  <w:footnote w:id="5">
    <w:p w14:paraId="4D290D80" w14:textId="5BA9FA3A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Śmietana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Ramian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K.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(2014).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B12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Economic Analysis of Investment Properties</w:t>
      </w:r>
      <w:r w:rsidR="000B1217" w:rsidRPr="000B12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University of Economics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Publishing House in Katowice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p. 19.</w:t>
      </w:r>
    </w:p>
  </w:footnote>
  <w:footnote w:id="6">
    <w:p w14:paraId="3AF7B50D" w14:textId="26DA637A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Kucharska-Stasiak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E.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(2016). </w:t>
      </w:r>
      <w:r w:rsidRPr="001C7F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The </w:t>
      </w:r>
      <w:r w:rsidRPr="001C7F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Economic Dimension of Real Estate</w:t>
      </w:r>
      <w:r w:rsidR="000B12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PWN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Warsaw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p. 297.</w:t>
      </w:r>
    </w:p>
  </w:footnote>
  <w:footnote w:id="7">
    <w:p w14:paraId="4BE98D7D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Act of August 21, 1997 on Real Estate Management, Journal of Laws 2023, item 344.</w:t>
      </w:r>
    </w:p>
  </w:footnote>
  <w:footnote w:id="8">
    <w:p w14:paraId="59E5BF1D" w14:textId="1E92CD71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Mach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(2014).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Factors Shaping the Val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ue of Residential Properties in the Context of Macro-, Micro-, and Ultra-environmental Conditions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C7FD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Econometrics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46)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ISSN 1507-3866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p. 56.</w:t>
      </w:r>
    </w:p>
    <w:bookmarkStart w:id="0" w:name="_heading=h.gjdgxs" w:colFirst="0" w:colLast="0"/>
    <w:bookmarkEnd w:id="0"/>
  </w:footnote>
  <w:footnote w:id="9">
    <w:p w14:paraId="5DE1990B" w14:textId="71F246D8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Dasso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J.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Ring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A.A.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(1989).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Real Estate, Principles and Practices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Prentice Hall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INC. Englewood Cliffs</w:t>
      </w:r>
      <w:r w:rsidR="001C7F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10">
    <w:p w14:paraId="32B92F36" w14:textId="55BAD79F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Tarczyński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W.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Mojsiewicz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M.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Risk Management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PWE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Warsaw</w:t>
      </w:r>
      <w:r w:rsidR="00F165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p. 76.</w:t>
      </w:r>
    </w:p>
  </w:footnote>
  <w:footnote w:id="11">
    <w:p w14:paraId="0554F9E5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Central Statistical Office, Real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Estate Transactions in 2020, Central Statistical Office / Thematic Areas / Communal Infrastructure. Real Estate / Real Estate, Buildings, Communal Infra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structure / Real Estate Transactions in 2022, accessed on August 12, 2023.</w:t>
      </w:r>
    </w:p>
  </w:footnote>
  <w:footnote w:id="12">
    <w:p w14:paraId="2803806A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National Bank of Poland, Basic Interest Rates,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https://nbp.pl/polityka-pieniezna/de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cyzje-rpp/podstawowe-stopy-procentowe-nbp/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accessed on August 24, 2023.</w:t>
      </w:r>
    </w:p>
  </w:footnote>
  <w:footnote w:id="13">
    <w:p w14:paraId="29621B28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National Bank of Poland, Report on the Situation in the Real Estate Market for Residential and Commercial Properties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Poland in the Year 2021, *okladka.indd (nbp.pl), p. 8, accessed on August 12, 2023.</w:t>
      </w:r>
    </w:p>
  </w:footnote>
  <w:footnote w:id="14">
    <w:p w14:paraId="33B88D4C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Ibidem, p.7.</w:t>
      </w:r>
    </w:p>
  </w:footnote>
  <w:footnote w:id="15">
    <w:p w14:paraId="4A116630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National Bank of Poland, Information about apartment prices and the situation on the residential and commercial real estate market in Poland in the fou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rth quarter of 2022, *Narodowy Bank Polski (nbp.pl), accessed on August 13, 2023.</w:t>
      </w:r>
    </w:p>
  </w:footnote>
  <w:footnote w:id="16">
    <w:p w14:paraId="188A2784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average annual rate. Calculated as the average change of reference rates during each year. From September 8, 2022, the rate has remained unchanged up to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present moment.</w:t>
      </w:r>
    </w:p>
  </w:footnote>
  <w:footnote w:id="17">
    <w:p w14:paraId="071AB1E6" w14:textId="77777777" w:rsidR="00174F47" w:rsidRDefault="00C65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Understood as the direct impact of capital structure: the cost of debt capital (interest on loans and borrowings), in relation to the efficiency of using equity capital, which is measured by the return on equity ratio.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F0D9" w14:textId="77777777" w:rsidR="00174F47" w:rsidRDefault="00174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C31"/>
    <w:multiLevelType w:val="multilevel"/>
    <w:tmpl w:val="6566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22EB8"/>
    <w:multiLevelType w:val="multilevel"/>
    <w:tmpl w:val="1A56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8269818">
    <w:abstractNumId w:val="1"/>
  </w:num>
  <w:num w:numId="2" w16cid:durableId="151599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47"/>
    <w:rsid w:val="00051C84"/>
    <w:rsid w:val="00074E8A"/>
    <w:rsid w:val="00076484"/>
    <w:rsid w:val="0008059E"/>
    <w:rsid w:val="000B1217"/>
    <w:rsid w:val="000B53A9"/>
    <w:rsid w:val="000B74D2"/>
    <w:rsid w:val="000F606C"/>
    <w:rsid w:val="000F7328"/>
    <w:rsid w:val="001001F2"/>
    <w:rsid w:val="001454A6"/>
    <w:rsid w:val="0015712A"/>
    <w:rsid w:val="001614B9"/>
    <w:rsid w:val="001720D6"/>
    <w:rsid w:val="00174C7F"/>
    <w:rsid w:val="00174F47"/>
    <w:rsid w:val="001C5529"/>
    <w:rsid w:val="001C7FDB"/>
    <w:rsid w:val="001D3C3F"/>
    <w:rsid w:val="001E45BF"/>
    <w:rsid w:val="001F3D69"/>
    <w:rsid w:val="00220C93"/>
    <w:rsid w:val="00224FBD"/>
    <w:rsid w:val="00231EE7"/>
    <w:rsid w:val="00235165"/>
    <w:rsid w:val="002372E4"/>
    <w:rsid w:val="0024207A"/>
    <w:rsid w:val="00244D60"/>
    <w:rsid w:val="00250186"/>
    <w:rsid w:val="00295B0F"/>
    <w:rsid w:val="002C082D"/>
    <w:rsid w:val="002C0E62"/>
    <w:rsid w:val="002D428D"/>
    <w:rsid w:val="002F0A01"/>
    <w:rsid w:val="00316C44"/>
    <w:rsid w:val="003274DB"/>
    <w:rsid w:val="00351F6A"/>
    <w:rsid w:val="003A00D5"/>
    <w:rsid w:val="003A0FD9"/>
    <w:rsid w:val="003A7E25"/>
    <w:rsid w:val="003B1D92"/>
    <w:rsid w:val="003C5F47"/>
    <w:rsid w:val="003F6884"/>
    <w:rsid w:val="0041190D"/>
    <w:rsid w:val="00424312"/>
    <w:rsid w:val="00437CDA"/>
    <w:rsid w:val="00442785"/>
    <w:rsid w:val="00454266"/>
    <w:rsid w:val="0045693E"/>
    <w:rsid w:val="004A55A3"/>
    <w:rsid w:val="004B1926"/>
    <w:rsid w:val="004B22F2"/>
    <w:rsid w:val="004D126A"/>
    <w:rsid w:val="004D2EF5"/>
    <w:rsid w:val="004E3C2E"/>
    <w:rsid w:val="004E42D2"/>
    <w:rsid w:val="004F20C9"/>
    <w:rsid w:val="004F532E"/>
    <w:rsid w:val="00502455"/>
    <w:rsid w:val="005030B7"/>
    <w:rsid w:val="0051173A"/>
    <w:rsid w:val="00560EDC"/>
    <w:rsid w:val="005678D6"/>
    <w:rsid w:val="005843FA"/>
    <w:rsid w:val="00596B56"/>
    <w:rsid w:val="005A18D6"/>
    <w:rsid w:val="005E5F22"/>
    <w:rsid w:val="006060F5"/>
    <w:rsid w:val="00620C6F"/>
    <w:rsid w:val="0062595C"/>
    <w:rsid w:val="00626F20"/>
    <w:rsid w:val="00653A16"/>
    <w:rsid w:val="006729ED"/>
    <w:rsid w:val="00686513"/>
    <w:rsid w:val="006C1705"/>
    <w:rsid w:val="006E1B1A"/>
    <w:rsid w:val="006E3104"/>
    <w:rsid w:val="006E46B3"/>
    <w:rsid w:val="0074578D"/>
    <w:rsid w:val="00745A11"/>
    <w:rsid w:val="0074642B"/>
    <w:rsid w:val="007831AE"/>
    <w:rsid w:val="00794CD1"/>
    <w:rsid w:val="007A1707"/>
    <w:rsid w:val="007C6898"/>
    <w:rsid w:val="007D6B56"/>
    <w:rsid w:val="007E04D7"/>
    <w:rsid w:val="007F5747"/>
    <w:rsid w:val="00811CEB"/>
    <w:rsid w:val="00815CF8"/>
    <w:rsid w:val="0083577F"/>
    <w:rsid w:val="00847626"/>
    <w:rsid w:val="0085404B"/>
    <w:rsid w:val="00856594"/>
    <w:rsid w:val="00884C08"/>
    <w:rsid w:val="008876FF"/>
    <w:rsid w:val="008B6641"/>
    <w:rsid w:val="008B6F01"/>
    <w:rsid w:val="008C4A9C"/>
    <w:rsid w:val="008D170B"/>
    <w:rsid w:val="008D39A0"/>
    <w:rsid w:val="008D4727"/>
    <w:rsid w:val="008D6465"/>
    <w:rsid w:val="008F5C68"/>
    <w:rsid w:val="00923373"/>
    <w:rsid w:val="009566BB"/>
    <w:rsid w:val="009902E9"/>
    <w:rsid w:val="00992DC7"/>
    <w:rsid w:val="009A7625"/>
    <w:rsid w:val="009C04F7"/>
    <w:rsid w:val="009D375D"/>
    <w:rsid w:val="009E78D7"/>
    <w:rsid w:val="009F4CE9"/>
    <w:rsid w:val="00A2474F"/>
    <w:rsid w:val="00A44103"/>
    <w:rsid w:val="00A53607"/>
    <w:rsid w:val="00A71C33"/>
    <w:rsid w:val="00A73A46"/>
    <w:rsid w:val="00A96ABC"/>
    <w:rsid w:val="00AD539C"/>
    <w:rsid w:val="00AE0D65"/>
    <w:rsid w:val="00B1571A"/>
    <w:rsid w:val="00B221A7"/>
    <w:rsid w:val="00B42532"/>
    <w:rsid w:val="00B47BEB"/>
    <w:rsid w:val="00B8016F"/>
    <w:rsid w:val="00B878AD"/>
    <w:rsid w:val="00B93E0E"/>
    <w:rsid w:val="00B949D0"/>
    <w:rsid w:val="00BA6BFB"/>
    <w:rsid w:val="00BB31AB"/>
    <w:rsid w:val="00BB40CA"/>
    <w:rsid w:val="00BB67E0"/>
    <w:rsid w:val="00C030C3"/>
    <w:rsid w:val="00C172CC"/>
    <w:rsid w:val="00C17CFD"/>
    <w:rsid w:val="00C545C6"/>
    <w:rsid w:val="00C54E68"/>
    <w:rsid w:val="00C63520"/>
    <w:rsid w:val="00C652A7"/>
    <w:rsid w:val="00C65B65"/>
    <w:rsid w:val="00C7030D"/>
    <w:rsid w:val="00C70FCF"/>
    <w:rsid w:val="00CF0ABF"/>
    <w:rsid w:val="00D03493"/>
    <w:rsid w:val="00D06F14"/>
    <w:rsid w:val="00D34612"/>
    <w:rsid w:val="00D35F4F"/>
    <w:rsid w:val="00D80D1A"/>
    <w:rsid w:val="00D81E9B"/>
    <w:rsid w:val="00D93FA7"/>
    <w:rsid w:val="00DA108F"/>
    <w:rsid w:val="00DD1667"/>
    <w:rsid w:val="00DE5A01"/>
    <w:rsid w:val="00DF182F"/>
    <w:rsid w:val="00E448F9"/>
    <w:rsid w:val="00E45A14"/>
    <w:rsid w:val="00E61C74"/>
    <w:rsid w:val="00E62C81"/>
    <w:rsid w:val="00E63A79"/>
    <w:rsid w:val="00E86F5B"/>
    <w:rsid w:val="00EA7384"/>
    <w:rsid w:val="00EB4BCD"/>
    <w:rsid w:val="00EC1F5D"/>
    <w:rsid w:val="00ED0FC3"/>
    <w:rsid w:val="00EF16C8"/>
    <w:rsid w:val="00EF3D33"/>
    <w:rsid w:val="00EF491F"/>
    <w:rsid w:val="00F00D9D"/>
    <w:rsid w:val="00F16567"/>
    <w:rsid w:val="00F33FBF"/>
    <w:rsid w:val="00F5542E"/>
    <w:rsid w:val="00F6464C"/>
    <w:rsid w:val="00F759C9"/>
    <w:rsid w:val="00F85678"/>
    <w:rsid w:val="00FC40E2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5843"/>
  <w15:docId w15:val="{1EE8CCB4-A150-4248-A14F-0A2640C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rmalnyWeb">
    <w:name w:val="Normal (Web)"/>
    <w:basedOn w:val="Normalny"/>
    <w:uiPriority w:val="99"/>
    <w:semiHidden/>
    <w:unhideWhenUsed/>
    <w:rsid w:val="00F33FBF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70FCF"/>
    <w:rPr>
      <w:i/>
      <w:iCs/>
    </w:rPr>
  </w:style>
  <w:style w:type="paragraph" w:customStyle="1" w:styleId="nova-legacy-e-listitem">
    <w:name w:val="nova-legacy-e-list__item"/>
    <w:basedOn w:val="Normalny"/>
    <w:rsid w:val="00B4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42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40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15372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21779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9561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51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5621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529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981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354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0581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Data" Target="diagrams/data4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s://nbp.pl/wp-content/uploads/2023/03/Informacja-o-cenach-mieszkan-w-IV-2022.pdf" TargetMode="External"/><Relationship Id="rId32" Type="http://schemas.openxmlformats.org/officeDocument/2006/relationships/hyperlink" Target="https://nbp.pl/wp-content/uploads/2023/03/Information-on-Apartment-Prices-and-the-Situation-in-the-Housing-and-Commercial-Real-Estate-Market-in-Poland-in-the-4th-Quarter-of-2022.pdf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diagramColors" Target="diagrams/colors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hyperlink" Target="http://dx.doi.org/10.3846/1648715X.2014.927401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QuickStyle" Target="diagrams/quickStyle4.xml"/><Relationship Id="rId30" Type="http://schemas.openxmlformats.org/officeDocument/2006/relationships/hyperlink" Target="https://www.researchgate.net/journal/International-Journal-of-Strategic-Property-Management-1648-9179?_tp=eyJjb250ZXh0Ijp7ImZpcnN0UGFnZSI6InB1YmxpY2F0aW9uIiwicGFnZSI6InB1YmxpY2F0aW9uIn1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orcid.org/0009-0005-8559-34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bp.pl/polityka-pieniezna/decyzje-rpp/podstawowe-stopy-procentowe-nbp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CA1102-5108-4F9D-96B8-1E60A492D755}" type="doc">
      <dgm:prSet loTypeId="urn:microsoft.com/office/officeart/2005/8/layout/hierarchy1" loCatId="hierarchy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B0A4A46-AED7-44BF-90A4-AD1ADC6BA843}">
      <dgm:prSet phldrT="[Tekst]" custT="1"/>
      <dgm:spPr>
        <a:xfrm>
          <a:off x="2258280" y="171810"/>
          <a:ext cx="1455399" cy="924178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Undivisibility of real estate.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532584A-69EC-4882-AA34-10F7E410C8F7}" type="parTrans" cxnId="{06D293AD-A0B9-45A7-8AD9-554C2540EB64}">
      <dgm:prSet/>
      <dgm:spPr/>
      <dgm:t>
        <a:bodyPr/>
        <a:lstStyle/>
        <a:p>
          <a:endParaRPr lang="pl-PL"/>
        </a:p>
      </dgm:t>
    </dgm:pt>
    <dgm:pt modelId="{2AA6F837-3A03-4F1C-8DC7-79806D4E30B2}" type="sibTrans" cxnId="{06D293AD-A0B9-45A7-8AD9-554C2540EB64}">
      <dgm:prSet/>
      <dgm:spPr/>
      <dgm:t>
        <a:bodyPr/>
        <a:lstStyle/>
        <a:p>
          <a:endParaRPr lang="pl-PL"/>
        </a:p>
      </dgm:t>
    </dgm:pt>
    <dgm:pt modelId="{8FC079FC-8817-4B22-82B3-C94C377B7EB5}">
      <dgm:prSet phldrT="[Tekst]" custT="1"/>
      <dgm:spPr>
        <a:xfrm>
          <a:off x="2258280" y="1501302"/>
          <a:ext cx="1455399" cy="924178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High amount of investment required for real estate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359FC5B-01BD-404F-857D-75E20829F311}" type="parTrans" cxnId="{FEEA6EFA-12C6-474A-B233-F57BF6FC0037}">
      <dgm:prSet/>
      <dgm:spPr/>
      <dgm:t>
        <a:bodyPr/>
        <a:lstStyle/>
        <a:p>
          <a:endParaRPr lang="pl-PL"/>
        </a:p>
      </dgm:t>
    </dgm:pt>
    <dgm:pt modelId="{AD977AEC-BAF1-4060-BAD4-B43853936D4A}" type="sibTrans" cxnId="{FEEA6EFA-12C6-474A-B233-F57BF6FC0037}">
      <dgm:prSet/>
      <dgm:spPr/>
      <dgm:t>
        <a:bodyPr/>
        <a:lstStyle/>
        <a:p>
          <a:endParaRPr lang="pl-PL"/>
        </a:p>
      </dgm:t>
    </dgm:pt>
    <dgm:pt modelId="{3DD41EE8-B0E6-4CDC-BD5F-CB1EFA1B3D4C}">
      <dgm:prSet phldrT="[Tekst]" custT="1"/>
      <dgm:spPr>
        <a:xfrm>
          <a:off x="4037102" y="1501302"/>
          <a:ext cx="1455399" cy="924178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Lack of possibility to recover only a portion of invested capital.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4FE6346-19F1-47A1-9F9A-DFDC4CFC2F2E}" type="parTrans" cxnId="{617C4C89-DB63-41B7-9A95-4AE9E3CECE2A}">
      <dgm:prSet/>
      <dgm:spPr/>
      <dgm:t>
        <a:bodyPr/>
        <a:lstStyle/>
        <a:p>
          <a:endParaRPr lang="pl-PL"/>
        </a:p>
      </dgm:t>
    </dgm:pt>
    <dgm:pt modelId="{06FA8087-0A14-4FFB-A662-995E6A169940}" type="sibTrans" cxnId="{617C4C89-DB63-41B7-9A95-4AE9E3CECE2A}">
      <dgm:prSet/>
      <dgm:spPr/>
      <dgm:t>
        <a:bodyPr/>
        <a:lstStyle/>
        <a:p>
          <a:endParaRPr lang="pl-PL"/>
        </a:p>
      </dgm:t>
    </dgm:pt>
    <dgm:pt modelId="{EC1899D5-4986-41E6-A5BF-11A1F87E3145}">
      <dgm:prSet phldrT="[Tekst]" custT="1"/>
      <dgm:spPr>
        <a:xfrm>
          <a:off x="4037102" y="1501302"/>
          <a:ext cx="1455399" cy="924178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In the case of declines in the real estate market, the owner sells the entire property at a lower price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E7C3688-6A9F-4B02-9FE1-B62619D99699}" type="parTrans" cxnId="{4CA3DAED-1AF6-46FC-A9D2-D90E83154228}">
      <dgm:prSet/>
      <dgm:spPr/>
      <dgm:t>
        <a:bodyPr/>
        <a:lstStyle/>
        <a:p>
          <a:endParaRPr lang="pl-PL"/>
        </a:p>
      </dgm:t>
    </dgm:pt>
    <dgm:pt modelId="{47726B8F-2F59-41CA-95E7-70DA41D3EBE4}" type="sibTrans" cxnId="{4CA3DAED-1AF6-46FC-A9D2-D90E83154228}">
      <dgm:prSet/>
      <dgm:spPr/>
      <dgm:t>
        <a:bodyPr/>
        <a:lstStyle/>
        <a:p>
          <a:endParaRPr lang="pl-PL"/>
        </a:p>
      </dgm:t>
    </dgm:pt>
    <dgm:pt modelId="{04282E11-2ADC-4F31-B900-DE1C22980A3C}" type="pres">
      <dgm:prSet presAssocID="{E3CA1102-5108-4F9D-96B8-1E60A492D75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A6F74A2-2A75-4D76-9826-E305DC0ECFDB}" type="pres">
      <dgm:prSet presAssocID="{4B0A4A46-AED7-44BF-90A4-AD1ADC6BA843}" presName="hierRoot1" presStyleCnt="0"/>
      <dgm:spPr/>
    </dgm:pt>
    <dgm:pt modelId="{C93B2242-5260-40B3-B478-2C1619B619A0}" type="pres">
      <dgm:prSet presAssocID="{4B0A4A46-AED7-44BF-90A4-AD1ADC6BA843}" presName="composite" presStyleCnt="0"/>
      <dgm:spPr/>
    </dgm:pt>
    <dgm:pt modelId="{473216F5-F8F9-4705-9889-33CBC654DC39}" type="pres">
      <dgm:prSet presAssocID="{4B0A4A46-AED7-44BF-90A4-AD1ADC6BA843}" presName="background" presStyleLbl="node0" presStyleIdx="0" presStyleCnt="1"/>
      <dgm:spPr>
        <a:xfrm>
          <a:off x="2096569" y="18185"/>
          <a:ext cx="1455399" cy="924178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</dgm:spPr>
    </dgm:pt>
    <dgm:pt modelId="{E6D46B50-B913-4C7A-8D13-D047B0B1B766}" type="pres">
      <dgm:prSet presAssocID="{4B0A4A46-AED7-44BF-90A4-AD1ADC6BA843}" presName="text" presStyleLbl="fgAcc0" presStyleIdx="0" presStyleCnt="1" custLinFactNeighborY="1944">
        <dgm:presLayoutVars>
          <dgm:chPref val="3"/>
        </dgm:presLayoutVars>
      </dgm:prSet>
      <dgm:spPr/>
    </dgm:pt>
    <dgm:pt modelId="{6EB37F24-71E3-44E8-8E18-CFBD40503C2C}" type="pres">
      <dgm:prSet presAssocID="{4B0A4A46-AED7-44BF-90A4-AD1ADC6BA843}" presName="hierChild2" presStyleCnt="0"/>
      <dgm:spPr/>
    </dgm:pt>
    <dgm:pt modelId="{9BA60336-4F33-404A-8968-DE2C9B6A7F5B}" type="pres">
      <dgm:prSet presAssocID="{5359FC5B-01BD-404F-857D-75E20829F311}" presName="Name10" presStyleLbl="parChTrans1D2" presStyleIdx="0" presStyleCnt="3"/>
      <dgm:spPr/>
    </dgm:pt>
    <dgm:pt modelId="{A5D0958D-D90A-4DA7-92CD-6E37A8C75900}" type="pres">
      <dgm:prSet presAssocID="{8FC079FC-8817-4B22-82B3-C94C377B7EB5}" presName="hierRoot2" presStyleCnt="0"/>
      <dgm:spPr/>
    </dgm:pt>
    <dgm:pt modelId="{35300231-34B7-4793-839D-733BB13391A6}" type="pres">
      <dgm:prSet presAssocID="{8FC079FC-8817-4B22-82B3-C94C377B7EB5}" presName="composite2" presStyleCnt="0"/>
      <dgm:spPr/>
    </dgm:pt>
    <dgm:pt modelId="{50C3EBEC-F093-48A2-98AE-9C74D9B2EE16}" type="pres">
      <dgm:prSet presAssocID="{8FC079FC-8817-4B22-82B3-C94C377B7EB5}" presName="background2" presStyleLbl="node2" presStyleIdx="0" presStyleCnt="3"/>
      <dgm:spPr/>
    </dgm:pt>
    <dgm:pt modelId="{E60865BE-6D6C-46D1-A6E4-526D3CCD5E34}" type="pres">
      <dgm:prSet presAssocID="{8FC079FC-8817-4B22-82B3-C94C377B7EB5}" presName="text2" presStyleLbl="fgAcc2" presStyleIdx="0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61A3919-6F13-47DD-A2F9-CE5ECF2F037C}" type="pres">
      <dgm:prSet presAssocID="{8FC079FC-8817-4B22-82B3-C94C377B7EB5}" presName="hierChild3" presStyleCnt="0"/>
      <dgm:spPr/>
    </dgm:pt>
    <dgm:pt modelId="{57B71D61-FDBE-497B-A320-55F2E224DFC4}" type="pres">
      <dgm:prSet presAssocID="{44FE6346-19F1-47A1-9F9A-DFDC4CFC2F2E}" presName="Name10" presStyleLbl="parChTrans1D2" presStyleIdx="1" presStyleCnt="3"/>
      <dgm:spPr/>
    </dgm:pt>
    <dgm:pt modelId="{7DFC6A31-89C6-45F7-9CE8-D6F2518DC4DD}" type="pres">
      <dgm:prSet presAssocID="{3DD41EE8-B0E6-4CDC-BD5F-CB1EFA1B3D4C}" presName="hierRoot2" presStyleCnt="0"/>
      <dgm:spPr/>
    </dgm:pt>
    <dgm:pt modelId="{7C82861E-E7A9-4E9E-8BC6-4E6C2023A92D}" type="pres">
      <dgm:prSet presAssocID="{3DD41EE8-B0E6-4CDC-BD5F-CB1EFA1B3D4C}" presName="composite2" presStyleCnt="0"/>
      <dgm:spPr/>
    </dgm:pt>
    <dgm:pt modelId="{28FDB207-C716-4FBB-B641-D163FE0B1741}" type="pres">
      <dgm:prSet presAssocID="{3DD41EE8-B0E6-4CDC-BD5F-CB1EFA1B3D4C}" presName="background2" presStyleLbl="node2" presStyleIdx="1" presStyleCnt="3"/>
      <dgm:spPr/>
    </dgm:pt>
    <dgm:pt modelId="{AA7FF5D0-6553-47E5-A6FF-9227F8F36B61}" type="pres">
      <dgm:prSet presAssocID="{3DD41EE8-B0E6-4CDC-BD5F-CB1EFA1B3D4C}" presName="text2" presStyleLbl="fgAcc2" presStyleIdx="1" presStyleCnt="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EB6C1D2-8B39-41F9-A376-B2A81F28992F}" type="pres">
      <dgm:prSet presAssocID="{3DD41EE8-B0E6-4CDC-BD5F-CB1EFA1B3D4C}" presName="hierChild3" presStyleCnt="0"/>
      <dgm:spPr/>
    </dgm:pt>
    <dgm:pt modelId="{12AE37DD-DC33-40AB-A08C-4B1AB605646B}" type="pres">
      <dgm:prSet presAssocID="{FE7C3688-6A9F-4B02-9FE1-B62619D99699}" presName="Name10" presStyleLbl="parChTrans1D2" presStyleIdx="2" presStyleCnt="3"/>
      <dgm:spPr/>
    </dgm:pt>
    <dgm:pt modelId="{E4E8AE8B-1166-437D-859F-61F61166FDCD}" type="pres">
      <dgm:prSet presAssocID="{EC1899D5-4986-41E6-A5BF-11A1F87E3145}" presName="hierRoot2" presStyleCnt="0"/>
      <dgm:spPr/>
    </dgm:pt>
    <dgm:pt modelId="{CFDE01D9-35C1-4490-8BA7-2234A06E16E2}" type="pres">
      <dgm:prSet presAssocID="{EC1899D5-4986-41E6-A5BF-11A1F87E3145}" presName="composite2" presStyleCnt="0"/>
      <dgm:spPr/>
    </dgm:pt>
    <dgm:pt modelId="{C861A198-C1B7-4731-9AD8-905F2644849E}" type="pres">
      <dgm:prSet presAssocID="{EC1899D5-4986-41E6-A5BF-11A1F87E3145}" presName="background2" presStyleLbl="node2" presStyleIdx="2" presStyleCnt="3"/>
      <dgm:spPr/>
    </dgm:pt>
    <dgm:pt modelId="{ABBD8F24-63DA-4F86-B9CC-1171F995C834}" type="pres">
      <dgm:prSet presAssocID="{EC1899D5-4986-41E6-A5BF-11A1F87E3145}" presName="text2" presStyleLbl="fgAcc2" presStyleIdx="2" presStyleCnt="3">
        <dgm:presLayoutVars>
          <dgm:chPref val="3"/>
        </dgm:presLayoutVars>
      </dgm:prSet>
      <dgm:spPr/>
    </dgm:pt>
    <dgm:pt modelId="{C6B6D4D2-781F-4A0E-82C6-A604D0EC880C}" type="pres">
      <dgm:prSet presAssocID="{EC1899D5-4986-41E6-A5BF-11A1F87E3145}" presName="hierChild3" presStyleCnt="0"/>
      <dgm:spPr/>
    </dgm:pt>
  </dgm:ptLst>
  <dgm:cxnLst>
    <dgm:cxn modelId="{E6D3EF11-63AA-45B3-B018-5FE6CD519D86}" type="presOf" srcId="{4B0A4A46-AED7-44BF-90A4-AD1ADC6BA843}" destId="{E6D46B50-B913-4C7A-8D13-D047B0B1B766}" srcOrd="0" destOrd="0" presId="urn:microsoft.com/office/officeart/2005/8/layout/hierarchy1"/>
    <dgm:cxn modelId="{AE254813-E2BB-404A-8809-90F227B52184}" type="presOf" srcId="{E3CA1102-5108-4F9D-96B8-1E60A492D755}" destId="{04282E11-2ADC-4F31-B900-DE1C22980A3C}" srcOrd="0" destOrd="0" presId="urn:microsoft.com/office/officeart/2005/8/layout/hierarchy1"/>
    <dgm:cxn modelId="{33A45F2F-EE45-401E-9E3F-BEF6A9F4403A}" type="presOf" srcId="{8FC079FC-8817-4B22-82B3-C94C377B7EB5}" destId="{E60865BE-6D6C-46D1-A6E4-526D3CCD5E34}" srcOrd="0" destOrd="0" presId="urn:microsoft.com/office/officeart/2005/8/layout/hierarchy1"/>
    <dgm:cxn modelId="{617C4C89-DB63-41B7-9A95-4AE9E3CECE2A}" srcId="{4B0A4A46-AED7-44BF-90A4-AD1ADC6BA843}" destId="{3DD41EE8-B0E6-4CDC-BD5F-CB1EFA1B3D4C}" srcOrd="1" destOrd="0" parTransId="{44FE6346-19F1-47A1-9F9A-DFDC4CFC2F2E}" sibTransId="{06FA8087-0A14-4FFB-A662-995E6A169940}"/>
    <dgm:cxn modelId="{EA33619C-A8B7-4048-8059-CAF244867AA3}" type="presOf" srcId="{EC1899D5-4986-41E6-A5BF-11A1F87E3145}" destId="{ABBD8F24-63DA-4F86-B9CC-1171F995C834}" srcOrd="0" destOrd="0" presId="urn:microsoft.com/office/officeart/2005/8/layout/hierarchy1"/>
    <dgm:cxn modelId="{7B95F59F-A757-4B5D-A34A-E1B71238C0FE}" type="presOf" srcId="{44FE6346-19F1-47A1-9F9A-DFDC4CFC2F2E}" destId="{57B71D61-FDBE-497B-A320-55F2E224DFC4}" srcOrd="0" destOrd="0" presId="urn:microsoft.com/office/officeart/2005/8/layout/hierarchy1"/>
    <dgm:cxn modelId="{BF90CEA3-E750-4C40-A081-C47C3947ADCF}" type="presOf" srcId="{3DD41EE8-B0E6-4CDC-BD5F-CB1EFA1B3D4C}" destId="{AA7FF5D0-6553-47E5-A6FF-9227F8F36B61}" srcOrd="0" destOrd="0" presId="urn:microsoft.com/office/officeart/2005/8/layout/hierarchy1"/>
    <dgm:cxn modelId="{2160B3A8-25C8-4AD5-8117-7E96B13DB877}" type="presOf" srcId="{5359FC5B-01BD-404F-857D-75E20829F311}" destId="{9BA60336-4F33-404A-8968-DE2C9B6A7F5B}" srcOrd="0" destOrd="0" presId="urn:microsoft.com/office/officeart/2005/8/layout/hierarchy1"/>
    <dgm:cxn modelId="{06D293AD-A0B9-45A7-8AD9-554C2540EB64}" srcId="{E3CA1102-5108-4F9D-96B8-1E60A492D755}" destId="{4B0A4A46-AED7-44BF-90A4-AD1ADC6BA843}" srcOrd="0" destOrd="0" parTransId="{9532584A-69EC-4882-AA34-10F7E410C8F7}" sibTransId="{2AA6F837-3A03-4F1C-8DC7-79806D4E30B2}"/>
    <dgm:cxn modelId="{EF01B5D6-C270-4529-8C70-C30474C8AE35}" type="presOf" srcId="{FE7C3688-6A9F-4B02-9FE1-B62619D99699}" destId="{12AE37DD-DC33-40AB-A08C-4B1AB605646B}" srcOrd="0" destOrd="0" presId="urn:microsoft.com/office/officeart/2005/8/layout/hierarchy1"/>
    <dgm:cxn modelId="{4CA3DAED-1AF6-46FC-A9D2-D90E83154228}" srcId="{4B0A4A46-AED7-44BF-90A4-AD1ADC6BA843}" destId="{EC1899D5-4986-41E6-A5BF-11A1F87E3145}" srcOrd="2" destOrd="0" parTransId="{FE7C3688-6A9F-4B02-9FE1-B62619D99699}" sibTransId="{47726B8F-2F59-41CA-95E7-70DA41D3EBE4}"/>
    <dgm:cxn modelId="{FEEA6EFA-12C6-474A-B233-F57BF6FC0037}" srcId="{4B0A4A46-AED7-44BF-90A4-AD1ADC6BA843}" destId="{8FC079FC-8817-4B22-82B3-C94C377B7EB5}" srcOrd="0" destOrd="0" parTransId="{5359FC5B-01BD-404F-857D-75E20829F311}" sibTransId="{AD977AEC-BAF1-4060-BAD4-B43853936D4A}"/>
    <dgm:cxn modelId="{576714C7-38E5-4043-9ADB-6D50C0DC030D}" type="presParOf" srcId="{04282E11-2ADC-4F31-B900-DE1C22980A3C}" destId="{6A6F74A2-2A75-4D76-9826-E305DC0ECFDB}" srcOrd="0" destOrd="0" presId="urn:microsoft.com/office/officeart/2005/8/layout/hierarchy1"/>
    <dgm:cxn modelId="{4E269C82-C40E-410A-A0D3-D606704A96C9}" type="presParOf" srcId="{6A6F74A2-2A75-4D76-9826-E305DC0ECFDB}" destId="{C93B2242-5260-40B3-B478-2C1619B619A0}" srcOrd="0" destOrd="0" presId="urn:microsoft.com/office/officeart/2005/8/layout/hierarchy1"/>
    <dgm:cxn modelId="{771870B8-1C27-491E-A04E-513CA9F068C3}" type="presParOf" srcId="{C93B2242-5260-40B3-B478-2C1619B619A0}" destId="{473216F5-F8F9-4705-9889-33CBC654DC39}" srcOrd="0" destOrd="0" presId="urn:microsoft.com/office/officeart/2005/8/layout/hierarchy1"/>
    <dgm:cxn modelId="{8B454CAA-914B-4210-9A0B-8EBF8951736D}" type="presParOf" srcId="{C93B2242-5260-40B3-B478-2C1619B619A0}" destId="{E6D46B50-B913-4C7A-8D13-D047B0B1B766}" srcOrd="1" destOrd="0" presId="urn:microsoft.com/office/officeart/2005/8/layout/hierarchy1"/>
    <dgm:cxn modelId="{F14FFC23-2923-48C0-99D3-3BA54A387F91}" type="presParOf" srcId="{6A6F74A2-2A75-4D76-9826-E305DC0ECFDB}" destId="{6EB37F24-71E3-44E8-8E18-CFBD40503C2C}" srcOrd="1" destOrd="0" presId="urn:microsoft.com/office/officeart/2005/8/layout/hierarchy1"/>
    <dgm:cxn modelId="{CA0B6F5D-81C2-42CF-927C-D4A0D67D30CA}" type="presParOf" srcId="{6EB37F24-71E3-44E8-8E18-CFBD40503C2C}" destId="{9BA60336-4F33-404A-8968-DE2C9B6A7F5B}" srcOrd="0" destOrd="0" presId="urn:microsoft.com/office/officeart/2005/8/layout/hierarchy1"/>
    <dgm:cxn modelId="{8062FE34-4CD4-4B5D-821E-D207810BB1BE}" type="presParOf" srcId="{6EB37F24-71E3-44E8-8E18-CFBD40503C2C}" destId="{A5D0958D-D90A-4DA7-92CD-6E37A8C75900}" srcOrd="1" destOrd="0" presId="urn:microsoft.com/office/officeart/2005/8/layout/hierarchy1"/>
    <dgm:cxn modelId="{8B72762B-AAA9-446D-BEBE-8D6B6B043DB6}" type="presParOf" srcId="{A5D0958D-D90A-4DA7-92CD-6E37A8C75900}" destId="{35300231-34B7-4793-839D-733BB13391A6}" srcOrd="0" destOrd="0" presId="urn:microsoft.com/office/officeart/2005/8/layout/hierarchy1"/>
    <dgm:cxn modelId="{542323FC-07B2-4FC8-A8D0-0DD2C34EBECC}" type="presParOf" srcId="{35300231-34B7-4793-839D-733BB13391A6}" destId="{50C3EBEC-F093-48A2-98AE-9C74D9B2EE16}" srcOrd="0" destOrd="0" presId="urn:microsoft.com/office/officeart/2005/8/layout/hierarchy1"/>
    <dgm:cxn modelId="{E310D633-0C5C-457F-947A-05CED01CBED1}" type="presParOf" srcId="{35300231-34B7-4793-839D-733BB13391A6}" destId="{E60865BE-6D6C-46D1-A6E4-526D3CCD5E34}" srcOrd="1" destOrd="0" presId="urn:microsoft.com/office/officeart/2005/8/layout/hierarchy1"/>
    <dgm:cxn modelId="{8AA46947-84BD-4360-B000-0D7DA75F3D8D}" type="presParOf" srcId="{A5D0958D-D90A-4DA7-92CD-6E37A8C75900}" destId="{761A3919-6F13-47DD-A2F9-CE5ECF2F037C}" srcOrd="1" destOrd="0" presId="urn:microsoft.com/office/officeart/2005/8/layout/hierarchy1"/>
    <dgm:cxn modelId="{77EE352E-82B0-4B8C-AC30-C4EC61A2FC8B}" type="presParOf" srcId="{6EB37F24-71E3-44E8-8E18-CFBD40503C2C}" destId="{57B71D61-FDBE-497B-A320-55F2E224DFC4}" srcOrd="2" destOrd="0" presId="urn:microsoft.com/office/officeart/2005/8/layout/hierarchy1"/>
    <dgm:cxn modelId="{634837D4-D773-4F63-8F1A-3752B26E40C5}" type="presParOf" srcId="{6EB37F24-71E3-44E8-8E18-CFBD40503C2C}" destId="{7DFC6A31-89C6-45F7-9CE8-D6F2518DC4DD}" srcOrd="3" destOrd="0" presId="urn:microsoft.com/office/officeart/2005/8/layout/hierarchy1"/>
    <dgm:cxn modelId="{A50E7A61-56F4-405B-ACBF-1EC9ACB78472}" type="presParOf" srcId="{7DFC6A31-89C6-45F7-9CE8-D6F2518DC4DD}" destId="{7C82861E-E7A9-4E9E-8BC6-4E6C2023A92D}" srcOrd="0" destOrd="0" presId="urn:microsoft.com/office/officeart/2005/8/layout/hierarchy1"/>
    <dgm:cxn modelId="{64A3362E-106D-444B-AABD-648B2BAC5771}" type="presParOf" srcId="{7C82861E-E7A9-4E9E-8BC6-4E6C2023A92D}" destId="{28FDB207-C716-4FBB-B641-D163FE0B1741}" srcOrd="0" destOrd="0" presId="urn:microsoft.com/office/officeart/2005/8/layout/hierarchy1"/>
    <dgm:cxn modelId="{BFA3523A-7001-453D-A278-194742F9D239}" type="presParOf" srcId="{7C82861E-E7A9-4E9E-8BC6-4E6C2023A92D}" destId="{AA7FF5D0-6553-47E5-A6FF-9227F8F36B61}" srcOrd="1" destOrd="0" presId="urn:microsoft.com/office/officeart/2005/8/layout/hierarchy1"/>
    <dgm:cxn modelId="{3425B079-33E1-4FDE-9088-B237F73D4BFB}" type="presParOf" srcId="{7DFC6A31-89C6-45F7-9CE8-D6F2518DC4DD}" destId="{6EB6C1D2-8B39-41F9-A376-B2A81F28992F}" srcOrd="1" destOrd="0" presId="urn:microsoft.com/office/officeart/2005/8/layout/hierarchy1"/>
    <dgm:cxn modelId="{BA5A882C-FAC2-4484-B920-5F450A1ABB54}" type="presParOf" srcId="{6EB37F24-71E3-44E8-8E18-CFBD40503C2C}" destId="{12AE37DD-DC33-40AB-A08C-4B1AB605646B}" srcOrd="4" destOrd="0" presId="urn:microsoft.com/office/officeart/2005/8/layout/hierarchy1"/>
    <dgm:cxn modelId="{98078A23-91DC-453A-844C-D1FA5713EE8B}" type="presParOf" srcId="{6EB37F24-71E3-44E8-8E18-CFBD40503C2C}" destId="{E4E8AE8B-1166-437D-859F-61F61166FDCD}" srcOrd="5" destOrd="0" presId="urn:microsoft.com/office/officeart/2005/8/layout/hierarchy1"/>
    <dgm:cxn modelId="{4DCA08EA-0B38-405D-AD0B-875409177053}" type="presParOf" srcId="{E4E8AE8B-1166-437D-859F-61F61166FDCD}" destId="{CFDE01D9-35C1-4490-8BA7-2234A06E16E2}" srcOrd="0" destOrd="0" presId="urn:microsoft.com/office/officeart/2005/8/layout/hierarchy1"/>
    <dgm:cxn modelId="{599EACA7-9788-46F1-B7A8-E5F320B73EEB}" type="presParOf" srcId="{CFDE01D9-35C1-4490-8BA7-2234A06E16E2}" destId="{C861A198-C1B7-4731-9AD8-905F2644849E}" srcOrd="0" destOrd="0" presId="urn:microsoft.com/office/officeart/2005/8/layout/hierarchy1"/>
    <dgm:cxn modelId="{BCC73102-86BF-43B2-8822-8D81DAE10188}" type="presParOf" srcId="{CFDE01D9-35C1-4490-8BA7-2234A06E16E2}" destId="{ABBD8F24-63DA-4F86-B9CC-1171F995C834}" srcOrd="1" destOrd="0" presId="urn:microsoft.com/office/officeart/2005/8/layout/hierarchy1"/>
    <dgm:cxn modelId="{8A94CD27-909D-47D4-8FBA-918CCC9D1BA2}" type="presParOf" srcId="{E4E8AE8B-1166-437D-859F-61F61166FDCD}" destId="{C6B6D4D2-781F-4A0E-82C6-A604D0EC880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15B687-974F-4A32-A457-13C72D96C269}" type="doc">
      <dgm:prSet loTypeId="urn:microsoft.com/office/officeart/2005/8/layout/radial3" loCatId="relationship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29E14790-5AE1-4757-8B7A-4F2C408DA170}">
      <dgm:prSet phldrT="[Tekst]" custT="1"/>
      <dgm:spPr>
        <a:xfrm>
          <a:off x="2328452" y="750157"/>
          <a:ext cx="1068725" cy="74654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Types of risks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8F62458-EBFE-4C03-9325-45F71FA713D5}" type="parTrans" cxnId="{432F23F4-317F-479C-B663-C7E16D7EF29F}">
      <dgm:prSet/>
      <dgm:spPr/>
      <dgm:t>
        <a:bodyPr/>
        <a:lstStyle/>
        <a:p>
          <a:endParaRPr lang="pl-PL"/>
        </a:p>
      </dgm:t>
    </dgm:pt>
    <dgm:pt modelId="{A80BD7DD-25C9-45CC-AD58-5BF11A6289D8}" type="sibTrans" cxnId="{432F23F4-317F-479C-B663-C7E16D7EF29F}">
      <dgm:prSet/>
      <dgm:spPr/>
      <dgm:t>
        <a:bodyPr/>
        <a:lstStyle/>
        <a:p>
          <a:endParaRPr lang="pl-PL"/>
        </a:p>
      </dgm:t>
    </dgm:pt>
    <dgm:pt modelId="{F1E76FC2-A5F5-4EB2-95F5-2899DA541C64}">
      <dgm:prSet phldrT="[Tekst]" custT="1"/>
      <dgm:spPr>
        <a:xfrm>
          <a:off x="3052561" y="1044515"/>
          <a:ext cx="2092818" cy="860492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Specific risk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A1DBC7-EE5E-48C5-89C9-DBD13394DBA5}" type="parTrans" cxnId="{EA8C7C27-C19F-42DD-8F20-6531804631C1}">
      <dgm:prSet/>
      <dgm:spPr/>
      <dgm:t>
        <a:bodyPr/>
        <a:lstStyle/>
        <a:p>
          <a:endParaRPr lang="pl-PL"/>
        </a:p>
      </dgm:t>
    </dgm:pt>
    <dgm:pt modelId="{BDD70B5E-9DA6-4DD2-BF7A-0AB6626093EA}" type="sibTrans" cxnId="{EA8C7C27-C19F-42DD-8F20-6531804631C1}">
      <dgm:prSet/>
      <dgm:spPr/>
      <dgm:t>
        <a:bodyPr/>
        <a:lstStyle/>
        <a:p>
          <a:endParaRPr lang="pl-PL"/>
        </a:p>
      </dgm:t>
    </dgm:pt>
    <dgm:pt modelId="{AE84BB6C-8FBA-450B-B6F0-770830C32F84}">
      <dgm:prSet phldrT="[Tekst]" custT="1"/>
      <dgm:spPr>
        <a:xfrm>
          <a:off x="507500" y="1010150"/>
          <a:ext cx="2084714" cy="923383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Financial risk (bankruptcy, liquidity)</a:t>
          </a:r>
          <a:endParaRPr lang="pl-PL" sz="10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3BF0F00-53B1-4966-98DB-EFBEED7B0DA4}" type="parTrans" cxnId="{614D802C-5606-43AC-AA86-142FF819ABE3}">
      <dgm:prSet/>
      <dgm:spPr/>
      <dgm:t>
        <a:bodyPr/>
        <a:lstStyle/>
        <a:p>
          <a:endParaRPr lang="pl-PL"/>
        </a:p>
      </dgm:t>
    </dgm:pt>
    <dgm:pt modelId="{1E555EE0-6ACC-4937-ACE9-D1BE7550C48F}" type="sibTrans" cxnId="{614D802C-5606-43AC-AA86-142FF819ABE3}">
      <dgm:prSet/>
      <dgm:spPr/>
      <dgm:t>
        <a:bodyPr/>
        <a:lstStyle/>
        <a:p>
          <a:endParaRPr lang="pl-PL"/>
        </a:p>
      </dgm:t>
    </dgm:pt>
    <dgm:pt modelId="{1FD1C326-DFE2-44C2-8D7C-13926C001F99}">
      <dgm:prSet phldrT="[Tekst]" custT="1"/>
      <dgm:spPr>
        <a:xfrm>
          <a:off x="1778485" y="6349"/>
          <a:ext cx="2063038" cy="78356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Systematic risk (inflation, market)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DC959CB-83F7-4E75-806D-00046C6946A8}" type="sibTrans" cxnId="{6F1E0F4F-A18E-4B76-AD7A-4A092B4724E6}">
      <dgm:prSet/>
      <dgm:spPr/>
      <dgm:t>
        <a:bodyPr/>
        <a:lstStyle/>
        <a:p>
          <a:endParaRPr lang="pl-PL"/>
        </a:p>
      </dgm:t>
    </dgm:pt>
    <dgm:pt modelId="{7CAC6FE0-EA96-4AAF-87A6-163EA5FD3E55}" type="parTrans" cxnId="{6F1E0F4F-A18E-4B76-AD7A-4A092B4724E6}">
      <dgm:prSet/>
      <dgm:spPr/>
      <dgm:t>
        <a:bodyPr/>
        <a:lstStyle/>
        <a:p>
          <a:endParaRPr lang="pl-PL"/>
        </a:p>
      </dgm:t>
    </dgm:pt>
    <dgm:pt modelId="{23535E0A-6464-4F2F-A415-4A6A1DF5962E}" type="pres">
      <dgm:prSet presAssocID="{5F15B687-974F-4A32-A457-13C72D96C269}" presName="composite" presStyleCnt="0">
        <dgm:presLayoutVars>
          <dgm:chMax val="1"/>
          <dgm:dir/>
          <dgm:resizeHandles val="exact"/>
        </dgm:presLayoutVars>
      </dgm:prSet>
      <dgm:spPr/>
    </dgm:pt>
    <dgm:pt modelId="{7F50FFE6-1B51-4C30-9269-8ED30D345F6D}" type="pres">
      <dgm:prSet presAssocID="{5F15B687-974F-4A32-A457-13C72D96C269}" presName="radial" presStyleCnt="0">
        <dgm:presLayoutVars>
          <dgm:animLvl val="ctr"/>
        </dgm:presLayoutVars>
      </dgm:prSet>
      <dgm:spPr/>
    </dgm:pt>
    <dgm:pt modelId="{FAB097D0-1A41-4AAE-8E6F-AFDAA2F27D09}" type="pres">
      <dgm:prSet presAssocID="{29E14790-5AE1-4757-8B7A-4F2C408DA170}" presName="centerShape" presStyleLbl="vennNode1" presStyleIdx="0" presStyleCnt="4" custScaleX="81304" custScaleY="56794" custLinFactNeighborX="5070" custLinFactNeighborY="-7331"/>
      <dgm:spPr/>
    </dgm:pt>
    <dgm:pt modelId="{B5069D95-749D-4851-9C31-4D898DE377BF}" type="pres">
      <dgm:prSet presAssocID="{1FD1C326-DFE2-44C2-8D7C-13926C001F99}" presName="node" presStyleLbl="vennNode1" presStyleIdx="1" presStyleCnt="4" custScaleX="313894" custScaleY="119221" custRadScaleRad="99552" custRadScaleInc="1902">
        <dgm:presLayoutVars>
          <dgm:bulletEnabled val="1"/>
        </dgm:presLayoutVars>
      </dgm:prSet>
      <dgm:spPr/>
    </dgm:pt>
    <dgm:pt modelId="{19CC1792-3CB0-4C6F-B1D3-6D6227611372}" type="pres">
      <dgm:prSet presAssocID="{F1E76FC2-A5F5-4EB2-95F5-2899DA541C64}" presName="node" presStyleLbl="vennNode1" presStyleIdx="2" presStyleCnt="4" custScaleX="318425" custScaleY="130925" custRadScaleRad="156927" custRadScaleInc="-16923">
        <dgm:presLayoutVars>
          <dgm:bulletEnabled val="1"/>
        </dgm:presLayoutVars>
      </dgm:prSet>
      <dgm:spPr/>
    </dgm:pt>
    <dgm:pt modelId="{F331A0FB-5A2F-43BC-AE83-7A2EC0AB09D0}" type="pres">
      <dgm:prSet presAssocID="{AE84BB6C-8FBA-450B-B6F0-770830C32F84}" presName="node" presStyleLbl="vennNode1" presStyleIdx="3" presStyleCnt="4" custScaleX="317192" custScaleY="140494" custRadScaleRad="146975" custRadScaleInc="20623">
        <dgm:presLayoutVars>
          <dgm:bulletEnabled val="1"/>
        </dgm:presLayoutVars>
      </dgm:prSet>
      <dgm:spPr/>
    </dgm:pt>
  </dgm:ptLst>
  <dgm:cxnLst>
    <dgm:cxn modelId="{85C6891E-CDF6-4162-B8CC-F2776BF42D2F}" type="presOf" srcId="{5F15B687-974F-4A32-A457-13C72D96C269}" destId="{23535E0A-6464-4F2F-A415-4A6A1DF5962E}" srcOrd="0" destOrd="0" presId="urn:microsoft.com/office/officeart/2005/8/layout/radial3"/>
    <dgm:cxn modelId="{E544EF1E-8FEB-4148-A4E0-DE8DB05A9F40}" type="presOf" srcId="{AE84BB6C-8FBA-450B-B6F0-770830C32F84}" destId="{F331A0FB-5A2F-43BC-AE83-7A2EC0AB09D0}" srcOrd="0" destOrd="0" presId="urn:microsoft.com/office/officeart/2005/8/layout/radial3"/>
    <dgm:cxn modelId="{EA8C7C27-C19F-42DD-8F20-6531804631C1}" srcId="{29E14790-5AE1-4757-8B7A-4F2C408DA170}" destId="{F1E76FC2-A5F5-4EB2-95F5-2899DA541C64}" srcOrd="1" destOrd="0" parTransId="{1BA1DBC7-EE5E-48C5-89C9-DBD13394DBA5}" sibTransId="{BDD70B5E-9DA6-4DD2-BF7A-0AB6626093EA}"/>
    <dgm:cxn modelId="{614D802C-5606-43AC-AA86-142FF819ABE3}" srcId="{29E14790-5AE1-4757-8B7A-4F2C408DA170}" destId="{AE84BB6C-8FBA-450B-B6F0-770830C32F84}" srcOrd="2" destOrd="0" parTransId="{B3BF0F00-53B1-4966-98DB-EFBEED7B0DA4}" sibTransId="{1E555EE0-6ACC-4937-ACE9-D1BE7550C48F}"/>
    <dgm:cxn modelId="{D7031B46-9244-4896-9AC8-34349700748E}" type="presOf" srcId="{1FD1C326-DFE2-44C2-8D7C-13926C001F99}" destId="{B5069D95-749D-4851-9C31-4D898DE377BF}" srcOrd="0" destOrd="0" presId="urn:microsoft.com/office/officeart/2005/8/layout/radial3"/>
    <dgm:cxn modelId="{6F1E0F4F-A18E-4B76-AD7A-4A092B4724E6}" srcId="{29E14790-5AE1-4757-8B7A-4F2C408DA170}" destId="{1FD1C326-DFE2-44C2-8D7C-13926C001F99}" srcOrd="0" destOrd="0" parTransId="{7CAC6FE0-EA96-4AAF-87A6-163EA5FD3E55}" sibTransId="{7DC959CB-83F7-4E75-806D-00046C6946A8}"/>
    <dgm:cxn modelId="{BC5ED2A4-8286-4EA8-9AB2-FE93761276F8}" type="presOf" srcId="{29E14790-5AE1-4757-8B7A-4F2C408DA170}" destId="{FAB097D0-1A41-4AAE-8E6F-AFDAA2F27D09}" srcOrd="0" destOrd="0" presId="urn:microsoft.com/office/officeart/2005/8/layout/radial3"/>
    <dgm:cxn modelId="{8A87E9EB-0DCD-48DE-B234-CBD6BCC26CAB}" type="presOf" srcId="{F1E76FC2-A5F5-4EB2-95F5-2899DA541C64}" destId="{19CC1792-3CB0-4C6F-B1D3-6D6227611372}" srcOrd="0" destOrd="0" presId="urn:microsoft.com/office/officeart/2005/8/layout/radial3"/>
    <dgm:cxn modelId="{432F23F4-317F-479C-B663-C7E16D7EF29F}" srcId="{5F15B687-974F-4A32-A457-13C72D96C269}" destId="{29E14790-5AE1-4757-8B7A-4F2C408DA170}" srcOrd="0" destOrd="0" parTransId="{48F62458-EBFE-4C03-9325-45F71FA713D5}" sibTransId="{A80BD7DD-25C9-45CC-AD58-5BF11A6289D8}"/>
    <dgm:cxn modelId="{938E459A-F5F8-4BA4-8E43-A3F52F5372A2}" type="presParOf" srcId="{23535E0A-6464-4F2F-A415-4A6A1DF5962E}" destId="{7F50FFE6-1B51-4C30-9269-8ED30D345F6D}" srcOrd="0" destOrd="0" presId="urn:microsoft.com/office/officeart/2005/8/layout/radial3"/>
    <dgm:cxn modelId="{0D04C7AC-FAEE-4A9B-A7CF-2882A8462956}" type="presParOf" srcId="{7F50FFE6-1B51-4C30-9269-8ED30D345F6D}" destId="{FAB097D0-1A41-4AAE-8E6F-AFDAA2F27D09}" srcOrd="0" destOrd="0" presId="urn:microsoft.com/office/officeart/2005/8/layout/radial3"/>
    <dgm:cxn modelId="{946BF6CA-ABBD-432E-81B9-45484C688032}" type="presParOf" srcId="{7F50FFE6-1B51-4C30-9269-8ED30D345F6D}" destId="{B5069D95-749D-4851-9C31-4D898DE377BF}" srcOrd="1" destOrd="0" presId="urn:microsoft.com/office/officeart/2005/8/layout/radial3"/>
    <dgm:cxn modelId="{EBFFBB54-5D7C-427E-9370-3414EBD3308D}" type="presParOf" srcId="{7F50FFE6-1B51-4C30-9269-8ED30D345F6D}" destId="{19CC1792-3CB0-4C6F-B1D3-6D6227611372}" srcOrd="2" destOrd="0" presId="urn:microsoft.com/office/officeart/2005/8/layout/radial3"/>
    <dgm:cxn modelId="{3DEB5093-A887-43AA-A9AA-E187B3210C80}" type="presParOf" srcId="{7F50FFE6-1B51-4C30-9269-8ED30D345F6D}" destId="{F331A0FB-5A2F-43BC-AE83-7A2EC0AB09D0}" srcOrd="3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2232DE5-A828-4B4E-A427-55CCB59A34E8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E4B03BCA-BC5E-49CB-8990-EB192EB8E9C1}">
      <dgm:prSet phldrT="[Tekst]" custT="1"/>
      <dgm:spPr>
        <a:xfrm>
          <a:off x="262363" y="69851"/>
          <a:ext cx="5215248" cy="84310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1" i="0">
              <a:latin typeface="Times New Roman" panose="02020603050405020304" pitchFamily="18" charset="0"/>
              <a:cs typeface="Times New Roman" panose="02020603050405020304" pitchFamily="18" charset="0"/>
            </a:rPr>
            <a:t>Economic aspects</a:t>
          </a: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:rising inflation, rising inflation,increasing financing costs,"Safe Credit" offering.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14467B7-8CD9-438A-867B-085CBF912764}" type="parTrans" cxnId="{0867AAD7-3B2A-4129-8314-DDBCE97734A5}">
      <dgm:prSet/>
      <dgm:spPr/>
      <dgm:t>
        <a:bodyPr/>
        <a:lstStyle/>
        <a:p>
          <a:endParaRPr lang="pl-PL"/>
        </a:p>
      </dgm:t>
    </dgm:pt>
    <dgm:pt modelId="{5F5D1E1F-CF19-4986-982F-A28E3EFA78E4}" type="sibTrans" cxnId="{0867AAD7-3B2A-4129-8314-DDBCE97734A5}">
      <dgm:prSet/>
      <dgm:spPr/>
      <dgm:t>
        <a:bodyPr/>
        <a:lstStyle/>
        <a:p>
          <a:endParaRPr lang="pl-PL"/>
        </a:p>
      </dgm:t>
    </dgm:pt>
    <dgm:pt modelId="{3B8621E1-A925-42E8-AD1D-D615A3719EE0}">
      <dgm:prSet phldrT="[Tekst]" custT="1"/>
      <dgm:spPr>
        <a:xfrm>
          <a:off x="255469" y="1011257"/>
          <a:ext cx="5230930" cy="53589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buNone/>
          </a:pPr>
          <a:r>
            <a:rPr lang="pl-PL" sz="1000" b="1" i="0">
              <a:latin typeface="Times New Roman" panose="02020603050405020304" pitchFamily="18" charset="0"/>
              <a:cs typeface="Times New Roman" panose="02020603050405020304" pitchFamily="18" charset="0"/>
            </a:rPr>
            <a:t>Social aspects</a:t>
          </a: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:COVID-19 pandemic,increasing number of refugees in Poland.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FC86BEC-9485-405D-BBED-95ABC8AA2089}" type="parTrans" cxnId="{CAE51AAE-B5CA-4E2B-849A-7D14A88916CE}">
      <dgm:prSet/>
      <dgm:spPr/>
      <dgm:t>
        <a:bodyPr/>
        <a:lstStyle/>
        <a:p>
          <a:endParaRPr lang="pl-PL"/>
        </a:p>
      </dgm:t>
    </dgm:pt>
    <dgm:pt modelId="{4553931E-A7E9-48CA-A7F5-BE88BB5474EF}" type="sibTrans" cxnId="{CAE51AAE-B5CA-4E2B-849A-7D14A88916CE}">
      <dgm:prSet/>
      <dgm:spPr/>
      <dgm:t>
        <a:bodyPr/>
        <a:lstStyle/>
        <a:p>
          <a:endParaRPr lang="pl-PL"/>
        </a:p>
      </dgm:t>
    </dgm:pt>
    <dgm:pt modelId="{D1D63022-6A3C-4EA5-8D32-557F865A1438}">
      <dgm:prSet phldrT="[Tekst]" custT="1"/>
      <dgm:spPr>
        <a:xfrm>
          <a:off x="255469" y="1011257"/>
          <a:ext cx="5230930" cy="53589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pl-PL" sz="1000" b="1" i="0">
              <a:latin typeface="Times New Roman" panose="02020603050405020304" pitchFamily="18" charset="0"/>
              <a:cs typeface="Times New Roman" panose="02020603050405020304" pitchFamily="18" charset="0"/>
            </a:rPr>
            <a:t>Legal aspects</a:t>
          </a: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: tax on shopping centers (buildings worth 10 million PLN), introduction of a ban on tax depreciation of apartments, changes in construction law (expanding the list of exempted buildings from the requirement of a construction permit), establishment of the Developer Guarantee Fund.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5379529-2586-40E0-BCBC-F6A5065847C3}" type="parTrans" cxnId="{6C9D8A1F-4E34-4963-B870-C085193E3CE2}">
      <dgm:prSet/>
      <dgm:spPr/>
      <dgm:t>
        <a:bodyPr/>
        <a:lstStyle/>
        <a:p>
          <a:endParaRPr lang="pl-PL"/>
        </a:p>
      </dgm:t>
    </dgm:pt>
    <dgm:pt modelId="{ACBA0FD9-0052-4779-8C5F-6F51A7AE3ED6}" type="sibTrans" cxnId="{6C9D8A1F-4E34-4963-B870-C085193E3CE2}">
      <dgm:prSet/>
      <dgm:spPr/>
      <dgm:t>
        <a:bodyPr/>
        <a:lstStyle/>
        <a:p>
          <a:endParaRPr lang="pl-PL"/>
        </a:p>
      </dgm:t>
    </dgm:pt>
    <dgm:pt modelId="{B54C81EB-7CAB-4A4D-8B3B-C69B24AF15D7}" type="pres">
      <dgm:prSet presAssocID="{02232DE5-A828-4B4E-A427-55CCB59A34E8}" presName="linear" presStyleCnt="0">
        <dgm:presLayoutVars>
          <dgm:dir/>
          <dgm:animLvl val="lvl"/>
          <dgm:resizeHandles val="exact"/>
        </dgm:presLayoutVars>
      </dgm:prSet>
      <dgm:spPr/>
    </dgm:pt>
    <dgm:pt modelId="{42A8D663-0439-4343-B450-749340FD11B1}" type="pres">
      <dgm:prSet presAssocID="{E4B03BCA-BC5E-49CB-8990-EB192EB8E9C1}" presName="parentLin" presStyleCnt="0"/>
      <dgm:spPr/>
    </dgm:pt>
    <dgm:pt modelId="{C3513F75-AFBC-4BF3-B72C-845C6A9E2C8A}" type="pres">
      <dgm:prSet presAssocID="{E4B03BCA-BC5E-49CB-8990-EB192EB8E9C1}" presName="parentLeftMargin" presStyleLbl="node1" presStyleIdx="0" presStyleCnt="3"/>
      <dgm:spPr/>
    </dgm:pt>
    <dgm:pt modelId="{16D0B139-EBDD-4D4B-954C-CD363624CEDD}" type="pres">
      <dgm:prSet presAssocID="{E4B03BCA-BC5E-49CB-8990-EB192EB8E9C1}" presName="parentText" presStyleLbl="node1" presStyleIdx="0" presStyleCnt="3" custScaleX="138640" custScaleY="341406" custLinFactNeighborX="-14172" custLinFactNeighborY="-22586">
        <dgm:presLayoutVars>
          <dgm:chMax val="0"/>
          <dgm:bulletEnabled val="1"/>
        </dgm:presLayoutVars>
      </dgm:prSet>
      <dgm:spPr/>
    </dgm:pt>
    <dgm:pt modelId="{07F353BA-11D1-4C3C-9E92-B36BF0BFB716}" type="pres">
      <dgm:prSet presAssocID="{E4B03BCA-BC5E-49CB-8990-EB192EB8E9C1}" presName="negativeSpace" presStyleCnt="0"/>
      <dgm:spPr/>
    </dgm:pt>
    <dgm:pt modelId="{9906DCFC-2370-4177-A362-F7C10DC2F843}" type="pres">
      <dgm:prSet presAssocID="{E4B03BCA-BC5E-49CB-8990-EB192EB8E9C1}" presName="childText" presStyleLbl="conFgAcc1" presStyleIdx="0" presStyleCnt="3">
        <dgm:presLayoutVars>
          <dgm:bulletEnabled val="1"/>
        </dgm:presLayoutVars>
      </dgm:prSet>
      <dgm:spPr>
        <a:xfrm>
          <a:off x="0" y="835820"/>
          <a:ext cx="5486400" cy="151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C495225-150C-4926-BA82-9E2749998F40}" type="pres">
      <dgm:prSet presAssocID="{5F5D1E1F-CF19-4986-982F-A28E3EFA78E4}" presName="spaceBetweenRectangles" presStyleCnt="0"/>
      <dgm:spPr/>
    </dgm:pt>
    <dgm:pt modelId="{A76FBD2F-2142-4B69-B718-9A9A9B873524}" type="pres">
      <dgm:prSet presAssocID="{3B8621E1-A925-42E8-AD1D-D615A3719EE0}" presName="parentLin" presStyleCnt="0"/>
      <dgm:spPr/>
    </dgm:pt>
    <dgm:pt modelId="{94B7C20F-CDCD-4428-8324-108F63F4BD95}" type="pres">
      <dgm:prSet presAssocID="{3B8621E1-A925-42E8-AD1D-D615A3719EE0}" presName="parentLeftMargin" presStyleLbl="node1" presStyleIdx="0" presStyleCnt="3"/>
      <dgm:spPr/>
    </dgm:pt>
    <dgm:pt modelId="{A6E07094-91CB-457A-B5EB-D48C9B1CB898}" type="pres">
      <dgm:prSet presAssocID="{3B8621E1-A925-42E8-AD1D-D615A3719EE0}" presName="parentText" presStyleLbl="node1" presStyleIdx="1" presStyleCnt="3" custScaleX="148693" custScaleY="302559" custLinFactNeighborX="6944" custLinFactNeighborY="-4609">
        <dgm:presLayoutVars>
          <dgm:chMax val="0"/>
          <dgm:bulletEnabled val="1"/>
        </dgm:presLayoutVars>
      </dgm:prSet>
      <dgm:spPr/>
    </dgm:pt>
    <dgm:pt modelId="{52FDF80D-2635-4FE9-8DC4-7530A35AE170}" type="pres">
      <dgm:prSet presAssocID="{3B8621E1-A925-42E8-AD1D-D615A3719EE0}" presName="negativeSpace" presStyleCnt="0"/>
      <dgm:spPr/>
    </dgm:pt>
    <dgm:pt modelId="{59BB8CBC-4AB8-4ADC-867D-49EF4DA10C7F}" type="pres">
      <dgm:prSet presAssocID="{3B8621E1-A925-42E8-AD1D-D615A3719EE0}" presName="childText" presStyleLbl="conFgAcc1" presStyleIdx="1" presStyleCnt="3">
        <dgm:presLayoutVars>
          <dgm:bulletEnabled val="1"/>
        </dgm:presLayoutVars>
      </dgm:prSet>
      <dgm:spPr>
        <a:xfrm>
          <a:off x="0" y="1466753"/>
          <a:ext cx="5486400" cy="151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CDA2259-4DE0-4E40-8137-D84BE3E84E10}" type="pres">
      <dgm:prSet presAssocID="{4553931E-A7E9-48CA-A7F5-BE88BB5474EF}" presName="spaceBetweenRectangles" presStyleCnt="0"/>
      <dgm:spPr/>
    </dgm:pt>
    <dgm:pt modelId="{D1F52A9F-A8DD-4B3C-A813-20A2796C3BDB}" type="pres">
      <dgm:prSet presAssocID="{D1D63022-6A3C-4EA5-8D32-557F865A1438}" presName="parentLin" presStyleCnt="0"/>
      <dgm:spPr/>
    </dgm:pt>
    <dgm:pt modelId="{8A31F1BF-4D7D-48C2-9344-E007AD43F505}" type="pres">
      <dgm:prSet presAssocID="{D1D63022-6A3C-4EA5-8D32-557F865A1438}" presName="parentLeftMargin" presStyleLbl="node1" presStyleIdx="1" presStyleCnt="3"/>
      <dgm:spPr>
        <a:prstGeom prst="roundRect">
          <a:avLst/>
        </a:prstGeom>
      </dgm:spPr>
    </dgm:pt>
    <dgm:pt modelId="{85CC94D8-BD22-4C10-A38A-A19FDECBC39A}" type="pres">
      <dgm:prSet presAssocID="{D1D63022-6A3C-4EA5-8D32-557F865A1438}" presName="parentText" presStyleLbl="node1" presStyleIdx="2" presStyleCnt="3" custScaleX="142857" custScaleY="394043" custLinFactNeighborX="7293" custLinFactNeighborY="2689">
        <dgm:presLayoutVars>
          <dgm:chMax val="0"/>
          <dgm:bulletEnabled val="1"/>
        </dgm:presLayoutVars>
      </dgm:prSet>
      <dgm:spPr/>
    </dgm:pt>
    <dgm:pt modelId="{1D702DF7-F9F3-45C6-A1B2-9509A2F585DB}" type="pres">
      <dgm:prSet presAssocID="{D1D63022-6A3C-4EA5-8D32-557F865A1438}" presName="negativeSpace" presStyleCnt="0"/>
      <dgm:spPr/>
    </dgm:pt>
    <dgm:pt modelId="{4460BDF4-1D66-4D3E-BF84-DBC559902F4C}" type="pres">
      <dgm:prSet presAssocID="{D1D63022-6A3C-4EA5-8D32-557F865A1438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F71BA818-0E1B-43CB-B8E1-820124DC1ECB}" type="presOf" srcId="{3B8621E1-A925-42E8-AD1D-D615A3719EE0}" destId="{A6E07094-91CB-457A-B5EB-D48C9B1CB898}" srcOrd="1" destOrd="0" presId="urn:microsoft.com/office/officeart/2005/8/layout/list1"/>
    <dgm:cxn modelId="{28D0391A-A97F-44C6-83B6-4B7241865775}" type="presOf" srcId="{3B8621E1-A925-42E8-AD1D-D615A3719EE0}" destId="{94B7C20F-CDCD-4428-8324-108F63F4BD95}" srcOrd="0" destOrd="0" presId="urn:microsoft.com/office/officeart/2005/8/layout/list1"/>
    <dgm:cxn modelId="{E60E3A1A-FB80-47FF-9CBA-2F0B76235285}" type="presOf" srcId="{D1D63022-6A3C-4EA5-8D32-557F865A1438}" destId="{8A31F1BF-4D7D-48C2-9344-E007AD43F505}" srcOrd="0" destOrd="0" presId="urn:microsoft.com/office/officeart/2005/8/layout/list1"/>
    <dgm:cxn modelId="{6C9D8A1F-4E34-4963-B870-C085193E3CE2}" srcId="{02232DE5-A828-4B4E-A427-55CCB59A34E8}" destId="{D1D63022-6A3C-4EA5-8D32-557F865A1438}" srcOrd="2" destOrd="0" parTransId="{75379529-2586-40E0-BCBC-F6A5065847C3}" sibTransId="{ACBA0FD9-0052-4779-8C5F-6F51A7AE3ED6}"/>
    <dgm:cxn modelId="{80B4BE3D-1709-4E91-A039-F51799B6DE45}" type="presOf" srcId="{E4B03BCA-BC5E-49CB-8990-EB192EB8E9C1}" destId="{16D0B139-EBDD-4D4B-954C-CD363624CEDD}" srcOrd="1" destOrd="0" presId="urn:microsoft.com/office/officeart/2005/8/layout/list1"/>
    <dgm:cxn modelId="{F3D5A050-6695-45D3-A848-60F60A810231}" type="presOf" srcId="{02232DE5-A828-4B4E-A427-55CCB59A34E8}" destId="{B54C81EB-7CAB-4A4D-8B3B-C69B24AF15D7}" srcOrd="0" destOrd="0" presId="urn:microsoft.com/office/officeart/2005/8/layout/list1"/>
    <dgm:cxn modelId="{D2961A72-6331-436B-9CA9-118C78BD8621}" type="presOf" srcId="{E4B03BCA-BC5E-49CB-8990-EB192EB8E9C1}" destId="{C3513F75-AFBC-4BF3-B72C-845C6A9E2C8A}" srcOrd="0" destOrd="0" presId="urn:microsoft.com/office/officeart/2005/8/layout/list1"/>
    <dgm:cxn modelId="{CAE51AAE-B5CA-4E2B-849A-7D14A88916CE}" srcId="{02232DE5-A828-4B4E-A427-55CCB59A34E8}" destId="{3B8621E1-A925-42E8-AD1D-D615A3719EE0}" srcOrd="1" destOrd="0" parTransId="{FFC86BEC-9485-405D-BBED-95ABC8AA2089}" sibTransId="{4553931E-A7E9-48CA-A7F5-BE88BB5474EF}"/>
    <dgm:cxn modelId="{0867AAD7-3B2A-4129-8314-DDBCE97734A5}" srcId="{02232DE5-A828-4B4E-A427-55CCB59A34E8}" destId="{E4B03BCA-BC5E-49CB-8990-EB192EB8E9C1}" srcOrd="0" destOrd="0" parTransId="{F14467B7-8CD9-438A-867B-085CBF912764}" sibTransId="{5F5D1E1F-CF19-4986-982F-A28E3EFA78E4}"/>
    <dgm:cxn modelId="{E7CB52E2-B62B-4AC2-AD3B-7BE427586C59}" type="presOf" srcId="{D1D63022-6A3C-4EA5-8D32-557F865A1438}" destId="{85CC94D8-BD22-4C10-A38A-A19FDECBC39A}" srcOrd="1" destOrd="0" presId="urn:microsoft.com/office/officeart/2005/8/layout/list1"/>
    <dgm:cxn modelId="{AE14BBF5-6773-401B-8AFB-8225DECC53FC}" type="presParOf" srcId="{B54C81EB-7CAB-4A4D-8B3B-C69B24AF15D7}" destId="{42A8D663-0439-4343-B450-749340FD11B1}" srcOrd="0" destOrd="0" presId="urn:microsoft.com/office/officeart/2005/8/layout/list1"/>
    <dgm:cxn modelId="{65DD73FB-4244-4600-9706-B88788C814C5}" type="presParOf" srcId="{42A8D663-0439-4343-B450-749340FD11B1}" destId="{C3513F75-AFBC-4BF3-B72C-845C6A9E2C8A}" srcOrd="0" destOrd="0" presId="urn:microsoft.com/office/officeart/2005/8/layout/list1"/>
    <dgm:cxn modelId="{C65D932F-9C7E-4C6E-BF7B-CB11F3080ED1}" type="presParOf" srcId="{42A8D663-0439-4343-B450-749340FD11B1}" destId="{16D0B139-EBDD-4D4B-954C-CD363624CEDD}" srcOrd="1" destOrd="0" presId="urn:microsoft.com/office/officeart/2005/8/layout/list1"/>
    <dgm:cxn modelId="{2A0C600E-2570-486B-B6C4-0FE82252DAA8}" type="presParOf" srcId="{B54C81EB-7CAB-4A4D-8B3B-C69B24AF15D7}" destId="{07F353BA-11D1-4C3C-9E92-B36BF0BFB716}" srcOrd="1" destOrd="0" presId="urn:microsoft.com/office/officeart/2005/8/layout/list1"/>
    <dgm:cxn modelId="{52188959-D7CC-43CD-A534-46BDD946FD53}" type="presParOf" srcId="{B54C81EB-7CAB-4A4D-8B3B-C69B24AF15D7}" destId="{9906DCFC-2370-4177-A362-F7C10DC2F843}" srcOrd="2" destOrd="0" presId="urn:microsoft.com/office/officeart/2005/8/layout/list1"/>
    <dgm:cxn modelId="{C699DC55-54DD-4A90-8DAE-30E0AD530844}" type="presParOf" srcId="{B54C81EB-7CAB-4A4D-8B3B-C69B24AF15D7}" destId="{CC495225-150C-4926-BA82-9E2749998F40}" srcOrd="3" destOrd="0" presId="urn:microsoft.com/office/officeart/2005/8/layout/list1"/>
    <dgm:cxn modelId="{CAF3933C-0E8D-4176-BE8F-6C794E9F0C24}" type="presParOf" srcId="{B54C81EB-7CAB-4A4D-8B3B-C69B24AF15D7}" destId="{A76FBD2F-2142-4B69-B718-9A9A9B873524}" srcOrd="4" destOrd="0" presId="urn:microsoft.com/office/officeart/2005/8/layout/list1"/>
    <dgm:cxn modelId="{0F20474F-C8FC-4281-9BFF-86456223063F}" type="presParOf" srcId="{A76FBD2F-2142-4B69-B718-9A9A9B873524}" destId="{94B7C20F-CDCD-4428-8324-108F63F4BD95}" srcOrd="0" destOrd="0" presId="urn:microsoft.com/office/officeart/2005/8/layout/list1"/>
    <dgm:cxn modelId="{320581C2-AF84-49EA-859F-479AAF79F0BC}" type="presParOf" srcId="{A76FBD2F-2142-4B69-B718-9A9A9B873524}" destId="{A6E07094-91CB-457A-B5EB-D48C9B1CB898}" srcOrd="1" destOrd="0" presId="urn:microsoft.com/office/officeart/2005/8/layout/list1"/>
    <dgm:cxn modelId="{69F84517-D89F-4310-9428-B93F2BADADD8}" type="presParOf" srcId="{B54C81EB-7CAB-4A4D-8B3B-C69B24AF15D7}" destId="{52FDF80D-2635-4FE9-8DC4-7530A35AE170}" srcOrd="5" destOrd="0" presId="urn:microsoft.com/office/officeart/2005/8/layout/list1"/>
    <dgm:cxn modelId="{FA44C553-5BDD-419A-85F3-0E896354EB5D}" type="presParOf" srcId="{B54C81EB-7CAB-4A4D-8B3B-C69B24AF15D7}" destId="{59BB8CBC-4AB8-4ADC-867D-49EF4DA10C7F}" srcOrd="6" destOrd="0" presId="urn:microsoft.com/office/officeart/2005/8/layout/list1"/>
    <dgm:cxn modelId="{FC3B9591-FBB3-4388-9042-06AC39131BB0}" type="presParOf" srcId="{B54C81EB-7CAB-4A4D-8B3B-C69B24AF15D7}" destId="{0CDA2259-4DE0-4E40-8137-D84BE3E84E10}" srcOrd="7" destOrd="0" presId="urn:microsoft.com/office/officeart/2005/8/layout/list1"/>
    <dgm:cxn modelId="{3E78C73C-E937-4435-9057-8A1B7514DE04}" type="presParOf" srcId="{B54C81EB-7CAB-4A4D-8B3B-C69B24AF15D7}" destId="{D1F52A9F-A8DD-4B3C-A813-20A2796C3BDB}" srcOrd="8" destOrd="0" presId="urn:microsoft.com/office/officeart/2005/8/layout/list1"/>
    <dgm:cxn modelId="{05F9D397-55BA-4382-BD1A-DCF6C85AF5D2}" type="presParOf" srcId="{D1F52A9F-A8DD-4B3C-A813-20A2796C3BDB}" destId="{8A31F1BF-4D7D-48C2-9344-E007AD43F505}" srcOrd="0" destOrd="0" presId="urn:microsoft.com/office/officeart/2005/8/layout/list1"/>
    <dgm:cxn modelId="{67A91ECA-5B6D-48F1-BC0F-C8B66349D077}" type="presParOf" srcId="{D1F52A9F-A8DD-4B3C-A813-20A2796C3BDB}" destId="{85CC94D8-BD22-4C10-A38A-A19FDECBC39A}" srcOrd="1" destOrd="0" presId="urn:microsoft.com/office/officeart/2005/8/layout/list1"/>
    <dgm:cxn modelId="{717A62D8-CB12-46AC-981A-FBC51D1999E5}" type="presParOf" srcId="{B54C81EB-7CAB-4A4D-8B3B-C69B24AF15D7}" destId="{1D702DF7-F9F3-45C6-A1B2-9509A2F585DB}" srcOrd="9" destOrd="0" presId="urn:microsoft.com/office/officeart/2005/8/layout/list1"/>
    <dgm:cxn modelId="{594A4BBD-4619-40B4-A9BC-ABEC821F45AE}" type="presParOf" srcId="{B54C81EB-7CAB-4A4D-8B3B-C69B24AF15D7}" destId="{4460BDF4-1D66-4D3E-BF84-DBC559902F4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C5F6DDD-A132-4E85-A9E6-665B5220DE70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0E15E458-CDCD-4DB3-ADF6-9C9E20D0A6D6}">
      <dgm:prSet phldrT="[Tekst]" custT="1"/>
      <dgm:spPr>
        <a:xfrm>
          <a:off x="255271" y="15839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Financial risk associated with rising financing costs - decrease in the expected rate of return on investment</a:t>
          </a:r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</a:t>
          </a:r>
        </a:p>
      </dgm:t>
    </dgm:pt>
    <dgm:pt modelId="{9983CC4D-9697-4E0A-9518-17032A89BDD4}" type="parTrans" cxnId="{A24B026B-5231-4852-8BE3-A7134DC6D251}">
      <dgm:prSet/>
      <dgm:spPr/>
      <dgm:t>
        <a:bodyPr/>
        <a:lstStyle/>
        <a:p>
          <a:endParaRPr lang="pl-PL"/>
        </a:p>
      </dgm:t>
    </dgm:pt>
    <dgm:pt modelId="{629E65D2-679F-4FA2-80D3-56CD9E465866}" type="sibTrans" cxnId="{A24B026B-5231-4852-8BE3-A7134DC6D251}">
      <dgm:prSet/>
      <dgm:spPr/>
      <dgm:t>
        <a:bodyPr/>
        <a:lstStyle/>
        <a:p>
          <a:endParaRPr lang="pl-PL"/>
        </a:p>
      </dgm:t>
    </dgm:pt>
    <dgm:pt modelId="{A0D643B3-ADF9-4483-94BD-B9ABF319DE00}">
      <dgm:prSet phldrT="[Tekst]" custT="1"/>
      <dgm:spPr>
        <a:xfrm>
          <a:off x="274320" y="832320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Increasing maintenance costs of properties - rising prices of construction materials, energy carrier</a:t>
          </a:r>
          <a:r>
            <a:rPr lang="pl-PL" sz="10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</a:t>
          </a:r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</a:t>
          </a:r>
        </a:p>
      </dgm:t>
    </dgm:pt>
    <dgm:pt modelId="{39D8D552-F7ED-403A-BCB5-E608586FE109}" type="parTrans" cxnId="{F9AF2F15-7FAA-4246-936A-58AFD824320C}">
      <dgm:prSet/>
      <dgm:spPr/>
      <dgm:t>
        <a:bodyPr/>
        <a:lstStyle/>
        <a:p>
          <a:endParaRPr lang="pl-PL"/>
        </a:p>
      </dgm:t>
    </dgm:pt>
    <dgm:pt modelId="{273CD6A3-7482-4C20-8D94-AAD20F3D651C}" type="sibTrans" cxnId="{F9AF2F15-7FAA-4246-936A-58AFD824320C}">
      <dgm:prSet/>
      <dgm:spPr/>
      <dgm:t>
        <a:bodyPr/>
        <a:lstStyle/>
        <a:p>
          <a:endParaRPr lang="pl-PL"/>
        </a:p>
      </dgm:t>
    </dgm:pt>
    <dgm:pt modelId="{B6F76B19-8324-4726-ADAC-492A9205C60F}">
      <dgm:prSet phldrT="[Tekst]" custT="1"/>
      <dgm:spPr>
        <a:xfrm>
          <a:off x="274320" y="1648800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Risk of asset illiquidity in the event of, for example, an outbreak of international conflic</a:t>
          </a:r>
          <a:r>
            <a:rPr lang="pl-PL" sz="1000" b="0" i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</a:t>
          </a:r>
          <a:r>
            <a:rPr lang="pl-PL" sz="10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</a:t>
          </a:r>
        </a:p>
      </dgm:t>
    </dgm:pt>
    <dgm:pt modelId="{9ED0A20A-C09F-4329-AA6C-21740DA361B7}" type="parTrans" cxnId="{888BB166-8F8A-4D1A-B40C-28D9B601F8FA}">
      <dgm:prSet/>
      <dgm:spPr/>
      <dgm:t>
        <a:bodyPr/>
        <a:lstStyle/>
        <a:p>
          <a:endParaRPr lang="pl-PL"/>
        </a:p>
      </dgm:t>
    </dgm:pt>
    <dgm:pt modelId="{510073E7-05AB-497A-AD64-AC9D40987354}" type="sibTrans" cxnId="{888BB166-8F8A-4D1A-B40C-28D9B601F8FA}">
      <dgm:prSet/>
      <dgm:spPr/>
      <dgm:t>
        <a:bodyPr/>
        <a:lstStyle/>
        <a:p>
          <a:endParaRPr lang="pl-PL"/>
        </a:p>
      </dgm:t>
    </dgm:pt>
    <dgm:pt modelId="{2CC330F8-6350-4054-9AE1-2737442E4868}">
      <dgm:prSet phldrT="[Tekst]" custT="1"/>
      <dgm:spPr>
        <a:xfrm>
          <a:off x="274320" y="2465280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pl-PL" sz="1000" b="0" i="0">
              <a:latin typeface="Times New Roman" panose="02020603050405020304" pitchFamily="18" charset="0"/>
              <a:cs typeface="Times New Roman" panose="02020603050405020304" pitchFamily="18" charset="0"/>
            </a:rPr>
            <a:t>Risk of increased demand and supply of real estate due to attractive government programs, such as the "Safe Credit 2%," leading to;</a:t>
          </a:r>
          <a:endParaRPr lang="pl-PL" sz="10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00FF217-FC95-40E0-99DF-818206040AF7}" type="parTrans" cxnId="{EA296140-6301-419C-8F3A-9F7994B264FB}">
      <dgm:prSet/>
      <dgm:spPr/>
      <dgm:t>
        <a:bodyPr/>
        <a:lstStyle/>
        <a:p>
          <a:endParaRPr lang="pl-PL"/>
        </a:p>
      </dgm:t>
    </dgm:pt>
    <dgm:pt modelId="{7F79D244-D1B5-4B9D-B231-9649DD249FB8}" type="sibTrans" cxnId="{EA296140-6301-419C-8F3A-9F7994B264FB}">
      <dgm:prSet/>
      <dgm:spPr/>
      <dgm:t>
        <a:bodyPr/>
        <a:lstStyle/>
        <a:p>
          <a:endParaRPr lang="pl-PL"/>
        </a:p>
      </dgm:t>
    </dgm:pt>
    <dgm:pt modelId="{A58C7140-9CCA-47E7-9C2F-DDFF3A855675}" type="pres">
      <dgm:prSet presAssocID="{3C5F6DDD-A132-4E85-A9E6-665B5220DE70}" presName="linear" presStyleCnt="0">
        <dgm:presLayoutVars>
          <dgm:dir/>
          <dgm:animLvl val="lvl"/>
          <dgm:resizeHandles val="exact"/>
        </dgm:presLayoutVars>
      </dgm:prSet>
      <dgm:spPr/>
    </dgm:pt>
    <dgm:pt modelId="{E33D8A27-F7EE-4C52-9AAB-42FD15FAD85D}" type="pres">
      <dgm:prSet presAssocID="{0E15E458-CDCD-4DB3-ADF6-9C9E20D0A6D6}" presName="parentLin" presStyleCnt="0"/>
      <dgm:spPr/>
    </dgm:pt>
    <dgm:pt modelId="{25236AEE-5A45-4E05-93CA-E5C02A694ADE}" type="pres">
      <dgm:prSet presAssocID="{0E15E458-CDCD-4DB3-ADF6-9C9E20D0A6D6}" presName="parentLeftMargin" presStyleLbl="node1" presStyleIdx="0" presStyleCnt="4"/>
      <dgm:spPr/>
    </dgm:pt>
    <dgm:pt modelId="{09EF4181-4270-4335-925B-B2CE69D0231D}" type="pres">
      <dgm:prSet presAssocID="{0E15E458-CDCD-4DB3-ADF6-9C9E20D0A6D6}" presName="parentText" presStyleLbl="node1" presStyleIdx="0" presStyleCnt="4" custLinFactNeighborX="-6944">
        <dgm:presLayoutVars>
          <dgm:chMax val="0"/>
          <dgm:bulletEnabled val="1"/>
        </dgm:presLayoutVars>
      </dgm:prSet>
      <dgm:spPr/>
    </dgm:pt>
    <dgm:pt modelId="{FB302C55-5081-483C-B428-E3655B3FE96D}" type="pres">
      <dgm:prSet presAssocID="{0E15E458-CDCD-4DB3-ADF6-9C9E20D0A6D6}" presName="negativeSpace" presStyleCnt="0"/>
      <dgm:spPr/>
    </dgm:pt>
    <dgm:pt modelId="{64369586-85CE-42B2-A511-4B336565E173}" type="pres">
      <dgm:prSet presAssocID="{0E15E458-CDCD-4DB3-ADF6-9C9E20D0A6D6}" presName="childText" presStyleLbl="conFgAcc1" presStyleIdx="0" presStyleCnt="4">
        <dgm:presLayoutVars>
          <dgm:bulletEnabled val="1"/>
        </dgm:presLayoutVars>
      </dgm:prSet>
      <dgm:spPr>
        <a:xfrm>
          <a:off x="0" y="281519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BA88362-43F6-48FD-89FE-D2F159DA9901}" type="pres">
      <dgm:prSet presAssocID="{629E65D2-679F-4FA2-80D3-56CD9E465866}" presName="spaceBetweenRectangles" presStyleCnt="0"/>
      <dgm:spPr/>
    </dgm:pt>
    <dgm:pt modelId="{DB6C0670-57B7-4DC3-A2D4-EA2F6E417051}" type="pres">
      <dgm:prSet presAssocID="{A0D643B3-ADF9-4483-94BD-B9ABF319DE00}" presName="parentLin" presStyleCnt="0"/>
      <dgm:spPr/>
    </dgm:pt>
    <dgm:pt modelId="{7596147B-B6CF-4038-9D79-81ADFD76E756}" type="pres">
      <dgm:prSet presAssocID="{A0D643B3-ADF9-4483-94BD-B9ABF319DE00}" presName="parentLeftMargin" presStyleLbl="node1" presStyleIdx="0" presStyleCnt="4"/>
      <dgm:spPr/>
    </dgm:pt>
    <dgm:pt modelId="{28AA62BE-71EF-46A2-92E0-69D8E9A6BCEF}" type="pres">
      <dgm:prSet presAssocID="{A0D643B3-ADF9-4483-94BD-B9ABF319DE00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02D66DD9-B107-4700-86C6-947D53D563C1}" type="pres">
      <dgm:prSet presAssocID="{A0D643B3-ADF9-4483-94BD-B9ABF319DE00}" presName="negativeSpace" presStyleCnt="0"/>
      <dgm:spPr/>
    </dgm:pt>
    <dgm:pt modelId="{6E346D6E-44A0-4436-BDE2-616E8729B337}" type="pres">
      <dgm:prSet presAssocID="{A0D643B3-ADF9-4483-94BD-B9ABF319DE00}" presName="childText" presStyleLbl="conFgAcc1" presStyleIdx="1" presStyleCnt="4">
        <dgm:presLayoutVars>
          <dgm:bulletEnabled val="1"/>
        </dgm:presLayoutVars>
      </dgm:prSet>
      <dgm:spPr>
        <a:xfrm>
          <a:off x="0" y="1098000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B6A1ED3-7322-4274-B0C2-B3E272BFA815}" type="pres">
      <dgm:prSet presAssocID="{273CD6A3-7482-4C20-8D94-AAD20F3D651C}" presName="spaceBetweenRectangles" presStyleCnt="0"/>
      <dgm:spPr/>
    </dgm:pt>
    <dgm:pt modelId="{3446E2E4-454E-4555-AAE0-67663D9649F9}" type="pres">
      <dgm:prSet presAssocID="{B6F76B19-8324-4726-ADAC-492A9205C60F}" presName="parentLin" presStyleCnt="0"/>
      <dgm:spPr/>
    </dgm:pt>
    <dgm:pt modelId="{3E7CA601-18A4-40DC-8269-F0B5533F8AF5}" type="pres">
      <dgm:prSet presAssocID="{B6F76B19-8324-4726-ADAC-492A9205C60F}" presName="parentLeftMargin" presStyleLbl="node1" presStyleIdx="1" presStyleCnt="4"/>
      <dgm:spPr/>
    </dgm:pt>
    <dgm:pt modelId="{DA124556-F95B-407E-8893-A7C949923332}" type="pres">
      <dgm:prSet presAssocID="{B6F76B19-8324-4726-ADAC-492A9205C60F}" presName="parentText" presStyleLbl="node1" presStyleIdx="2" presStyleCnt="4">
        <dgm:presLayoutVars>
          <dgm:chMax val="0"/>
          <dgm:bulletEnabled val="1"/>
        </dgm:presLayoutVars>
      </dgm:prSet>
      <dgm:spPr/>
    </dgm:pt>
    <dgm:pt modelId="{57BB085B-0237-4D04-959C-39EE14204E9B}" type="pres">
      <dgm:prSet presAssocID="{B6F76B19-8324-4726-ADAC-492A9205C60F}" presName="negativeSpace" presStyleCnt="0"/>
      <dgm:spPr/>
    </dgm:pt>
    <dgm:pt modelId="{C7C523BF-03CE-4E4E-A557-691F38DBFA45}" type="pres">
      <dgm:prSet presAssocID="{B6F76B19-8324-4726-ADAC-492A9205C60F}" presName="childText" presStyleLbl="conFgAcc1" presStyleIdx="2" presStyleCnt="4">
        <dgm:presLayoutVars>
          <dgm:bulletEnabled val="1"/>
        </dgm:presLayoutVars>
      </dgm:prSet>
      <dgm:spPr>
        <a:xfrm>
          <a:off x="0" y="1914480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701DD20-3F6F-4B05-AC62-A1E624ADB0A0}" type="pres">
      <dgm:prSet presAssocID="{510073E7-05AB-497A-AD64-AC9D40987354}" presName="spaceBetweenRectangles" presStyleCnt="0"/>
      <dgm:spPr/>
    </dgm:pt>
    <dgm:pt modelId="{D4A6DACC-C63D-44B7-833E-D5C31F76C55C}" type="pres">
      <dgm:prSet presAssocID="{2CC330F8-6350-4054-9AE1-2737442E4868}" presName="parentLin" presStyleCnt="0"/>
      <dgm:spPr/>
    </dgm:pt>
    <dgm:pt modelId="{EC34D55F-236D-47B9-AE96-B782296810F4}" type="pres">
      <dgm:prSet presAssocID="{2CC330F8-6350-4054-9AE1-2737442E4868}" presName="parentLeftMargin" presStyleLbl="node1" presStyleIdx="2" presStyleCnt="4"/>
      <dgm:spPr/>
    </dgm:pt>
    <dgm:pt modelId="{254F2294-812A-412A-B4D2-AF92992F91B1}" type="pres">
      <dgm:prSet presAssocID="{2CC330F8-6350-4054-9AE1-2737442E4868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AE3AA403-6DC8-497D-AF0A-214D532A421E}" type="pres">
      <dgm:prSet presAssocID="{2CC330F8-6350-4054-9AE1-2737442E4868}" presName="negativeSpace" presStyleCnt="0"/>
      <dgm:spPr/>
    </dgm:pt>
    <dgm:pt modelId="{3D57B005-09A6-46E9-AB3D-2644E5F8BD1D}" type="pres">
      <dgm:prSet presAssocID="{2CC330F8-6350-4054-9AE1-2737442E4868}" presName="childText" presStyleLbl="conFgAcc1" presStyleIdx="3" presStyleCnt="4">
        <dgm:presLayoutVars>
          <dgm:bulletEnabled val="1"/>
        </dgm:presLayoutVars>
      </dgm:prSet>
      <dgm:spPr>
        <a:xfrm>
          <a:off x="0" y="2730960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F9AF2F15-7FAA-4246-936A-58AFD824320C}" srcId="{3C5F6DDD-A132-4E85-A9E6-665B5220DE70}" destId="{A0D643B3-ADF9-4483-94BD-B9ABF319DE00}" srcOrd="1" destOrd="0" parTransId="{39D8D552-F7ED-403A-BCB5-E608586FE109}" sibTransId="{273CD6A3-7482-4C20-8D94-AAD20F3D651C}"/>
    <dgm:cxn modelId="{EA296140-6301-419C-8F3A-9F7994B264FB}" srcId="{3C5F6DDD-A132-4E85-A9E6-665B5220DE70}" destId="{2CC330F8-6350-4054-9AE1-2737442E4868}" srcOrd="3" destOrd="0" parTransId="{400FF217-FC95-40E0-99DF-818206040AF7}" sibTransId="{7F79D244-D1B5-4B9D-B231-9649DD249FB8}"/>
    <dgm:cxn modelId="{5DB0F961-7E80-4E16-82F7-2D426F8C3F21}" type="presOf" srcId="{B6F76B19-8324-4726-ADAC-492A9205C60F}" destId="{DA124556-F95B-407E-8893-A7C949923332}" srcOrd="1" destOrd="0" presId="urn:microsoft.com/office/officeart/2005/8/layout/list1"/>
    <dgm:cxn modelId="{888BB166-8F8A-4D1A-B40C-28D9B601F8FA}" srcId="{3C5F6DDD-A132-4E85-A9E6-665B5220DE70}" destId="{B6F76B19-8324-4726-ADAC-492A9205C60F}" srcOrd="2" destOrd="0" parTransId="{9ED0A20A-C09F-4329-AA6C-21740DA361B7}" sibTransId="{510073E7-05AB-497A-AD64-AC9D40987354}"/>
    <dgm:cxn modelId="{A24B026B-5231-4852-8BE3-A7134DC6D251}" srcId="{3C5F6DDD-A132-4E85-A9E6-665B5220DE70}" destId="{0E15E458-CDCD-4DB3-ADF6-9C9E20D0A6D6}" srcOrd="0" destOrd="0" parTransId="{9983CC4D-9697-4E0A-9518-17032A89BDD4}" sibTransId="{629E65D2-679F-4FA2-80D3-56CD9E465866}"/>
    <dgm:cxn modelId="{B3310A52-063A-47AE-B941-2B15F04811A9}" type="presOf" srcId="{A0D643B3-ADF9-4483-94BD-B9ABF319DE00}" destId="{7596147B-B6CF-4038-9D79-81ADFD76E756}" srcOrd="0" destOrd="0" presId="urn:microsoft.com/office/officeart/2005/8/layout/list1"/>
    <dgm:cxn modelId="{7133417F-3F46-4272-88AC-DEF8F788A873}" type="presOf" srcId="{B6F76B19-8324-4726-ADAC-492A9205C60F}" destId="{3E7CA601-18A4-40DC-8269-F0B5533F8AF5}" srcOrd="0" destOrd="0" presId="urn:microsoft.com/office/officeart/2005/8/layout/list1"/>
    <dgm:cxn modelId="{DCD97B86-DD31-4F03-B6B0-CBA0C73554CD}" type="presOf" srcId="{0E15E458-CDCD-4DB3-ADF6-9C9E20D0A6D6}" destId="{25236AEE-5A45-4E05-93CA-E5C02A694ADE}" srcOrd="0" destOrd="0" presId="urn:microsoft.com/office/officeart/2005/8/layout/list1"/>
    <dgm:cxn modelId="{0478BF95-C674-4431-AAD3-C590896E6EEF}" type="presOf" srcId="{0E15E458-CDCD-4DB3-ADF6-9C9E20D0A6D6}" destId="{09EF4181-4270-4335-925B-B2CE69D0231D}" srcOrd="1" destOrd="0" presId="urn:microsoft.com/office/officeart/2005/8/layout/list1"/>
    <dgm:cxn modelId="{62D935D3-A1B2-4CBA-ADA2-B78F30B5E724}" type="presOf" srcId="{A0D643B3-ADF9-4483-94BD-B9ABF319DE00}" destId="{28AA62BE-71EF-46A2-92E0-69D8E9A6BCEF}" srcOrd="1" destOrd="0" presId="urn:microsoft.com/office/officeart/2005/8/layout/list1"/>
    <dgm:cxn modelId="{B07C52EB-FB99-438A-A775-08B048FB6022}" type="presOf" srcId="{2CC330F8-6350-4054-9AE1-2737442E4868}" destId="{254F2294-812A-412A-B4D2-AF92992F91B1}" srcOrd="1" destOrd="0" presId="urn:microsoft.com/office/officeart/2005/8/layout/list1"/>
    <dgm:cxn modelId="{84A8ADFA-CDE4-4890-B07E-50A7EC5AB236}" type="presOf" srcId="{3C5F6DDD-A132-4E85-A9E6-665B5220DE70}" destId="{A58C7140-9CCA-47E7-9C2F-DDFF3A855675}" srcOrd="0" destOrd="0" presId="urn:microsoft.com/office/officeart/2005/8/layout/list1"/>
    <dgm:cxn modelId="{D5D8E6FF-46C6-4CB8-8779-59A5AAB26D83}" type="presOf" srcId="{2CC330F8-6350-4054-9AE1-2737442E4868}" destId="{EC34D55F-236D-47B9-AE96-B782296810F4}" srcOrd="0" destOrd="0" presId="urn:microsoft.com/office/officeart/2005/8/layout/list1"/>
    <dgm:cxn modelId="{FC6DF691-23EF-4239-9A38-11BF147D27EB}" type="presParOf" srcId="{A58C7140-9CCA-47E7-9C2F-DDFF3A855675}" destId="{E33D8A27-F7EE-4C52-9AAB-42FD15FAD85D}" srcOrd="0" destOrd="0" presId="urn:microsoft.com/office/officeart/2005/8/layout/list1"/>
    <dgm:cxn modelId="{1E257F9B-6A5C-426D-98E6-4F1D38CAEA2B}" type="presParOf" srcId="{E33D8A27-F7EE-4C52-9AAB-42FD15FAD85D}" destId="{25236AEE-5A45-4E05-93CA-E5C02A694ADE}" srcOrd="0" destOrd="0" presId="urn:microsoft.com/office/officeart/2005/8/layout/list1"/>
    <dgm:cxn modelId="{465EC664-6A8A-4B9A-9974-A52C3787903B}" type="presParOf" srcId="{E33D8A27-F7EE-4C52-9AAB-42FD15FAD85D}" destId="{09EF4181-4270-4335-925B-B2CE69D0231D}" srcOrd="1" destOrd="0" presId="urn:microsoft.com/office/officeart/2005/8/layout/list1"/>
    <dgm:cxn modelId="{E6035C0B-E746-4135-9528-A3EB89562001}" type="presParOf" srcId="{A58C7140-9CCA-47E7-9C2F-DDFF3A855675}" destId="{FB302C55-5081-483C-B428-E3655B3FE96D}" srcOrd="1" destOrd="0" presId="urn:microsoft.com/office/officeart/2005/8/layout/list1"/>
    <dgm:cxn modelId="{EBA68168-4234-46A3-8268-240C1B2B774B}" type="presParOf" srcId="{A58C7140-9CCA-47E7-9C2F-DDFF3A855675}" destId="{64369586-85CE-42B2-A511-4B336565E173}" srcOrd="2" destOrd="0" presId="urn:microsoft.com/office/officeart/2005/8/layout/list1"/>
    <dgm:cxn modelId="{67473F0E-5322-4629-A58B-C716CE8B5CFE}" type="presParOf" srcId="{A58C7140-9CCA-47E7-9C2F-DDFF3A855675}" destId="{7BA88362-43F6-48FD-89FE-D2F159DA9901}" srcOrd="3" destOrd="0" presId="urn:microsoft.com/office/officeart/2005/8/layout/list1"/>
    <dgm:cxn modelId="{8F13C312-1D7E-4C0E-998C-2337C74A8D56}" type="presParOf" srcId="{A58C7140-9CCA-47E7-9C2F-DDFF3A855675}" destId="{DB6C0670-57B7-4DC3-A2D4-EA2F6E417051}" srcOrd="4" destOrd="0" presId="urn:microsoft.com/office/officeart/2005/8/layout/list1"/>
    <dgm:cxn modelId="{A0522787-B610-42FC-A114-84EAC53595D2}" type="presParOf" srcId="{DB6C0670-57B7-4DC3-A2D4-EA2F6E417051}" destId="{7596147B-B6CF-4038-9D79-81ADFD76E756}" srcOrd="0" destOrd="0" presId="urn:microsoft.com/office/officeart/2005/8/layout/list1"/>
    <dgm:cxn modelId="{B1885D32-25DA-4298-87F6-473B7343C0B5}" type="presParOf" srcId="{DB6C0670-57B7-4DC3-A2D4-EA2F6E417051}" destId="{28AA62BE-71EF-46A2-92E0-69D8E9A6BCEF}" srcOrd="1" destOrd="0" presId="urn:microsoft.com/office/officeart/2005/8/layout/list1"/>
    <dgm:cxn modelId="{2C5E8BFB-60AF-4A9F-B3AC-196AAC66D3CC}" type="presParOf" srcId="{A58C7140-9CCA-47E7-9C2F-DDFF3A855675}" destId="{02D66DD9-B107-4700-86C6-947D53D563C1}" srcOrd="5" destOrd="0" presId="urn:microsoft.com/office/officeart/2005/8/layout/list1"/>
    <dgm:cxn modelId="{F23E1A44-5711-4AB0-B533-40FA2867862A}" type="presParOf" srcId="{A58C7140-9CCA-47E7-9C2F-DDFF3A855675}" destId="{6E346D6E-44A0-4436-BDE2-616E8729B337}" srcOrd="6" destOrd="0" presId="urn:microsoft.com/office/officeart/2005/8/layout/list1"/>
    <dgm:cxn modelId="{F4B71F94-1F5C-4BD0-8D00-A128E4F4BB3E}" type="presParOf" srcId="{A58C7140-9CCA-47E7-9C2F-DDFF3A855675}" destId="{2B6A1ED3-7322-4274-B0C2-B3E272BFA815}" srcOrd="7" destOrd="0" presId="urn:microsoft.com/office/officeart/2005/8/layout/list1"/>
    <dgm:cxn modelId="{3DDD8F7B-4AD3-4F6A-AC91-F5497111C8E1}" type="presParOf" srcId="{A58C7140-9CCA-47E7-9C2F-DDFF3A855675}" destId="{3446E2E4-454E-4555-AAE0-67663D9649F9}" srcOrd="8" destOrd="0" presId="urn:microsoft.com/office/officeart/2005/8/layout/list1"/>
    <dgm:cxn modelId="{11242A72-99DE-4087-A058-D963D3E13D60}" type="presParOf" srcId="{3446E2E4-454E-4555-AAE0-67663D9649F9}" destId="{3E7CA601-18A4-40DC-8269-F0B5533F8AF5}" srcOrd="0" destOrd="0" presId="urn:microsoft.com/office/officeart/2005/8/layout/list1"/>
    <dgm:cxn modelId="{EFE120D1-4879-4324-800F-F4DEBEECBFC4}" type="presParOf" srcId="{3446E2E4-454E-4555-AAE0-67663D9649F9}" destId="{DA124556-F95B-407E-8893-A7C949923332}" srcOrd="1" destOrd="0" presId="urn:microsoft.com/office/officeart/2005/8/layout/list1"/>
    <dgm:cxn modelId="{AD0A5799-1A94-46B9-940F-5DED77AE41F4}" type="presParOf" srcId="{A58C7140-9CCA-47E7-9C2F-DDFF3A855675}" destId="{57BB085B-0237-4D04-959C-39EE14204E9B}" srcOrd="9" destOrd="0" presId="urn:microsoft.com/office/officeart/2005/8/layout/list1"/>
    <dgm:cxn modelId="{4161390B-689E-4F98-B5E0-36618DE5A96F}" type="presParOf" srcId="{A58C7140-9CCA-47E7-9C2F-DDFF3A855675}" destId="{C7C523BF-03CE-4E4E-A557-691F38DBFA45}" srcOrd="10" destOrd="0" presId="urn:microsoft.com/office/officeart/2005/8/layout/list1"/>
    <dgm:cxn modelId="{588FBCB7-B128-4FAD-9CF3-CC6A90E138FB}" type="presParOf" srcId="{A58C7140-9CCA-47E7-9C2F-DDFF3A855675}" destId="{5701DD20-3F6F-4B05-AC62-A1E624ADB0A0}" srcOrd="11" destOrd="0" presId="urn:microsoft.com/office/officeart/2005/8/layout/list1"/>
    <dgm:cxn modelId="{33F38D60-18C6-4781-9D85-19750B62E0DE}" type="presParOf" srcId="{A58C7140-9CCA-47E7-9C2F-DDFF3A855675}" destId="{D4A6DACC-C63D-44B7-833E-D5C31F76C55C}" srcOrd="12" destOrd="0" presId="urn:microsoft.com/office/officeart/2005/8/layout/list1"/>
    <dgm:cxn modelId="{95E7CE63-3DF5-417E-A7F1-7150E6B1B1B8}" type="presParOf" srcId="{D4A6DACC-C63D-44B7-833E-D5C31F76C55C}" destId="{EC34D55F-236D-47B9-AE96-B782296810F4}" srcOrd="0" destOrd="0" presId="urn:microsoft.com/office/officeart/2005/8/layout/list1"/>
    <dgm:cxn modelId="{3ED5C8B2-577F-4BEE-A898-9F777837DEA9}" type="presParOf" srcId="{D4A6DACC-C63D-44B7-833E-D5C31F76C55C}" destId="{254F2294-812A-412A-B4D2-AF92992F91B1}" srcOrd="1" destOrd="0" presId="urn:microsoft.com/office/officeart/2005/8/layout/list1"/>
    <dgm:cxn modelId="{3DBD4A79-C81B-488E-A6E2-BA64DA430357}" type="presParOf" srcId="{A58C7140-9CCA-47E7-9C2F-DDFF3A855675}" destId="{AE3AA403-6DC8-497D-AF0A-214D532A421E}" srcOrd="13" destOrd="0" presId="urn:microsoft.com/office/officeart/2005/8/layout/list1"/>
    <dgm:cxn modelId="{35503C4F-AB10-441B-B3F0-7ECF2EA58C28}" type="presParOf" srcId="{A58C7140-9CCA-47E7-9C2F-DDFF3A855675}" destId="{3D57B005-09A6-46E9-AB3D-2644E5F8BD1D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AE37DD-DC33-40AB-A08C-4B1AB605646B}">
      <dsp:nvSpPr>
        <dsp:cNvPr id="0" name=""/>
        <dsp:cNvSpPr/>
      </dsp:nvSpPr>
      <dsp:spPr>
        <a:xfrm>
          <a:off x="2800193" y="934192"/>
          <a:ext cx="1763657" cy="401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180"/>
              </a:lnTo>
              <a:lnTo>
                <a:pt x="1763657" y="268180"/>
              </a:lnTo>
              <a:lnTo>
                <a:pt x="1763657" y="401857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B71D61-FDBE-497B-A320-55F2E224DFC4}">
      <dsp:nvSpPr>
        <dsp:cNvPr id="0" name=""/>
        <dsp:cNvSpPr/>
      </dsp:nvSpPr>
      <dsp:spPr>
        <a:xfrm>
          <a:off x="2754473" y="934192"/>
          <a:ext cx="91440" cy="4018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1857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A60336-4F33-404A-8968-DE2C9B6A7F5B}">
      <dsp:nvSpPr>
        <dsp:cNvPr id="0" name=""/>
        <dsp:cNvSpPr/>
      </dsp:nvSpPr>
      <dsp:spPr>
        <a:xfrm>
          <a:off x="1036535" y="934192"/>
          <a:ext cx="1763657" cy="401857"/>
        </a:xfrm>
        <a:custGeom>
          <a:avLst/>
          <a:gdLst/>
          <a:ahLst/>
          <a:cxnLst/>
          <a:rect l="0" t="0" r="0" b="0"/>
          <a:pathLst>
            <a:path>
              <a:moveTo>
                <a:pt x="1763657" y="0"/>
              </a:moveTo>
              <a:lnTo>
                <a:pt x="1763657" y="268180"/>
              </a:lnTo>
              <a:lnTo>
                <a:pt x="0" y="268180"/>
              </a:lnTo>
              <a:lnTo>
                <a:pt x="0" y="401857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216F5-F8F9-4705-9889-33CBC654DC39}">
      <dsp:nvSpPr>
        <dsp:cNvPr id="0" name=""/>
        <dsp:cNvSpPr/>
      </dsp:nvSpPr>
      <dsp:spPr>
        <a:xfrm>
          <a:off x="2078697" y="17891"/>
          <a:ext cx="1442992" cy="916300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6D46B50-B913-4C7A-8D13-D047B0B1B766}">
      <dsp:nvSpPr>
        <dsp:cNvPr id="0" name=""/>
        <dsp:cNvSpPr/>
      </dsp:nvSpPr>
      <dsp:spPr>
        <a:xfrm>
          <a:off x="2239029" y="170207"/>
          <a:ext cx="1442992" cy="91630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Undivisibility of real estate.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65867" y="197045"/>
        <a:ext cx="1389316" cy="862624"/>
      </dsp:txXfrm>
    </dsp:sp>
    <dsp:sp modelId="{50C3EBEC-F093-48A2-98AE-9C74D9B2EE16}">
      <dsp:nvSpPr>
        <dsp:cNvPr id="0" name=""/>
        <dsp:cNvSpPr/>
      </dsp:nvSpPr>
      <dsp:spPr>
        <a:xfrm>
          <a:off x="315039" y="1336049"/>
          <a:ext cx="1442992" cy="91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60865BE-6D6C-46D1-A6E4-526D3CCD5E34}">
      <dsp:nvSpPr>
        <dsp:cNvPr id="0" name=""/>
        <dsp:cNvSpPr/>
      </dsp:nvSpPr>
      <dsp:spPr>
        <a:xfrm>
          <a:off x="475371" y="1488365"/>
          <a:ext cx="1442992" cy="91630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High amount of investment required for real estate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502209" y="1515203"/>
        <a:ext cx="1389316" cy="862624"/>
      </dsp:txXfrm>
    </dsp:sp>
    <dsp:sp modelId="{28FDB207-C716-4FBB-B641-D163FE0B1741}">
      <dsp:nvSpPr>
        <dsp:cNvPr id="0" name=""/>
        <dsp:cNvSpPr/>
      </dsp:nvSpPr>
      <dsp:spPr>
        <a:xfrm>
          <a:off x="2078697" y="1336049"/>
          <a:ext cx="1442992" cy="91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A7FF5D0-6553-47E5-A6FF-9227F8F36B61}">
      <dsp:nvSpPr>
        <dsp:cNvPr id="0" name=""/>
        <dsp:cNvSpPr/>
      </dsp:nvSpPr>
      <dsp:spPr>
        <a:xfrm>
          <a:off x="2239029" y="1488365"/>
          <a:ext cx="1442992" cy="91630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Lack of possibility to recover only a portion of invested capital.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65867" y="1515203"/>
        <a:ext cx="1389316" cy="862624"/>
      </dsp:txXfrm>
    </dsp:sp>
    <dsp:sp modelId="{C861A198-C1B7-4731-9AD8-905F2644849E}">
      <dsp:nvSpPr>
        <dsp:cNvPr id="0" name=""/>
        <dsp:cNvSpPr/>
      </dsp:nvSpPr>
      <dsp:spPr>
        <a:xfrm>
          <a:off x="3842355" y="1336049"/>
          <a:ext cx="1442992" cy="916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BD8F24-63DA-4F86-B9CC-1171F995C834}">
      <dsp:nvSpPr>
        <dsp:cNvPr id="0" name=""/>
        <dsp:cNvSpPr/>
      </dsp:nvSpPr>
      <dsp:spPr>
        <a:xfrm>
          <a:off x="4002687" y="1488365"/>
          <a:ext cx="1442992" cy="91630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In the case of declines in the real estate market, the owner sells the entire property at a lower price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29525" y="1515203"/>
        <a:ext cx="1389316" cy="8626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B097D0-1A41-4AAE-8E6F-AFDAA2F27D09}">
      <dsp:nvSpPr>
        <dsp:cNvPr id="0" name=""/>
        <dsp:cNvSpPr/>
      </dsp:nvSpPr>
      <dsp:spPr>
        <a:xfrm>
          <a:off x="2328452" y="750157"/>
          <a:ext cx="1068725" cy="74654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Types of risks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484963" y="859486"/>
        <a:ext cx="755703" cy="527888"/>
      </dsp:txXfrm>
    </dsp:sp>
    <dsp:sp modelId="{B5069D95-749D-4851-9C31-4D898DE377BF}">
      <dsp:nvSpPr>
        <dsp:cNvPr id="0" name=""/>
        <dsp:cNvSpPr/>
      </dsp:nvSpPr>
      <dsp:spPr>
        <a:xfrm>
          <a:off x="1778485" y="6349"/>
          <a:ext cx="2063038" cy="78356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Systematic risk (inflation, market)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080610" y="121100"/>
        <a:ext cx="1458788" cy="554066"/>
      </dsp:txXfrm>
    </dsp:sp>
    <dsp:sp modelId="{19CC1792-3CB0-4C6F-B1D3-6D6227611372}">
      <dsp:nvSpPr>
        <dsp:cNvPr id="0" name=""/>
        <dsp:cNvSpPr/>
      </dsp:nvSpPr>
      <dsp:spPr>
        <a:xfrm>
          <a:off x="3052561" y="1044515"/>
          <a:ext cx="2092818" cy="860492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Specific risk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59047" y="1170531"/>
        <a:ext cx="1479846" cy="608460"/>
      </dsp:txXfrm>
    </dsp:sp>
    <dsp:sp modelId="{F331A0FB-5A2F-43BC-AE83-7A2EC0AB09D0}">
      <dsp:nvSpPr>
        <dsp:cNvPr id="0" name=""/>
        <dsp:cNvSpPr/>
      </dsp:nvSpPr>
      <dsp:spPr>
        <a:xfrm>
          <a:off x="482100" y="902190"/>
          <a:ext cx="2084714" cy="923383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Financial risk (bankruptcy, liquidity)</a:t>
          </a:r>
          <a:endParaRPr lang="pl-PL" sz="1000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787399" y="1037416"/>
        <a:ext cx="1474116" cy="6529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06DCFC-2370-4177-A362-F7C10DC2F843}">
      <dsp:nvSpPr>
        <dsp:cNvPr id="0" name=""/>
        <dsp:cNvSpPr/>
      </dsp:nvSpPr>
      <dsp:spPr>
        <a:xfrm>
          <a:off x="0" y="729124"/>
          <a:ext cx="5486400" cy="201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D0B139-EBDD-4D4B-954C-CD363624CEDD}">
      <dsp:nvSpPr>
        <dsp:cNvPr id="0" name=""/>
        <dsp:cNvSpPr/>
      </dsp:nvSpPr>
      <dsp:spPr>
        <a:xfrm>
          <a:off x="230614" y="0"/>
          <a:ext cx="5215248" cy="806264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Economic aspects</a:t>
          </a: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:rising inflation, rising inflation,increasing financing costs,"Safe Credit" offering.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69973" y="39359"/>
        <a:ext cx="5136530" cy="727546"/>
      </dsp:txXfrm>
    </dsp:sp>
    <dsp:sp modelId="{59BB8CBC-4AB8-4ADC-867D-49EF4DA10C7F}">
      <dsp:nvSpPr>
        <dsp:cNvPr id="0" name=""/>
        <dsp:cNvSpPr/>
      </dsp:nvSpPr>
      <dsp:spPr>
        <a:xfrm>
          <a:off x="0" y="1570367"/>
          <a:ext cx="5486400" cy="201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E07094-91CB-457A-B5EB-D48C9B1CB898}">
      <dsp:nvSpPr>
        <dsp:cNvPr id="0" name=""/>
        <dsp:cNvSpPr/>
      </dsp:nvSpPr>
      <dsp:spPr>
        <a:xfrm>
          <a:off x="255469" y="963039"/>
          <a:ext cx="5230930" cy="714523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Social aspects</a:t>
          </a: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:COVID-19 pandemic,increasing number of refugees in Poland.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0349" y="997919"/>
        <a:ext cx="5161170" cy="644763"/>
      </dsp:txXfrm>
    </dsp:sp>
    <dsp:sp modelId="{4460BDF4-1D66-4D3E-BF84-DBC559902F4C}">
      <dsp:nvSpPr>
        <dsp:cNvPr id="0" name=""/>
        <dsp:cNvSpPr/>
      </dsp:nvSpPr>
      <dsp:spPr>
        <a:xfrm>
          <a:off x="0" y="2627659"/>
          <a:ext cx="5486400" cy="201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CC94D8-BD22-4C10-A38A-A19FDECBC39A}">
      <dsp:nvSpPr>
        <dsp:cNvPr id="0" name=""/>
        <dsp:cNvSpPr/>
      </dsp:nvSpPr>
      <dsp:spPr>
        <a:xfrm>
          <a:off x="262538" y="1821518"/>
          <a:ext cx="5223861" cy="930571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just" defTabSz="4445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pl-PL" sz="10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Legal aspects</a:t>
          </a: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: tax on shopping centers (buildings worth 10 million PLN), introduction of a ban on tax depreciation of apartments, changes in construction law (expanding the list of exempted buildings from the requirement of a construction permit), establishment of the Developer Guarantee Fund.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07965" y="1866945"/>
        <a:ext cx="5133007" cy="83971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369586-85CE-42B2-A511-4B336565E173}">
      <dsp:nvSpPr>
        <dsp:cNvPr id="0" name=""/>
        <dsp:cNvSpPr/>
      </dsp:nvSpPr>
      <dsp:spPr>
        <a:xfrm>
          <a:off x="0" y="281519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EF4181-4270-4335-925B-B2CE69D0231D}">
      <dsp:nvSpPr>
        <dsp:cNvPr id="0" name=""/>
        <dsp:cNvSpPr/>
      </dsp:nvSpPr>
      <dsp:spPr>
        <a:xfrm>
          <a:off x="255271" y="15839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Financial risk associated with rising financing costs - decrease in the expected rate of return on investment</a:t>
          </a: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</a:t>
          </a:r>
        </a:p>
      </dsp:txBody>
      <dsp:txXfrm>
        <a:off x="281210" y="41778"/>
        <a:ext cx="3788602" cy="479482"/>
      </dsp:txXfrm>
    </dsp:sp>
    <dsp:sp modelId="{6E346D6E-44A0-4436-BDE2-616E8729B337}">
      <dsp:nvSpPr>
        <dsp:cNvPr id="0" name=""/>
        <dsp:cNvSpPr/>
      </dsp:nvSpPr>
      <dsp:spPr>
        <a:xfrm>
          <a:off x="0" y="1098000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AA62BE-71EF-46A2-92E0-69D8E9A6BCEF}">
      <dsp:nvSpPr>
        <dsp:cNvPr id="0" name=""/>
        <dsp:cNvSpPr/>
      </dsp:nvSpPr>
      <dsp:spPr>
        <a:xfrm>
          <a:off x="274320" y="832320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Increasing maintenance costs of properties - rising prices of construction materials, energy carrier</a:t>
          </a:r>
          <a:r>
            <a:rPr lang="pl-PL" sz="10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</a:t>
          </a: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</a:t>
          </a:r>
        </a:p>
      </dsp:txBody>
      <dsp:txXfrm>
        <a:off x="300259" y="858259"/>
        <a:ext cx="3788602" cy="479482"/>
      </dsp:txXfrm>
    </dsp:sp>
    <dsp:sp modelId="{C7C523BF-03CE-4E4E-A557-691F38DBFA45}">
      <dsp:nvSpPr>
        <dsp:cNvPr id="0" name=""/>
        <dsp:cNvSpPr/>
      </dsp:nvSpPr>
      <dsp:spPr>
        <a:xfrm>
          <a:off x="0" y="1914480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124556-F95B-407E-8893-A7C949923332}">
      <dsp:nvSpPr>
        <dsp:cNvPr id="0" name=""/>
        <dsp:cNvSpPr/>
      </dsp:nvSpPr>
      <dsp:spPr>
        <a:xfrm>
          <a:off x="274320" y="1648800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Risk of asset illiquidity in the event of, for example, an outbreak of international conflic</a:t>
          </a:r>
          <a:r>
            <a:rPr lang="pl-PL" sz="1000" b="0" i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</a:t>
          </a:r>
          <a:r>
            <a:rPr lang="pl-PL" sz="10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;</a:t>
          </a:r>
        </a:p>
      </dsp:txBody>
      <dsp:txXfrm>
        <a:off x="300259" y="1674739"/>
        <a:ext cx="3788602" cy="479482"/>
      </dsp:txXfrm>
    </dsp:sp>
    <dsp:sp modelId="{3D57B005-09A6-46E9-AB3D-2644E5F8BD1D}">
      <dsp:nvSpPr>
        <dsp:cNvPr id="0" name=""/>
        <dsp:cNvSpPr/>
      </dsp:nvSpPr>
      <dsp:spPr>
        <a:xfrm>
          <a:off x="0" y="2730960"/>
          <a:ext cx="5486400" cy="4536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4F2294-812A-412A-B4D2-AF92992F91B1}">
      <dsp:nvSpPr>
        <dsp:cNvPr id="0" name=""/>
        <dsp:cNvSpPr/>
      </dsp:nvSpPr>
      <dsp:spPr>
        <a:xfrm>
          <a:off x="274320" y="2465280"/>
          <a:ext cx="3840480" cy="53136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i="0" kern="1200">
              <a:latin typeface="Times New Roman" panose="02020603050405020304" pitchFamily="18" charset="0"/>
              <a:cs typeface="Times New Roman" panose="02020603050405020304" pitchFamily="18" charset="0"/>
            </a:rPr>
            <a:t>Risk of increased demand and supply of real estate due to attractive government programs, such as the "Safe Credit 2%," leading to;</a:t>
          </a:r>
          <a:endParaRPr lang="pl-PL" sz="1000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00259" y="2491219"/>
        <a:ext cx="3788602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3jD+tMWqgfsNkUBW3kn+pCEiwQ==">CgMxLjAyCGguZ2pkZ3hzOAByITF1RDhBemY1YmNfeG85bm9xVFE0cXBWQlFaRWJxcl9oMw==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15</Pages>
  <Words>5025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Rybacka</dc:creator>
  <cp:lastModifiedBy>Justyna</cp:lastModifiedBy>
  <cp:revision>40</cp:revision>
  <cp:lastPrinted>2023-08-30T22:02:00Z</cp:lastPrinted>
  <dcterms:created xsi:type="dcterms:W3CDTF">2023-08-30T06:57:00Z</dcterms:created>
  <dcterms:modified xsi:type="dcterms:W3CDTF">2023-09-16T20:35:00Z</dcterms:modified>
</cp:coreProperties>
</file>