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EF7B7" w14:textId="77777777" w:rsidR="003A13B9" w:rsidRDefault="003A13B9"/>
    <w:p w14:paraId="79B12806" w14:textId="77777777" w:rsidR="003A13B9" w:rsidRDefault="003A13B9" w:rsidP="003A13B9">
      <w:pPr>
        <w:jc w:val="center"/>
        <w:rPr>
          <w:rFonts w:asciiTheme="majorBidi" w:hAnsiTheme="majorBidi" w:cstheme="majorBidi"/>
        </w:rPr>
      </w:pPr>
      <w:bookmarkStart w:id="0" w:name="_GoBack"/>
      <w:bookmarkEnd w:id="0"/>
    </w:p>
    <w:p w14:paraId="1C596B2A" w14:textId="77777777" w:rsidR="003A13B9" w:rsidRPr="003A13B9" w:rsidRDefault="003A13B9" w:rsidP="003A13B9">
      <w:pPr>
        <w:jc w:val="center"/>
        <w:rPr>
          <w:rFonts w:asciiTheme="majorBidi" w:hAnsiTheme="majorBidi" w:cstheme="majorBidi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84A34" w:rsidRPr="00D84A34" w14:paraId="5DD4C885" w14:textId="77777777" w:rsidTr="00D84A34">
        <w:tc>
          <w:tcPr>
            <w:tcW w:w="9212" w:type="dxa"/>
            <w:tcBorders>
              <w:top w:val="nil"/>
              <w:left w:val="nil"/>
              <w:right w:val="nil"/>
            </w:tcBorders>
          </w:tcPr>
          <w:p w14:paraId="2D70DCD6" w14:textId="77777777" w:rsidR="00D84A34" w:rsidRPr="00D84A34" w:rsidRDefault="00D84A34" w:rsidP="00D84A34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i/>
                <w:iCs/>
                <w:sz w:val="28"/>
                <w:szCs w:val="28"/>
              </w:rPr>
            </w:pPr>
            <w:r w:rsidRPr="00D84A34">
              <w:rPr>
                <w:rFonts w:asciiTheme="majorBidi" w:hAnsiTheme="majorBidi" w:cstheme="majorBidi"/>
                <w:b/>
                <w:i/>
                <w:iCs/>
                <w:sz w:val="28"/>
                <w:szCs w:val="28"/>
              </w:rPr>
              <w:t>Makroekonomiczne skutki wprowadzenia waluty euro w wybranych krajach członkowskich Unii Europejskiej</w:t>
            </w:r>
          </w:p>
        </w:tc>
      </w:tr>
    </w:tbl>
    <w:p w14:paraId="471D7ACC" w14:textId="69506400" w:rsidR="00C12B9C" w:rsidRPr="008E72BA" w:rsidRDefault="008E72BA" w:rsidP="008E72BA">
      <w:pPr>
        <w:spacing w:line="240" w:lineRule="auto"/>
        <w:jc w:val="center"/>
        <w:rPr>
          <w:rFonts w:asciiTheme="majorBidi" w:hAnsiTheme="majorBidi" w:cstheme="majorBidi"/>
          <w:b/>
          <w:i/>
          <w:sz w:val="28"/>
          <w:szCs w:val="28"/>
        </w:rPr>
      </w:pPr>
      <w:proofErr w:type="spellStart"/>
      <w:r w:rsidRPr="008E72BA">
        <w:rPr>
          <w:rFonts w:asciiTheme="majorBidi" w:hAnsiTheme="majorBidi" w:cstheme="majorBidi"/>
          <w:b/>
          <w:i/>
          <w:sz w:val="28"/>
          <w:szCs w:val="28"/>
        </w:rPr>
        <w:t>Macroeconomic</w:t>
      </w:r>
      <w:proofErr w:type="spellEnd"/>
      <w:r w:rsidRPr="008E72BA"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proofErr w:type="spellStart"/>
      <w:r w:rsidRPr="008E72BA">
        <w:rPr>
          <w:rFonts w:asciiTheme="majorBidi" w:hAnsiTheme="majorBidi" w:cstheme="majorBidi"/>
          <w:b/>
          <w:i/>
          <w:sz w:val="28"/>
          <w:szCs w:val="28"/>
        </w:rPr>
        <w:t>ef</w:t>
      </w:r>
      <w:r w:rsidR="004F52AB">
        <w:rPr>
          <w:rFonts w:asciiTheme="majorBidi" w:hAnsiTheme="majorBidi" w:cstheme="majorBidi"/>
          <w:b/>
          <w:i/>
          <w:sz w:val="28"/>
          <w:szCs w:val="28"/>
        </w:rPr>
        <w:t>fects</w:t>
      </w:r>
      <w:proofErr w:type="spellEnd"/>
      <w:r w:rsidR="004F52AB">
        <w:rPr>
          <w:rFonts w:asciiTheme="majorBidi" w:hAnsiTheme="majorBidi" w:cstheme="majorBidi"/>
          <w:b/>
          <w:i/>
          <w:sz w:val="28"/>
          <w:szCs w:val="28"/>
        </w:rPr>
        <w:t xml:space="preserve"> of the e</w:t>
      </w:r>
      <w:r>
        <w:rPr>
          <w:rFonts w:asciiTheme="majorBidi" w:hAnsiTheme="majorBidi" w:cstheme="majorBidi"/>
          <w:b/>
          <w:i/>
          <w:sz w:val="28"/>
          <w:szCs w:val="28"/>
        </w:rPr>
        <w:t xml:space="preserve">uro </w:t>
      </w:r>
      <w:proofErr w:type="spellStart"/>
      <w:r>
        <w:rPr>
          <w:rFonts w:asciiTheme="majorBidi" w:hAnsiTheme="majorBidi" w:cstheme="majorBidi"/>
          <w:b/>
          <w:i/>
          <w:sz w:val="28"/>
          <w:szCs w:val="28"/>
        </w:rPr>
        <w:t>introduction</w:t>
      </w:r>
      <w:proofErr w:type="spellEnd"/>
      <w:r>
        <w:rPr>
          <w:rFonts w:asciiTheme="majorBidi" w:hAnsiTheme="majorBidi" w:cstheme="majorBidi"/>
          <w:b/>
          <w:i/>
          <w:sz w:val="28"/>
          <w:szCs w:val="28"/>
        </w:rPr>
        <w:t xml:space="preserve">  in </w:t>
      </w:r>
      <w:proofErr w:type="spellStart"/>
      <w:r>
        <w:rPr>
          <w:rFonts w:asciiTheme="majorBidi" w:hAnsiTheme="majorBidi" w:cstheme="majorBidi"/>
          <w:b/>
          <w:i/>
          <w:sz w:val="28"/>
          <w:szCs w:val="28"/>
        </w:rPr>
        <w:t>selected</w:t>
      </w:r>
      <w:proofErr w:type="spellEnd"/>
      <w:r>
        <w:rPr>
          <w:rFonts w:asciiTheme="majorBidi" w:hAnsiTheme="majorBidi" w:cstheme="majorBidi"/>
          <w:b/>
          <w:i/>
          <w:sz w:val="28"/>
          <w:szCs w:val="28"/>
        </w:rPr>
        <w:t xml:space="preserve"> EU </w:t>
      </w:r>
      <w:proofErr w:type="spellStart"/>
      <w:r>
        <w:rPr>
          <w:rFonts w:asciiTheme="majorBidi" w:hAnsiTheme="majorBidi" w:cstheme="majorBidi"/>
          <w:b/>
          <w:i/>
          <w:sz w:val="28"/>
          <w:szCs w:val="28"/>
        </w:rPr>
        <w:t>member</w:t>
      </w:r>
      <w:proofErr w:type="spellEnd"/>
      <w:r w:rsidR="004F52AB"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proofErr w:type="spellStart"/>
      <w:r w:rsidRPr="008E72BA">
        <w:rPr>
          <w:rFonts w:asciiTheme="majorBidi" w:hAnsiTheme="majorBidi" w:cstheme="majorBidi"/>
          <w:b/>
          <w:i/>
          <w:sz w:val="28"/>
          <w:szCs w:val="28"/>
        </w:rPr>
        <w:t>states</w:t>
      </w:r>
      <w:proofErr w:type="spellEnd"/>
    </w:p>
    <w:p w14:paraId="50FCADD7" w14:textId="77777777" w:rsidR="00C12B9C" w:rsidRPr="00DB6087" w:rsidRDefault="00C12B9C" w:rsidP="00681838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08A5E0C2" w14:textId="77777777" w:rsidR="00D84A34" w:rsidRDefault="00D84A34" w:rsidP="00D84A34">
      <w:pPr>
        <w:spacing w:after="0"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Słowa kluczowe</w:t>
      </w:r>
      <w:r w:rsidRPr="00DB6087">
        <w:rPr>
          <w:rFonts w:asciiTheme="majorBidi" w:hAnsiTheme="majorBidi" w:cstheme="majorBidi"/>
          <w:b/>
          <w:sz w:val="20"/>
          <w:szCs w:val="20"/>
        </w:rPr>
        <w:t>:</w:t>
      </w:r>
      <w:r w:rsidRPr="00DB6087">
        <w:rPr>
          <w:rFonts w:asciiTheme="majorBidi" w:hAnsiTheme="majorBidi" w:cstheme="majorBidi"/>
          <w:sz w:val="20"/>
          <w:szCs w:val="20"/>
        </w:rPr>
        <w:t xml:space="preserve"> euro, wskaźniki makroekonomiczne, konwergencja ekonomiczna</w:t>
      </w:r>
    </w:p>
    <w:p w14:paraId="5EAC292C" w14:textId="35A8A517" w:rsidR="001A6E9B" w:rsidRPr="00A75FC5" w:rsidRDefault="00D84A34" w:rsidP="000955AD">
      <w:pPr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  <w:proofErr w:type="spellStart"/>
      <w:r w:rsidRPr="00D84A34">
        <w:rPr>
          <w:rFonts w:asciiTheme="majorBidi" w:hAnsiTheme="majorBidi" w:cstheme="majorBidi"/>
          <w:b/>
          <w:bCs/>
          <w:sz w:val="20"/>
          <w:szCs w:val="20"/>
        </w:rPr>
        <w:t>Keywords</w:t>
      </w:r>
      <w:proofErr w:type="spellEnd"/>
      <w:r w:rsidRPr="00D84A34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A75FC5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A75FC5" w:rsidRPr="00A75FC5">
        <w:rPr>
          <w:rFonts w:asciiTheme="majorBidi" w:hAnsiTheme="majorBidi" w:cstheme="majorBidi"/>
          <w:bCs/>
          <w:sz w:val="20"/>
          <w:szCs w:val="20"/>
        </w:rPr>
        <w:t xml:space="preserve">euro, </w:t>
      </w:r>
      <w:proofErr w:type="spellStart"/>
      <w:r w:rsidR="00A75FC5" w:rsidRPr="00A75FC5">
        <w:rPr>
          <w:rFonts w:asciiTheme="majorBidi" w:hAnsiTheme="majorBidi" w:cstheme="majorBidi"/>
          <w:bCs/>
          <w:sz w:val="20"/>
          <w:szCs w:val="20"/>
        </w:rPr>
        <w:t>macroeconomic</w:t>
      </w:r>
      <w:proofErr w:type="spellEnd"/>
      <w:r w:rsidR="00A75FC5" w:rsidRPr="00A75FC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="00A75FC5" w:rsidRPr="00A75FC5">
        <w:rPr>
          <w:rFonts w:asciiTheme="majorBidi" w:hAnsiTheme="majorBidi" w:cstheme="majorBidi"/>
          <w:bCs/>
          <w:sz w:val="20"/>
          <w:szCs w:val="20"/>
        </w:rPr>
        <w:t>indicators</w:t>
      </w:r>
      <w:proofErr w:type="spellEnd"/>
      <w:r w:rsidR="00A75FC5" w:rsidRPr="00A75FC5">
        <w:rPr>
          <w:rFonts w:asciiTheme="majorBidi" w:hAnsiTheme="majorBidi" w:cstheme="majorBidi"/>
          <w:bCs/>
          <w:sz w:val="20"/>
          <w:szCs w:val="20"/>
        </w:rPr>
        <w:t xml:space="preserve">, </w:t>
      </w:r>
      <w:proofErr w:type="spellStart"/>
      <w:r w:rsidR="00A75FC5" w:rsidRPr="00A75FC5">
        <w:rPr>
          <w:rFonts w:asciiTheme="majorBidi" w:hAnsiTheme="majorBidi" w:cstheme="majorBidi"/>
          <w:bCs/>
          <w:sz w:val="20"/>
          <w:szCs w:val="20"/>
        </w:rPr>
        <w:t>economic</w:t>
      </w:r>
      <w:proofErr w:type="spellEnd"/>
      <w:r w:rsidR="00A75FC5" w:rsidRPr="00A75FC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="00A75FC5" w:rsidRPr="00A75FC5">
        <w:rPr>
          <w:rFonts w:asciiTheme="majorBidi" w:hAnsiTheme="majorBidi" w:cstheme="majorBidi"/>
          <w:bCs/>
          <w:sz w:val="20"/>
          <w:szCs w:val="20"/>
        </w:rPr>
        <w:t>convergence</w:t>
      </w:r>
      <w:proofErr w:type="spellEnd"/>
    </w:p>
    <w:p w14:paraId="0DB46DC1" w14:textId="77777777" w:rsidR="000955AD" w:rsidRPr="00D84A34" w:rsidRDefault="000955AD" w:rsidP="000955AD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5DE346C0" w14:textId="77777777" w:rsidR="00241D80" w:rsidRDefault="001A6E9B" w:rsidP="00241D80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DB6087">
        <w:rPr>
          <w:rFonts w:asciiTheme="majorBidi" w:hAnsiTheme="majorBidi" w:cstheme="majorBidi"/>
          <w:b/>
          <w:sz w:val="24"/>
          <w:szCs w:val="24"/>
        </w:rPr>
        <w:t>Wstęp</w:t>
      </w:r>
    </w:p>
    <w:p w14:paraId="731E1215" w14:textId="77777777" w:rsidR="001A6E9B" w:rsidRPr="00DB6087" w:rsidRDefault="001A6E9B" w:rsidP="00241D80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DB6087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14:paraId="63A8A3C4" w14:textId="77777777" w:rsidR="00D84A34" w:rsidRDefault="001A6E9B" w:rsidP="00D84A34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>W każdym kraju pretendującym do strefy euro</w:t>
      </w:r>
      <w:r w:rsidR="008E50F4" w:rsidRPr="00DB6087">
        <w:rPr>
          <w:rFonts w:asciiTheme="majorBidi" w:hAnsiTheme="majorBidi" w:cstheme="majorBidi"/>
          <w:sz w:val="24"/>
          <w:szCs w:val="24"/>
        </w:rPr>
        <w:t>,</w:t>
      </w:r>
      <w:r w:rsidRPr="00DB6087">
        <w:rPr>
          <w:rFonts w:asciiTheme="majorBidi" w:hAnsiTheme="majorBidi" w:cstheme="majorBidi"/>
          <w:sz w:val="24"/>
          <w:szCs w:val="24"/>
        </w:rPr>
        <w:t xml:space="preserve"> w tym także i w Polsce</w:t>
      </w:r>
      <w:r w:rsidR="008E50F4" w:rsidRPr="00DB6087">
        <w:rPr>
          <w:rFonts w:asciiTheme="majorBidi" w:hAnsiTheme="majorBidi" w:cstheme="majorBidi"/>
          <w:sz w:val="24"/>
          <w:szCs w:val="24"/>
        </w:rPr>
        <w:t>,</w:t>
      </w:r>
      <w:r w:rsidRPr="00DB6087">
        <w:rPr>
          <w:rFonts w:asciiTheme="majorBidi" w:hAnsiTheme="majorBidi" w:cstheme="majorBidi"/>
          <w:sz w:val="24"/>
          <w:szCs w:val="24"/>
        </w:rPr>
        <w:t xml:space="preserve"> podejmowana jest społeczna i naukowa dyskusja nad zasadnością przyjęcia wspólnej </w:t>
      </w:r>
      <w:r w:rsidR="004A4E3D">
        <w:rPr>
          <w:rFonts w:asciiTheme="majorBidi" w:hAnsiTheme="majorBidi" w:cstheme="majorBidi"/>
          <w:sz w:val="24"/>
          <w:szCs w:val="24"/>
        </w:rPr>
        <w:t>waluty euro. W </w:t>
      </w:r>
      <w:r w:rsidRPr="00DB6087">
        <w:rPr>
          <w:rFonts w:asciiTheme="majorBidi" w:hAnsiTheme="majorBidi" w:cstheme="majorBidi"/>
          <w:sz w:val="24"/>
          <w:szCs w:val="24"/>
        </w:rPr>
        <w:t>debatach tych</w:t>
      </w:r>
      <w:r w:rsidR="008E50F4" w:rsidRPr="00DB6087">
        <w:rPr>
          <w:rFonts w:asciiTheme="majorBidi" w:hAnsiTheme="majorBidi" w:cstheme="majorBidi"/>
          <w:sz w:val="24"/>
          <w:szCs w:val="24"/>
        </w:rPr>
        <w:t>,</w:t>
      </w:r>
      <w:r w:rsidRPr="00DB6087">
        <w:rPr>
          <w:rFonts w:asciiTheme="majorBidi" w:hAnsiTheme="majorBidi" w:cstheme="majorBidi"/>
          <w:sz w:val="24"/>
          <w:szCs w:val="24"/>
        </w:rPr>
        <w:t xml:space="preserve"> często w</w:t>
      </w:r>
      <w:r w:rsidR="00475CFD" w:rsidRPr="00DB6087">
        <w:rPr>
          <w:rFonts w:asciiTheme="majorBidi" w:hAnsiTheme="majorBidi" w:cstheme="majorBidi"/>
          <w:sz w:val="24"/>
          <w:szCs w:val="24"/>
        </w:rPr>
        <w:t xml:space="preserve"> sposób</w:t>
      </w:r>
      <w:r w:rsidRPr="00DB6087">
        <w:rPr>
          <w:rFonts w:asciiTheme="majorBidi" w:hAnsiTheme="majorBidi" w:cstheme="majorBidi"/>
          <w:sz w:val="24"/>
          <w:szCs w:val="24"/>
        </w:rPr>
        <w:t xml:space="preserve"> emocjonalny</w:t>
      </w:r>
      <w:r w:rsidR="00475CFD" w:rsidRPr="00DB6087">
        <w:rPr>
          <w:rFonts w:asciiTheme="majorBidi" w:hAnsiTheme="majorBidi" w:cstheme="majorBidi"/>
          <w:sz w:val="24"/>
          <w:szCs w:val="24"/>
        </w:rPr>
        <w:t>,</w:t>
      </w:r>
      <w:r w:rsidRPr="00DB6087">
        <w:rPr>
          <w:rFonts w:asciiTheme="majorBidi" w:hAnsiTheme="majorBidi" w:cstheme="majorBidi"/>
          <w:sz w:val="24"/>
          <w:szCs w:val="24"/>
        </w:rPr>
        <w:t xml:space="preserve"> przytaczanych jest wiele argumentów</w:t>
      </w:r>
      <w:r w:rsidR="004A4E3D">
        <w:rPr>
          <w:rFonts w:asciiTheme="majorBidi" w:hAnsiTheme="majorBidi" w:cstheme="majorBidi"/>
          <w:sz w:val="24"/>
          <w:szCs w:val="24"/>
        </w:rPr>
        <w:t xml:space="preserve"> za i </w:t>
      </w:r>
      <w:r w:rsidR="00475CFD" w:rsidRPr="00DB6087">
        <w:rPr>
          <w:rFonts w:asciiTheme="majorBidi" w:hAnsiTheme="majorBidi" w:cstheme="majorBidi"/>
          <w:sz w:val="24"/>
          <w:szCs w:val="24"/>
        </w:rPr>
        <w:t>przeciw</w:t>
      </w:r>
      <w:r w:rsidR="008E50F4" w:rsidRPr="00DB6087">
        <w:rPr>
          <w:rFonts w:asciiTheme="majorBidi" w:hAnsiTheme="majorBidi" w:cstheme="majorBidi"/>
          <w:sz w:val="24"/>
          <w:szCs w:val="24"/>
        </w:rPr>
        <w:t>,</w:t>
      </w:r>
      <w:r w:rsidR="00475CFD"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Pr="00DB6087">
        <w:rPr>
          <w:rFonts w:asciiTheme="majorBidi" w:hAnsiTheme="majorBidi" w:cstheme="majorBidi"/>
          <w:sz w:val="24"/>
          <w:szCs w:val="24"/>
        </w:rPr>
        <w:t>takich jak</w:t>
      </w:r>
      <w:r w:rsidR="008E50F4" w:rsidRPr="00DB6087">
        <w:rPr>
          <w:rFonts w:asciiTheme="majorBidi" w:hAnsiTheme="majorBidi" w:cstheme="majorBidi"/>
          <w:sz w:val="24"/>
          <w:szCs w:val="24"/>
        </w:rPr>
        <w:t>:</w:t>
      </w:r>
      <w:r w:rsidRPr="00DB6087">
        <w:rPr>
          <w:rFonts w:asciiTheme="majorBidi" w:hAnsiTheme="majorBidi" w:cstheme="majorBidi"/>
          <w:sz w:val="24"/>
          <w:szCs w:val="24"/>
        </w:rPr>
        <w:t xml:space="preserve"> suwerenność narodowa, siła przyzwyczajenia, </w:t>
      </w:r>
      <w:r w:rsidR="00475CFD" w:rsidRPr="00DB6087">
        <w:rPr>
          <w:rFonts w:asciiTheme="majorBidi" w:hAnsiTheme="majorBidi" w:cstheme="majorBidi"/>
          <w:sz w:val="24"/>
          <w:szCs w:val="24"/>
        </w:rPr>
        <w:t>skutki</w:t>
      </w:r>
      <w:r w:rsidRPr="00DB6087">
        <w:rPr>
          <w:rFonts w:asciiTheme="majorBidi" w:hAnsiTheme="majorBidi" w:cstheme="majorBidi"/>
          <w:sz w:val="24"/>
          <w:szCs w:val="24"/>
        </w:rPr>
        <w:t xml:space="preserve"> wprowadzenia </w:t>
      </w:r>
      <w:r w:rsidR="00475CFD" w:rsidRPr="00DB6087">
        <w:rPr>
          <w:rFonts w:asciiTheme="majorBidi" w:hAnsiTheme="majorBidi" w:cstheme="majorBidi"/>
          <w:sz w:val="24"/>
          <w:szCs w:val="24"/>
        </w:rPr>
        <w:t>dla gospodarki narodowej, wzrost presji inflacyjnej, odpływ kapitałów itp.</w:t>
      </w:r>
      <w:r w:rsidR="004A4E3D">
        <w:rPr>
          <w:rFonts w:asciiTheme="majorBidi" w:hAnsiTheme="majorBidi" w:cstheme="majorBidi"/>
          <w:sz w:val="24"/>
          <w:szCs w:val="24"/>
        </w:rPr>
        <w:t xml:space="preserve"> Współcześnie, w </w:t>
      </w:r>
      <w:r w:rsidRPr="00DB6087">
        <w:rPr>
          <w:rFonts w:asciiTheme="majorBidi" w:hAnsiTheme="majorBidi" w:cstheme="majorBidi"/>
          <w:sz w:val="24"/>
          <w:szCs w:val="24"/>
        </w:rPr>
        <w:t>okresie procesów globalizac</w:t>
      </w:r>
      <w:r w:rsidR="00475CFD" w:rsidRPr="00DB6087">
        <w:rPr>
          <w:rFonts w:asciiTheme="majorBidi" w:hAnsiTheme="majorBidi" w:cstheme="majorBidi"/>
          <w:sz w:val="24"/>
          <w:szCs w:val="24"/>
        </w:rPr>
        <w:t>yjnych</w:t>
      </w:r>
      <w:r w:rsidRPr="00DB6087">
        <w:rPr>
          <w:rFonts w:asciiTheme="majorBidi" w:hAnsiTheme="majorBidi" w:cstheme="majorBidi"/>
          <w:sz w:val="24"/>
          <w:szCs w:val="24"/>
        </w:rPr>
        <w:t xml:space="preserve"> i </w:t>
      </w:r>
      <w:r w:rsidR="00475CFD" w:rsidRPr="00DB6087">
        <w:rPr>
          <w:rFonts w:asciiTheme="majorBidi" w:hAnsiTheme="majorBidi" w:cstheme="majorBidi"/>
          <w:sz w:val="24"/>
          <w:szCs w:val="24"/>
        </w:rPr>
        <w:t>przemian</w:t>
      </w:r>
      <w:r w:rsidRPr="00DB6087">
        <w:rPr>
          <w:rFonts w:asciiTheme="majorBidi" w:hAnsiTheme="majorBidi" w:cstheme="majorBidi"/>
          <w:sz w:val="24"/>
          <w:szCs w:val="24"/>
        </w:rPr>
        <w:t xml:space="preserve"> gospodarczych wywołanych postę</w:t>
      </w:r>
      <w:r w:rsidR="00475CFD" w:rsidRPr="00DB6087">
        <w:rPr>
          <w:rFonts w:asciiTheme="majorBidi" w:hAnsiTheme="majorBidi" w:cstheme="majorBidi"/>
          <w:sz w:val="24"/>
          <w:szCs w:val="24"/>
        </w:rPr>
        <w:t>pem oraz kryzysami finansowymi, przeciwnicy</w:t>
      </w:r>
      <w:r w:rsidRPr="00DB6087">
        <w:rPr>
          <w:rFonts w:asciiTheme="majorBidi" w:hAnsiTheme="majorBidi" w:cstheme="majorBidi"/>
          <w:sz w:val="24"/>
          <w:szCs w:val="24"/>
        </w:rPr>
        <w:t xml:space="preserve"> i zwolennicy wspólnej waluty w Polsce znajd</w:t>
      </w:r>
      <w:r w:rsidR="00475CFD" w:rsidRPr="00DB6087">
        <w:rPr>
          <w:rFonts w:asciiTheme="majorBidi" w:hAnsiTheme="majorBidi" w:cstheme="majorBidi"/>
          <w:sz w:val="24"/>
          <w:szCs w:val="24"/>
        </w:rPr>
        <w:t>ują</w:t>
      </w:r>
      <w:r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475CFD" w:rsidRPr="00DB6087">
        <w:rPr>
          <w:rFonts w:asciiTheme="majorBidi" w:hAnsiTheme="majorBidi" w:cstheme="majorBidi"/>
          <w:sz w:val="24"/>
          <w:szCs w:val="24"/>
        </w:rPr>
        <w:t>własne uzasadnienia, najczęściej w niewielkim stopniu podparte wiedzą merytoryczną.</w:t>
      </w:r>
      <w:r w:rsidRPr="00DB6087">
        <w:rPr>
          <w:rFonts w:asciiTheme="majorBidi" w:hAnsiTheme="majorBidi" w:cstheme="majorBidi"/>
          <w:sz w:val="24"/>
          <w:szCs w:val="24"/>
        </w:rPr>
        <w:t xml:space="preserve"> W</w:t>
      </w:r>
      <w:r w:rsidR="00475CFD" w:rsidRPr="00DB6087">
        <w:rPr>
          <w:rFonts w:asciiTheme="majorBidi" w:hAnsiTheme="majorBidi" w:cstheme="majorBidi"/>
          <w:sz w:val="24"/>
          <w:szCs w:val="24"/>
        </w:rPr>
        <w:t xml:space="preserve"> artykule przedstawiono analizę</w:t>
      </w:r>
      <w:r w:rsidRPr="00DB6087">
        <w:rPr>
          <w:rFonts w:asciiTheme="majorBidi" w:hAnsiTheme="majorBidi" w:cstheme="majorBidi"/>
          <w:sz w:val="24"/>
          <w:szCs w:val="24"/>
        </w:rPr>
        <w:t xml:space="preserve"> podstawowych wskaźników makroekonomicznych </w:t>
      </w:r>
      <w:r w:rsidR="00475CFD" w:rsidRPr="00DB6087">
        <w:rPr>
          <w:rFonts w:asciiTheme="majorBidi" w:hAnsiTheme="majorBidi" w:cstheme="majorBidi"/>
          <w:sz w:val="24"/>
          <w:szCs w:val="24"/>
        </w:rPr>
        <w:t>charakteryzujących gospodarki</w:t>
      </w:r>
      <w:r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475CFD" w:rsidRPr="00DB6087">
        <w:rPr>
          <w:rFonts w:asciiTheme="majorBidi" w:hAnsiTheme="majorBidi" w:cstheme="majorBidi"/>
          <w:sz w:val="24"/>
          <w:szCs w:val="24"/>
        </w:rPr>
        <w:t>krajów, które w okresie od 2004</w:t>
      </w:r>
      <w:r w:rsidRPr="00DB6087">
        <w:rPr>
          <w:rFonts w:asciiTheme="majorBidi" w:hAnsiTheme="majorBidi" w:cstheme="majorBidi"/>
          <w:sz w:val="24"/>
          <w:szCs w:val="24"/>
        </w:rPr>
        <w:t xml:space="preserve"> do 201</w:t>
      </w:r>
      <w:r w:rsidR="00475CFD" w:rsidRPr="00DB6087">
        <w:rPr>
          <w:rFonts w:asciiTheme="majorBidi" w:hAnsiTheme="majorBidi" w:cstheme="majorBidi"/>
          <w:sz w:val="24"/>
          <w:szCs w:val="24"/>
        </w:rPr>
        <w:t>5</w:t>
      </w:r>
      <w:r w:rsidRPr="00DB6087">
        <w:rPr>
          <w:rFonts w:asciiTheme="majorBidi" w:hAnsiTheme="majorBidi" w:cstheme="majorBidi"/>
          <w:sz w:val="24"/>
          <w:szCs w:val="24"/>
        </w:rPr>
        <w:t xml:space="preserve"> roku przyjęły walutę euro. </w:t>
      </w:r>
    </w:p>
    <w:p w14:paraId="579F8505" w14:textId="77777777" w:rsidR="00645C42" w:rsidRDefault="001A6E9B" w:rsidP="00241D80">
      <w:pPr>
        <w:spacing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 xml:space="preserve">Celem </w:t>
      </w:r>
      <w:r w:rsidR="00475CFD" w:rsidRPr="00DB6087">
        <w:rPr>
          <w:rFonts w:asciiTheme="majorBidi" w:hAnsiTheme="majorBidi" w:cstheme="majorBidi"/>
          <w:sz w:val="24"/>
          <w:szCs w:val="24"/>
        </w:rPr>
        <w:t>badania</w:t>
      </w:r>
      <w:r w:rsidRPr="00DB6087">
        <w:rPr>
          <w:rFonts w:asciiTheme="majorBidi" w:hAnsiTheme="majorBidi" w:cstheme="majorBidi"/>
          <w:sz w:val="24"/>
          <w:szCs w:val="24"/>
        </w:rPr>
        <w:t xml:space="preserve"> jest zweryfikowanie tezy o </w:t>
      </w:r>
      <w:r w:rsidR="00475CFD" w:rsidRPr="00DB6087">
        <w:rPr>
          <w:rFonts w:asciiTheme="majorBidi" w:hAnsiTheme="majorBidi" w:cstheme="majorBidi"/>
          <w:sz w:val="24"/>
          <w:szCs w:val="24"/>
        </w:rPr>
        <w:t xml:space="preserve">istnieniu </w:t>
      </w:r>
      <w:r w:rsidRPr="00DB6087">
        <w:rPr>
          <w:rFonts w:asciiTheme="majorBidi" w:hAnsiTheme="majorBidi" w:cstheme="majorBidi"/>
          <w:sz w:val="24"/>
          <w:szCs w:val="24"/>
        </w:rPr>
        <w:t>wymiernych korzyści</w:t>
      </w:r>
      <w:r w:rsidR="004A4E3D">
        <w:rPr>
          <w:rFonts w:asciiTheme="majorBidi" w:hAnsiTheme="majorBidi" w:cstheme="majorBidi"/>
          <w:sz w:val="24"/>
          <w:szCs w:val="24"/>
        </w:rPr>
        <w:t xml:space="preserve"> o </w:t>
      </w:r>
      <w:r w:rsidR="00475CFD" w:rsidRPr="00DB6087">
        <w:rPr>
          <w:rFonts w:asciiTheme="majorBidi" w:hAnsiTheme="majorBidi" w:cstheme="majorBidi"/>
          <w:sz w:val="24"/>
          <w:szCs w:val="24"/>
        </w:rPr>
        <w:t>charakterze makroekonomicznym, które badane kraje dzięki wprowadzeniu euro</w:t>
      </w:r>
      <w:r w:rsidR="00645C42" w:rsidRPr="00DB6087">
        <w:rPr>
          <w:rFonts w:asciiTheme="majorBidi" w:hAnsiTheme="majorBidi" w:cstheme="majorBidi"/>
          <w:sz w:val="24"/>
          <w:szCs w:val="24"/>
        </w:rPr>
        <w:t>, odniosły. W tym kontekście można dodatkowo sformułować pytanie o możliwości zaistnienia potencjalnych korzyści ekonomicznych dla polskiej gospodarki i społeczeństwa, w wyniku akcesji do strefy euro.</w:t>
      </w:r>
    </w:p>
    <w:p w14:paraId="1DBF0376" w14:textId="77777777" w:rsidR="00D84A34" w:rsidRPr="00DB6087" w:rsidRDefault="00D84A34" w:rsidP="00241D80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43F475E5" w14:textId="77777777" w:rsidR="001A6E9B" w:rsidRDefault="001A6E9B" w:rsidP="00241D80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Theme="majorBidi" w:hAnsiTheme="majorBidi" w:cstheme="majorBidi"/>
          <w:b/>
          <w:sz w:val="24"/>
          <w:szCs w:val="24"/>
        </w:rPr>
      </w:pPr>
      <w:r w:rsidRPr="00DB6087">
        <w:rPr>
          <w:rFonts w:asciiTheme="majorBidi" w:hAnsiTheme="majorBidi" w:cstheme="majorBidi"/>
          <w:b/>
          <w:sz w:val="24"/>
          <w:szCs w:val="24"/>
        </w:rPr>
        <w:t>Wprowadzenie waluty Euro</w:t>
      </w:r>
    </w:p>
    <w:p w14:paraId="145BBC98" w14:textId="77777777" w:rsidR="00241D80" w:rsidRPr="00DB6087" w:rsidRDefault="00241D80" w:rsidP="00241D80">
      <w:pPr>
        <w:pStyle w:val="Akapitzlist"/>
        <w:spacing w:after="0" w:line="24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1E5EC400" w14:textId="77777777" w:rsidR="001A6E9B" w:rsidRPr="00DB6087" w:rsidRDefault="001A6E9B" w:rsidP="00241D80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 xml:space="preserve">W Traktacie z </w:t>
      </w:r>
      <w:proofErr w:type="spellStart"/>
      <w:r w:rsidRPr="00DB6087">
        <w:rPr>
          <w:rFonts w:asciiTheme="majorBidi" w:hAnsiTheme="majorBidi" w:cstheme="majorBidi"/>
          <w:sz w:val="24"/>
          <w:szCs w:val="24"/>
        </w:rPr>
        <w:t>Maastricht</w:t>
      </w:r>
      <w:proofErr w:type="spellEnd"/>
      <w:r w:rsidRPr="00DB6087">
        <w:rPr>
          <w:rFonts w:asciiTheme="majorBidi" w:hAnsiTheme="majorBidi" w:cstheme="majorBidi"/>
          <w:sz w:val="24"/>
          <w:szCs w:val="24"/>
        </w:rPr>
        <w:t xml:space="preserve"> z 1992 r.</w:t>
      </w:r>
      <w:r w:rsidR="008E50F4" w:rsidRPr="00DB6087">
        <w:rPr>
          <w:rFonts w:asciiTheme="majorBidi" w:hAnsiTheme="majorBidi" w:cstheme="majorBidi"/>
          <w:sz w:val="24"/>
          <w:szCs w:val="24"/>
        </w:rPr>
        <w:t>,</w:t>
      </w:r>
      <w:r w:rsidRPr="00DB6087">
        <w:rPr>
          <w:rFonts w:asciiTheme="majorBidi" w:hAnsiTheme="majorBidi" w:cstheme="majorBidi"/>
          <w:sz w:val="24"/>
          <w:szCs w:val="24"/>
        </w:rPr>
        <w:t xml:space="preserve"> na mocy </w:t>
      </w:r>
      <w:r w:rsidR="008E50F4" w:rsidRPr="00DB6087">
        <w:rPr>
          <w:rFonts w:asciiTheme="majorBidi" w:hAnsiTheme="majorBidi" w:cstheme="majorBidi"/>
          <w:sz w:val="24"/>
          <w:szCs w:val="24"/>
        </w:rPr>
        <w:t xml:space="preserve">którego </w:t>
      </w:r>
      <w:r w:rsidRPr="00DB6087">
        <w:rPr>
          <w:rFonts w:asciiTheme="majorBidi" w:hAnsiTheme="majorBidi" w:cstheme="majorBidi"/>
          <w:sz w:val="24"/>
          <w:szCs w:val="24"/>
        </w:rPr>
        <w:t xml:space="preserve">utworzona została Unia Europejska (UE), zostały zawarte </w:t>
      </w:r>
      <w:r w:rsidR="009E7A4A" w:rsidRPr="00DB6087">
        <w:rPr>
          <w:rFonts w:asciiTheme="majorBidi" w:hAnsiTheme="majorBidi" w:cstheme="majorBidi"/>
          <w:sz w:val="24"/>
          <w:szCs w:val="24"/>
        </w:rPr>
        <w:t>podstawy prawne utworzenia</w:t>
      </w:r>
      <w:r w:rsidR="00B82B6C" w:rsidRPr="00DB6087">
        <w:rPr>
          <w:rFonts w:asciiTheme="majorBidi" w:hAnsiTheme="majorBidi" w:cstheme="majorBidi"/>
          <w:sz w:val="24"/>
          <w:szCs w:val="24"/>
        </w:rPr>
        <w:t xml:space="preserve"> europejskiej</w:t>
      </w:r>
      <w:r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0C7F22" w:rsidRPr="00DB6087">
        <w:rPr>
          <w:rFonts w:asciiTheme="majorBidi" w:hAnsiTheme="majorBidi" w:cstheme="majorBidi"/>
          <w:sz w:val="24"/>
          <w:szCs w:val="24"/>
        </w:rPr>
        <w:t>unii walutowej</w:t>
      </w:r>
      <w:r w:rsidRPr="00DB6087">
        <w:rPr>
          <w:rFonts w:asciiTheme="majorBidi" w:hAnsiTheme="majorBidi" w:cstheme="majorBidi"/>
          <w:sz w:val="24"/>
          <w:szCs w:val="24"/>
        </w:rPr>
        <w:t>. Zgodnie z Traktatem ustanowiono w 1999 roku Unię Gospodarczą i Walutową, która koordynuje integrację polityki gospodarczej, walutowej i fiskalnej na terenie UE. Przystępując do UE i następnie do Unii Gospodarczej i Walutowej (UGW) kraje członkowskie (oprócz Wielkiej Brytanii i Danii)</w:t>
      </w:r>
      <w:r w:rsidR="00B82B6C" w:rsidRPr="00DB6087">
        <w:rPr>
          <w:rFonts w:asciiTheme="majorBidi" w:hAnsiTheme="majorBidi" w:cstheme="majorBidi"/>
          <w:sz w:val="24"/>
          <w:szCs w:val="24"/>
        </w:rPr>
        <w:t>,</w:t>
      </w:r>
      <w:r w:rsidRPr="00DB6087">
        <w:rPr>
          <w:rFonts w:asciiTheme="majorBidi" w:hAnsiTheme="majorBidi" w:cstheme="majorBidi"/>
          <w:sz w:val="24"/>
          <w:szCs w:val="24"/>
        </w:rPr>
        <w:t xml:space="preserve"> w tym także Polska</w:t>
      </w:r>
      <w:r w:rsidR="00B82B6C" w:rsidRPr="00DB6087">
        <w:rPr>
          <w:rFonts w:asciiTheme="majorBidi" w:hAnsiTheme="majorBidi" w:cstheme="majorBidi"/>
          <w:sz w:val="24"/>
          <w:szCs w:val="24"/>
        </w:rPr>
        <w:t>,</w:t>
      </w:r>
      <w:r w:rsidRPr="00DB6087">
        <w:rPr>
          <w:rFonts w:asciiTheme="majorBidi" w:hAnsiTheme="majorBidi" w:cstheme="majorBidi"/>
          <w:sz w:val="24"/>
          <w:szCs w:val="24"/>
        </w:rPr>
        <w:t xml:space="preserve"> zobowiązały się do przyjęcia waluty euro. Zastąpienie waluty krajowej walutą europejską jest ogromnym wyzwaniem dla danej gospodarki i procesem</w:t>
      </w:r>
      <w:r w:rsidR="00B82B6C" w:rsidRPr="00DB6087">
        <w:rPr>
          <w:rFonts w:asciiTheme="majorBidi" w:hAnsiTheme="majorBidi" w:cstheme="majorBidi"/>
          <w:sz w:val="24"/>
          <w:szCs w:val="24"/>
        </w:rPr>
        <w:t>,</w:t>
      </w:r>
      <w:r w:rsidRPr="00DB6087">
        <w:rPr>
          <w:rFonts w:asciiTheme="majorBidi" w:hAnsiTheme="majorBidi" w:cstheme="majorBidi"/>
          <w:sz w:val="24"/>
          <w:szCs w:val="24"/>
        </w:rPr>
        <w:t xml:space="preserve"> w ramach którego należy spełnić kryteria konwergencji gospodarczej i prawnej. Kraje pretendujące do wspólnej waluty mają statut krajów z derogacją i nie w pełni uczestniczą w UGW. </w:t>
      </w:r>
      <w:r w:rsidR="00B82B6C" w:rsidRPr="00DB6087">
        <w:rPr>
          <w:rFonts w:asciiTheme="majorBidi" w:hAnsiTheme="majorBidi" w:cstheme="majorBidi"/>
          <w:sz w:val="24"/>
          <w:szCs w:val="24"/>
        </w:rPr>
        <w:t>Zgodność gospodarczą</w:t>
      </w:r>
      <w:r w:rsidRPr="00DB6087">
        <w:rPr>
          <w:rFonts w:asciiTheme="majorBidi" w:hAnsiTheme="majorBidi" w:cstheme="majorBidi"/>
          <w:sz w:val="24"/>
          <w:szCs w:val="24"/>
        </w:rPr>
        <w:t xml:space="preserve"> określają tzw. </w:t>
      </w:r>
      <w:r w:rsidR="00B82B6C" w:rsidRPr="00DB6087">
        <w:rPr>
          <w:rFonts w:asciiTheme="majorBidi" w:hAnsiTheme="majorBidi" w:cstheme="majorBidi"/>
          <w:sz w:val="24"/>
          <w:szCs w:val="24"/>
        </w:rPr>
        <w:t>k</w:t>
      </w:r>
      <w:r w:rsidRPr="00DB6087">
        <w:rPr>
          <w:rFonts w:asciiTheme="majorBidi" w:hAnsiTheme="majorBidi" w:cstheme="majorBidi"/>
          <w:sz w:val="24"/>
          <w:szCs w:val="24"/>
        </w:rPr>
        <w:t xml:space="preserve">ryteria </w:t>
      </w:r>
      <w:r w:rsidR="00B82B6C" w:rsidRPr="00DB6087">
        <w:rPr>
          <w:rFonts w:asciiTheme="majorBidi" w:hAnsiTheme="majorBidi" w:cstheme="majorBidi"/>
          <w:sz w:val="24"/>
          <w:szCs w:val="24"/>
        </w:rPr>
        <w:t>ko</w:t>
      </w:r>
      <w:r w:rsidRPr="00DB6087">
        <w:rPr>
          <w:rFonts w:asciiTheme="majorBidi" w:hAnsiTheme="majorBidi" w:cstheme="majorBidi"/>
          <w:sz w:val="24"/>
          <w:szCs w:val="24"/>
        </w:rPr>
        <w:t xml:space="preserve">nwergencji z </w:t>
      </w:r>
      <w:proofErr w:type="spellStart"/>
      <w:r w:rsidRPr="00DB6087">
        <w:rPr>
          <w:rFonts w:asciiTheme="majorBidi" w:hAnsiTheme="majorBidi" w:cstheme="majorBidi"/>
          <w:sz w:val="24"/>
          <w:szCs w:val="24"/>
        </w:rPr>
        <w:t>Maastricht</w:t>
      </w:r>
      <w:proofErr w:type="spellEnd"/>
      <w:r w:rsidRPr="00DB6087">
        <w:rPr>
          <w:rFonts w:asciiTheme="majorBidi" w:hAnsiTheme="majorBidi" w:cstheme="majorBidi"/>
          <w:sz w:val="24"/>
          <w:szCs w:val="24"/>
        </w:rPr>
        <w:t xml:space="preserve">. </w:t>
      </w:r>
      <w:r w:rsidR="00B82B6C" w:rsidRPr="00DB6087">
        <w:rPr>
          <w:rFonts w:asciiTheme="majorBidi" w:hAnsiTheme="majorBidi" w:cstheme="majorBidi"/>
          <w:sz w:val="24"/>
          <w:szCs w:val="24"/>
        </w:rPr>
        <w:t>Określono w ten sposób w</w:t>
      </w:r>
      <w:r w:rsidRPr="00DB6087">
        <w:rPr>
          <w:rFonts w:asciiTheme="majorBidi" w:hAnsiTheme="majorBidi" w:cstheme="majorBidi"/>
          <w:sz w:val="24"/>
          <w:szCs w:val="24"/>
        </w:rPr>
        <w:t>ymogi ekonomiczne (zapewniające równowagę makroekonomiczną), którym trzeba sprostać by móc przystąpić do strefy euro</w:t>
      </w:r>
      <w:r w:rsidR="00B82B6C" w:rsidRPr="00DB6087">
        <w:rPr>
          <w:rFonts w:asciiTheme="majorBidi" w:hAnsiTheme="majorBidi" w:cstheme="majorBidi"/>
          <w:sz w:val="24"/>
          <w:szCs w:val="24"/>
        </w:rPr>
        <w:t>. O</w:t>
      </w:r>
      <w:r w:rsidRPr="00DB6087">
        <w:rPr>
          <w:rFonts w:asciiTheme="majorBidi" w:hAnsiTheme="majorBidi" w:cstheme="majorBidi"/>
          <w:sz w:val="24"/>
          <w:szCs w:val="24"/>
        </w:rPr>
        <w:t>bejmują</w:t>
      </w:r>
      <w:r w:rsidR="00B82B6C" w:rsidRPr="00DB6087">
        <w:rPr>
          <w:rFonts w:asciiTheme="majorBidi" w:hAnsiTheme="majorBidi" w:cstheme="majorBidi"/>
          <w:sz w:val="24"/>
          <w:szCs w:val="24"/>
        </w:rPr>
        <w:t xml:space="preserve"> one</w:t>
      </w:r>
      <w:r w:rsidRPr="00DB6087">
        <w:rPr>
          <w:rFonts w:asciiTheme="majorBidi" w:hAnsiTheme="majorBidi" w:cstheme="majorBidi"/>
          <w:sz w:val="24"/>
          <w:szCs w:val="24"/>
        </w:rPr>
        <w:t xml:space="preserve"> obszar polityki fiskalnej i pieniężnej [Urząd Publikacji UE, 2014]:</w:t>
      </w:r>
    </w:p>
    <w:p w14:paraId="3491F0FE" w14:textId="77777777" w:rsidR="001A6E9B" w:rsidRPr="00DB6087" w:rsidRDefault="001A6E9B" w:rsidP="00D84A34">
      <w:pPr>
        <w:pStyle w:val="Akapitzlist"/>
        <w:numPr>
          <w:ilvl w:val="0"/>
          <w:numId w:val="2"/>
        </w:numPr>
        <w:spacing w:line="240" w:lineRule="auto"/>
        <w:ind w:left="993" w:hanging="285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lastRenderedPageBreak/>
        <w:t>Stabilnoś</w:t>
      </w:r>
      <w:r w:rsidR="00CA7CBA" w:rsidRPr="00DB6087">
        <w:rPr>
          <w:rFonts w:asciiTheme="majorBidi" w:hAnsiTheme="majorBidi" w:cstheme="majorBidi"/>
          <w:sz w:val="24"/>
          <w:szCs w:val="24"/>
        </w:rPr>
        <w:t>ć cen – inflacja kraju pretendenta ni</w:t>
      </w:r>
      <w:r w:rsidR="004A4E3D">
        <w:rPr>
          <w:rFonts w:asciiTheme="majorBidi" w:hAnsiTheme="majorBidi" w:cstheme="majorBidi"/>
          <w:sz w:val="24"/>
          <w:szCs w:val="24"/>
        </w:rPr>
        <w:t>e może przekroczyć przedziału o </w:t>
      </w:r>
      <w:r w:rsidR="00CA7CBA" w:rsidRPr="00DB6087">
        <w:rPr>
          <w:rFonts w:asciiTheme="majorBidi" w:hAnsiTheme="majorBidi" w:cstheme="majorBidi"/>
          <w:sz w:val="24"/>
          <w:szCs w:val="24"/>
        </w:rPr>
        <w:t>szerokości 1,5 punktu procentowego,</w:t>
      </w:r>
      <w:r w:rsidRPr="00DB6087">
        <w:rPr>
          <w:rFonts w:asciiTheme="majorBidi" w:hAnsiTheme="majorBidi" w:cstheme="majorBidi"/>
          <w:sz w:val="24"/>
          <w:szCs w:val="24"/>
        </w:rPr>
        <w:t xml:space="preserve"> powyżej poziomu inflacji w trzech państwach członkow</w:t>
      </w:r>
      <w:r w:rsidR="00CA7CBA" w:rsidRPr="00DB6087">
        <w:rPr>
          <w:rFonts w:asciiTheme="majorBidi" w:hAnsiTheme="majorBidi" w:cstheme="majorBidi"/>
          <w:sz w:val="24"/>
          <w:szCs w:val="24"/>
        </w:rPr>
        <w:t>skich o najniższej dynamice cen</w:t>
      </w:r>
      <w:r w:rsidRPr="00DB6087">
        <w:rPr>
          <w:rFonts w:asciiTheme="majorBidi" w:hAnsiTheme="majorBidi" w:cstheme="majorBidi"/>
          <w:sz w:val="24"/>
          <w:szCs w:val="24"/>
        </w:rPr>
        <w:t>;</w:t>
      </w:r>
    </w:p>
    <w:p w14:paraId="5DD71491" w14:textId="77777777" w:rsidR="00CA7CBA" w:rsidRPr="00DB6087" w:rsidRDefault="00CA7CBA" w:rsidP="00D84A34">
      <w:pPr>
        <w:pStyle w:val="Akapitzlist"/>
        <w:numPr>
          <w:ilvl w:val="0"/>
          <w:numId w:val="2"/>
        </w:numPr>
        <w:spacing w:line="24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>Stabilność fiskalna – deficyt budżetowy nie może przekraczać 3% PKB, natomiast dług publiczny 60% PKB;</w:t>
      </w:r>
    </w:p>
    <w:p w14:paraId="1F3CE5C8" w14:textId="77777777" w:rsidR="00CA7CBA" w:rsidRPr="00DB6087" w:rsidRDefault="00020FE0" w:rsidP="00D84A34">
      <w:pPr>
        <w:pStyle w:val="Akapitzlist"/>
        <w:numPr>
          <w:ilvl w:val="0"/>
          <w:numId w:val="2"/>
        </w:numPr>
        <w:tabs>
          <w:tab w:val="left" w:pos="851"/>
        </w:tabs>
        <w:spacing w:line="24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>Stabiln</w:t>
      </w:r>
      <w:r w:rsidR="00CA7CBA" w:rsidRPr="00DB6087">
        <w:rPr>
          <w:rFonts w:asciiTheme="majorBidi" w:hAnsiTheme="majorBidi" w:cstheme="majorBidi"/>
          <w:sz w:val="24"/>
          <w:szCs w:val="24"/>
        </w:rPr>
        <w:t xml:space="preserve">ość stóp procentowych – w </w:t>
      </w:r>
      <w:r w:rsidRPr="00DB6087">
        <w:rPr>
          <w:rFonts w:asciiTheme="majorBidi" w:hAnsiTheme="majorBidi" w:cstheme="majorBidi"/>
          <w:sz w:val="24"/>
          <w:szCs w:val="24"/>
        </w:rPr>
        <w:t>ciągu roku przed wstą</w:t>
      </w:r>
      <w:r w:rsidR="00CA7CBA" w:rsidRPr="00DB6087">
        <w:rPr>
          <w:rFonts w:asciiTheme="majorBidi" w:hAnsiTheme="majorBidi" w:cstheme="majorBidi"/>
          <w:sz w:val="24"/>
          <w:szCs w:val="24"/>
        </w:rPr>
        <w:t>pi</w:t>
      </w:r>
      <w:r w:rsidRPr="00DB6087">
        <w:rPr>
          <w:rFonts w:asciiTheme="majorBidi" w:hAnsiTheme="majorBidi" w:cstheme="majorBidi"/>
          <w:sz w:val="24"/>
          <w:szCs w:val="24"/>
        </w:rPr>
        <w:t>e</w:t>
      </w:r>
      <w:r w:rsidR="00CA7CBA" w:rsidRPr="00DB6087">
        <w:rPr>
          <w:rFonts w:asciiTheme="majorBidi" w:hAnsiTheme="majorBidi" w:cstheme="majorBidi"/>
          <w:sz w:val="24"/>
          <w:szCs w:val="24"/>
        </w:rPr>
        <w:t xml:space="preserve">niem do unii walutowej </w:t>
      </w:r>
      <w:r w:rsidRPr="00DB6087">
        <w:rPr>
          <w:rFonts w:asciiTheme="majorBidi" w:hAnsiTheme="majorBidi" w:cstheme="majorBidi"/>
          <w:sz w:val="24"/>
          <w:szCs w:val="24"/>
        </w:rPr>
        <w:t>średnia, nominalna, długookresowa stopa procentowa nie może przewyższać więcej niż o 2 punkty procentowe stopy procentowej z trzech państw członkowskich, które brano przy kryterium inflacyjnym;</w:t>
      </w:r>
    </w:p>
    <w:p w14:paraId="7E47DABB" w14:textId="77777777" w:rsidR="001A6E9B" w:rsidRPr="00DB6087" w:rsidRDefault="001A6E9B" w:rsidP="00D84A34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>Stabilność kurs</w:t>
      </w:r>
      <w:r w:rsidR="00020FE0" w:rsidRPr="00DB6087">
        <w:rPr>
          <w:rFonts w:asciiTheme="majorBidi" w:hAnsiTheme="majorBidi" w:cstheme="majorBidi"/>
          <w:sz w:val="24"/>
          <w:szCs w:val="24"/>
        </w:rPr>
        <w:t>u</w:t>
      </w:r>
      <w:r w:rsidRPr="00DB6087">
        <w:rPr>
          <w:rFonts w:asciiTheme="majorBidi" w:hAnsiTheme="majorBidi" w:cstheme="majorBidi"/>
          <w:sz w:val="24"/>
          <w:szCs w:val="24"/>
        </w:rPr>
        <w:t xml:space="preserve"> walutowego</w:t>
      </w:r>
      <w:r w:rsidR="00020FE0" w:rsidRPr="00DB6087">
        <w:rPr>
          <w:rFonts w:asciiTheme="majorBidi" w:hAnsiTheme="majorBidi" w:cstheme="majorBidi"/>
          <w:sz w:val="24"/>
          <w:szCs w:val="24"/>
        </w:rPr>
        <w:t xml:space="preserve"> –</w:t>
      </w:r>
      <w:r w:rsidRPr="00DB6087">
        <w:rPr>
          <w:rFonts w:asciiTheme="majorBidi" w:hAnsiTheme="majorBidi" w:cstheme="majorBidi"/>
          <w:sz w:val="24"/>
          <w:szCs w:val="24"/>
        </w:rPr>
        <w:t xml:space="preserve"> obligatoryjne uczestnictwo w mechanizmie kursów walutowych (ERM</w:t>
      </w:r>
      <w:r w:rsidR="00020FE0" w:rsidRPr="00DB6087">
        <w:rPr>
          <w:rFonts w:asciiTheme="majorBidi" w:hAnsiTheme="majorBidi" w:cstheme="majorBidi"/>
          <w:sz w:val="24"/>
          <w:szCs w:val="24"/>
        </w:rPr>
        <w:t xml:space="preserve"> II</w:t>
      </w:r>
      <w:r w:rsidRPr="00DB6087">
        <w:rPr>
          <w:rFonts w:asciiTheme="majorBidi" w:hAnsiTheme="majorBidi" w:cstheme="majorBidi"/>
          <w:sz w:val="24"/>
          <w:szCs w:val="24"/>
        </w:rPr>
        <w:t xml:space="preserve">) przez okres 2 lat bez żadnych naruszeń, pomiar dokonywany na podstawie odchyleń od kursu centralnego. </w:t>
      </w:r>
    </w:p>
    <w:p w14:paraId="259F372A" w14:textId="77777777" w:rsidR="001A6E9B" w:rsidRPr="00DB6087" w:rsidRDefault="00020FE0" w:rsidP="00D84A34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 xml:space="preserve">Ostatnie </w:t>
      </w:r>
      <w:r w:rsidR="001A6E9B" w:rsidRPr="00DB6087">
        <w:rPr>
          <w:rFonts w:asciiTheme="majorBidi" w:hAnsiTheme="majorBidi" w:cstheme="majorBidi"/>
          <w:sz w:val="24"/>
          <w:szCs w:val="24"/>
        </w:rPr>
        <w:t xml:space="preserve">kryterium to kolejny etap na drodze do członkostwa w strefie euro. Włączenie waluty narodowej do mechanizmu </w:t>
      </w:r>
      <w:r w:rsidRPr="00DB6087">
        <w:rPr>
          <w:rFonts w:asciiTheme="majorBidi" w:hAnsiTheme="majorBidi" w:cstheme="majorBidi"/>
          <w:sz w:val="24"/>
          <w:szCs w:val="24"/>
        </w:rPr>
        <w:t>ERM II,</w:t>
      </w:r>
      <w:r w:rsidR="001A6E9B" w:rsidRPr="00DB6087">
        <w:rPr>
          <w:rFonts w:asciiTheme="majorBidi" w:hAnsiTheme="majorBidi" w:cstheme="majorBidi"/>
          <w:sz w:val="24"/>
          <w:szCs w:val="24"/>
        </w:rPr>
        <w:t xml:space="preserve"> ma na celu</w:t>
      </w:r>
      <w:r w:rsidR="004A4E3D">
        <w:rPr>
          <w:rFonts w:asciiTheme="majorBidi" w:hAnsiTheme="majorBidi" w:cstheme="majorBidi"/>
          <w:sz w:val="24"/>
          <w:szCs w:val="24"/>
        </w:rPr>
        <w:t xml:space="preserve"> utrzymanie stabilności kursu z </w:t>
      </w:r>
      <w:r w:rsidR="001A6E9B" w:rsidRPr="00DB6087">
        <w:rPr>
          <w:rFonts w:asciiTheme="majorBidi" w:hAnsiTheme="majorBidi" w:cstheme="majorBidi"/>
          <w:sz w:val="24"/>
          <w:szCs w:val="24"/>
        </w:rPr>
        <w:t xml:space="preserve">odchyleniem nie większym niż 15% od kursu parytetu wymiany. Spełnienie parametrów gospodarczych i prawnych poddane jest weryfikacji przez Komisję Europejska i Europejski Bank Centralny. Pozytywna opinia tych instytucji jest podstawą do wydania decyzji Rady UE o uchyleniu derogacji i wprowadzenia waluty euro [NBP, 2008]. </w:t>
      </w:r>
    </w:p>
    <w:p w14:paraId="68140A37" w14:textId="77777777" w:rsidR="001A271A" w:rsidRPr="00DB6087" w:rsidRDefault="001A6E9B" w:rsidP="00D84A34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 xml:space="preserve">Wejście do </w:t>
      </w:r>
      <w:r w:rsidR="00090175" w:rsidRPr="00DB6087">
        <w:rPr>
          <w:rFonts w:asciiTheme="majorBidi" w:hAnsiTheme="majorBidi" w:cstheme="majorBidi"/>
          <w:sz w:val="24"/>
          <w:szCs w:val="24"/>
        </w:rPr>
        <w:t>Unii Gospodarczej i Walutowej</w:t>
      </w:r>
      <w:r w:rsidRPr="00DB6087">
        <w:rPr>
          <w:rFonts w:asciiTheme="majorBidi" w:hAnsiTheme="majorBidi" w:cstheme="majorBidi"/>
          <w:sz w:val="24"/>
          <w:szCs w:val="24"/>
        </w:rPr>
        <w:t xml:space="preserve"> jest równoznaczne z przyjęciem euro. Posiadanie </w:t>
      </w:r>
      <w:r w:rsidR="00850019" w:rsidRPr="00DB6087">
        <w:rPr>
          <w:rFonts w:asciiTheme="majorBidi" w:hAnsiTheme="majorBidi" w:cstheme="majorBidi"/>
          <w:sz w:val="24"/>
          <w:szCs w:val="24"/>
        </w:rPr>
        <w:t xml:space="preserve">przez Polskę </w:t>
      </w:r>
      <w:r w:rsidRPr="00DB6087">
        <w:rPr>
          <w:rFonts w:asciiTheme="majorBidi" w:hAnsiTheme="majorBidi" w:cstheme="majorBidi"/>
          <w:sz w:val="24"/>
          <w:szCs w:val="24"/>
        </w:rPr>
        <w:t xml:space="preserve">wspólnej waluty jest wypełnieniem </w:t>
      </w:r>
      <w:r w:rsidRPr="00DB6087">
        <w:rPr>
          <w:rFonts w:asciiTheme="majorBidi" w:hAnsiTheme="majorBidi" w:cstheme="majorBidi"/>
          <w:bCs/>
          <w:sz w:val="24"/>
          <w:szCs w:val="24"/>
        </w:rPr>
        <w:t>zobowiązań</w:t>
      </w:r>
      <w:r w:rsidR="00850019" w:rsidRPr="00DB6087">
        <w:rPr>
          <w:rFonts w:asciiTheme="majorBidi" w:hAnsiTheme="majorBidi" w:cstheme="majorBidi"/>
          <w:bCs/>
          <w:sz w:val="24"/>
          <w:szCs w:val="24"/>
        </w:rPr>
        <w:t xml:space="preserve"> akcesyjnych</w:t>
      </w:r>
      <w:r w:rsidRPr="00DB6087">
        <w:rPr>
          <w:rFonts w:asciiTheme="majorBidi" w:hAnsiTheme="majorBidi" w:cstheme="majorBidi"/>
          <w:bCs/>
          <w:sz w:val="24"/>
          <w:szCs w:val="24"/>
        </w:rPr>
        <w:t xml:space="preserve"> względem UE</w:t>
      </w:r>
      <w:r w:rsidRPr="00DB6087">
        <w:rPr>
          <w:rFonts w:asciiTheme="majorBidi" w:hAnsiTheme="majorBidi" w:cstheme="majorBidi"/>
          <w:sz w:val="24"/>
          <w:szCs w:val="24"/>
        </w:rPr>
        <w:t xml:space="preserve">, jest także przystąpieniem do grupy najbardziej rozwiniętych państw Europy. </w:t>
      </w:r>
      <w:r w:rsidR="00090175" w:rsidRPr="00DB6087">
        <w:rPr>
          <w:rFonts w:asciiTheme="majorBidi" w:hAnsiTheme="majorBidi" w:cstheme="majorBidi"/>
          <w:sz w:val="24"/>
          <w:szCs w:val="24"/>
        </w:rPr>
        <w:t>Powinno to umożliwić w dłuższej perspektywie czasowej osiągnięcie zbliżonego poziomu rozwoju gospodarczego przez państwa członkowskie, co określane jest mianem konwergencji ekonomicznej.</w:t>
      </w:r>
      <w:r w:rsidR="001A271A" w:rsidRPr="00DB6087">
        <w:rPr>
          <w:rFonts w:asciiTheme="majorBidi" w:hAnsiTheme="majorBidi" w:cstheme="majorBidi"/>
          <w:sz w:val="24"/>
          <w:szCs w:val="24"/>
        </w:rPr>
        <w:t xml:space="preserve"> Nie bez znaczenia jest również swoisty ekonomiczny parasol ochronny jaki strefa euro roztacza nad państwami członkowskimi w okresach trwałej niepewności gospodarczej</w:t>
      </w:r>
      <w:r w:rsidR="009629B5" w:rsidRPr="00DB6087">
        <w:rPr>
          <w:rFonts w:asciiTheme="majorBidi" w:hAnsiTheme="majorBidi" w:cstheme="majorBidi"/>
          <w:sz w:val="24"/>
          <w:szCs w:val="24"/>
        </w:rPr>
        <w:t xml:space="preserve"> i</w:t>
      </w:r>
      <w:r w:rsidR="001A271A"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9629B5" w:rsidRPr="00DB6087">
        <w:rPr>
          <w:rFonts w:asciiTheme="majorBidi" w:hAnsiTheme="majorBidi" w:cstheme="majorBidi"/>
          <w:sz w:val="24"/>
          <w:szCs w:val="24"/>
        </w:rPr>
        <w:t>globalnych</w:t>
      </w:r>
      <w:r w:rsidR="001A271A" w:rsidRPr="00DB6087">
        <w:rPr>
          <w:rFonts w:asciiTheme="majorBidi" w:hAnsiTheme="majorBidi" w:cstheme="majorBidi"/>
          <w:sz w:val="24"/>
          <w:szCs w:val="24"/>
        </w:rPr>
        <w:t xml:space="preserve"> kryzysów</w:t>
      </w:r>
      <w:r w:rsidR="009629B5" w:rsidRPr="00DB6087">
        <w:rPr>
          <w:rFonts w:asciiTheme="majorBidi" w:hAnsiTheme="majorBidi" w:cstheme="majorBidi"/>
          <w:sz w:val="24"/>
          <w:szCs w:val="24"/>
        </w:rPr>
        <w:t>.</w:t>
      </w:r>
    </w:p>
    <w:p w14:paraId="63D8D684" w14:textId="77777777" w:rsidR="001A6E9B" w:rsidRDefault="009629B5" w:rsidP="00241D80">
      <w:pPr>
        <w:spacing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>Określenie m</w:t>
      </w:r>
      <w:r w:rsidR="001A6E9B" w:rsidRPr="00DB6087">
        <w:rPr>
          <w:rFonts w:asciiTheme="majorBidi" w:hAnsiTheme="majorBidi" w:cstheme="majorBidi"/>
          <w:sz w:val="24"/>
          <w:szCs w:val="24"/>
        </w:rPr>
        <w:t>oment</w:t>
      </w:r>
      <w:r w:rsidRPr="00DB6087">
        <w:rPr>
          <w:rFonts w:asciiTheme="majorBidi" w:hAnsiTheme="majorBidi" w:cstheme="majorBidi"/>
          <w:sz w:val="24"/>
          <w:szCs w:val="24"/>
        </w:rPr>
        <w:t>u</w:t>
      </w:r>
      <w:r w:rsidR="001A6E9B" w:rsidRPr="00DB6087">
        <w:rPr>
          <w:rFonts w:asciiTheme="majorBidi" w:hAnsiTheme="majorBidi" w:cstheme="majorBidi"/>
          <w:sz w:val="24"/>
          <w:szCs w:val="24"/>
        </w:rPr>
        <w:t xml:space="preserve"> wejścia do strefy euro</w:t>
      </w:r>
      <w:r w:rsidRPr="00DB6087">
        <w:rPr>
          <w:rFonts w:asciiTheme="majorBidi" w:hAnsiTheme="majorBidi" w:cstheme="majorBidi"/>
          <w:sz w:val="24"/>
          <w:szCs w:val="24"/>
        </w:rPr>
        <w:t>, uzależnione jest od osiągnięcia</w:t>
      </w:r>
      <w:r w:rsidR="001A6E9B" w:rsidRPr="00DB6087">
        <w:rPr>
          <w:rFonts w:asciiTheme="majorBidi" w:hAnsiTheme="majorBidi" w:cstheme="majorBidi"/>
          <w:sz w:val="24"/>
          <w:szCs w:val="24"/>
        </w:rPr>
        <w:t xml:space="preserve"> przez polską gospodarkę stanu „gotowości”, p</w:t>
      </w:r>
      <w:r w:rsidRPr="00DB6087">
        <w:rPr>
          <w:rFonts w:asciiTheme="majorBidi" w:hAnsiTheme="majorBidi" w:cstheme="majorBidi"/>
          <w:sz w:val="24"/>
          <w:szCs w:val="24"/>
        </w:rPr>
        <w:t>rzez co rozumie się</w:t>
      </w:r>
      <w:r w:rsidR="001A6E9B"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Pr="00DB6087">
        <w:rPr>
          <w:rFonts w:asciiTheme="majorBidi" w:hAnsiTheme="majorBidi" w:cstheme="majorBidi"/>
          <w:sz w:val="24"/>
          <w:szCs w:val="24"/>
        </w:rPr>
        <w:t xml:space="preserve">przejście długotrwałego </w:t>
      </w:r>
      <w:r w:rsidR="001A6E9B" w:rsidRPr="00DB6087">
        <w:rPr>
          <w:rFonts w:asciiTheme="majorBidi" w:hAnsiTheme="majorBidi" w:cstheme="majorBidi"/>
          <w:sz w:val="24"/>
          <w:szCs w:val="24"/>
        </w:rPr>
        <w:t>proces</w:t>
      </w:r>
      <w:r w:rsidRPr="00DB6087">
        <w:rPr>
          <w:rFonts w:asciiTheme="majorBidi" w:hAnsiTheme="majorBidi" w:cstheme="majorBidi"/>
          <w:sz w:val="24"/>
          <w:szCs w:val="24"/>
        </w:rPr>
        <w:t>u</w:t>
      </w:r>
      <w:r w:rsidR="001A6E9B" w:rsidRPr="00DB6087">
        <w:rPr>
          <w:rFonts w:asciiTheme="majorBidi" w:hAnsiTheme="majorBidi" w:cstheme="majorBidi"/>
          <w:sz w:val="24"/>
          <w:szCs w:val="24"/>
        </w:rPr>
        <w:t xml:space="preserve"> konwergencji realnej, </w:t>
      </w:r>
      <w:r w:rsidRPr="00DB6087">
        <w:rPr>
          <w:rFonts w:asciiTheme="majorBidi" w:hAnsiTheme="majorBidi" w:cstheme="majorBidi"/>
          <w:sz w:val="24"/>
          <w:szCs w:val="24"/>
        </w:rPr>
        <w:t>polegającej na zbliżeniu</w:t>
      </w:r>
      <w:r w:rsidR="001A6E9B" w:rsidRPr="00DB6087">
        <w:rPr>
          <w:rFonts w:asciiTheme="majorBidi" w:hAnsiTheme="majorBidi" w:cstheme="majorBidi"/>
          <w:sz w:val="24"/>
          <w:szCs w:val="24"/>
        </w:rPr>
        <w:t xml:space="preserve"> poziomu PKB </w:t>
      </w:r>
      <w:r w:rsidRPr="00DB6087">
        <w:rPr>
          <w:rFonts w:asciiTheme="majorBidi" w:hAnsiTheme="majorBidi" w:cstheme="majorBidi"/>
          <w:sz w:val="24"/>
          <w:szCs w:val="24"/>
        </w:rPr>
        <w:t>per capita</w:t>
      </w:r>
      <w:r w:rsidR="004A4E3D">
        <w:rPr>
          <w:rFonts w:asciiTheme="majorBidi" w:hAnsiTheme="majorBidi" w:cstheme="majorBidi"/>
          <w:sz w:val="24"/>
          <w:szCs w:val="24"/>
        </w:rPr>
        <w:t xml:space="preserve"> do poziomu w </w:t>
      </w:r>
      <w:r w:rsidR="001A6E9B" w:rsidRPr="00DB6087">
        <w:rPr>
          <w:rFonts w:asciiTheme="majorBidi" w:hAnsiTheme="majorBidi" w:cstheme="majorBidi"/>
          <w:sz w:val="24"/>
          <w:szCs w:val="24"/>
        </w:rPr>
        <w:t xml:space="preserve">krajach strefy euro [Osiatyński, 2011]. </w:t>
      </w:r>
      <w:r w:rsidRPr="00DB6087">
        <w:rPr>
          <w:rFonts w:asciiTheme="majorBidi" w:hAnsiTheme="majorBidi" w:cstheme="majorBidi"/>
          <w:sz w:val="24"/>
          <w:szCs w:val="24"/>
        </w:rPr>
        <w:t>W dużej mierze uwarunkowane jest to</w:t>
      </w:r>
      <w:r w:rsidR="001A6E9B" w:rsidRPr="00DB6087">
        <w:rPr>
          <w:rFonts w:asciiTheme="majorBidi" w:hAnsiTheme="majorBidi" w:cstheme="majorBidi"/>
          <w:sz w:val="24"/>
          <w:szCs w:val="24"/>
        </w:rPr>
        <w:t xml:space="preserve"> momentem</w:t>
      </w:r>
      <w:r w:rsidR="00E76EB3" w:rsidRPr="00DB6087">
        <w:rPr>
          <w:rFonts w:asciiTheme="majorBidi" w:hAnsiTheme="majorBidi" w:cstheme="majorBidi"/>
          <w:sz w:val="24"/>
          <w:szCs w:val="24"/>
        </w:rPr>
        <w:t>,</w:t>
      </w:r>
      <w:r w:rsidR="001A6E9B"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4A4E3D">
        <w:rPr>
          <w:rFonts w:asciiTheme="majorBidi" w:hAnsiTheme="majorBidi" w:cstheme="majorBidi"/>
          <w:sz w:val="24"/>
          <w:szCs w:val="24"/>
        </w:rPr>
        <w:t xml:space="preserve">w </w:t>
      </w:r>
      <w:r w:rsidRPr="00DB6087">
        <w:rPr>
          <w:rFonts w:asciiTheme="majorBidi" w:hAnsiTheme="majorBidi" w:cstheme="majorBidi"/>
          <w:sz w:val="24"/>
          <w:szCs w:val="24"/>
        </w:rPr>
        <w:t>którym</w:t>
      </w:r>
      <w:r w:rsidR="001A6E9B" w:rsidRPr="00DB6087">
        <w:rPr>
          <w:rFonts w:asciiTheme="majorBidi" w:hAnsiTheme="majorBidi" w:cstheme="majorBidi"/>
          <w:sz w:val="24"/>
          <w:szCs w:val="24"/>
        </w:rPr>
        <w:t xml:space="preserve"> polska gospodarka osiągnie </w:t>
      </w:r>
      <w:r w:rsidR="00CD7F2F" w:rsidRPr="00DB6087">
        <w:rPr>
          <w:rFonts w:asciiTheme="majorBidi" w:hAnsiTheme="majorBidi" w:cstheme="majorBidi"/>
          <w:sz w:val="24"/>
          <w:szCs w:val="24"/>
        </w:rPr>
        <w:t xml:space="preserve">taki </w:t>
      </w:r>
      <w:r w:rsidR="001A6E9B" w:rsidRPr="00DB6087">
        <w:rPr>
          <w:rFonts w:asciiTheme="majorBidi" w:hAnsiTheme="majorBidi" w:cstheme="majorBidi"/>
          <w:sz w:val="24"/>
          <w:szCs w:val="24"/>
        </w:rPr>
        <w:t>poziom konkurencyjności,</w:t>
      </w:r>
      <w:r w:rsidR="00CD7F2F" w:rsidRPr="00DB6087">
        <w:rPr>
          <w:rFonts w:asciiTheme="majorBidi" w:hAnsiTheme="majorBidi" w:cstheme="majorBidi"/>
          <w:sz w:val="24"/>
          <w:szCs w:val="24"/>
        </w:rPr>
        <w:t xml:space="preserve"> który zapewni jej zajęcie</w:t>
      </w:r>
      <w:r w:rsidR="001A6E9B"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CD7F2F" w:rsidRPr="00DB6087">
        <w:rPr>
          <w:rFonts w:asciiTheme="majorBidi" w:hAnsiTheme="majorBidi" w:cstheme="majorBidi"/>
          <w:sz w:val="24"/>
          <w:szCs w:val="24"/>
        </w:rPr>
        <w:t>korzys</w:t>
      </w:r>
      <w:r w:rsidR="00E76EB3" w:rsidRPr="00DB6087">
        <w:rPr>
          <w:rFonts w:asciiTheme="majorBidi" w:hAnsiTheme="majorBidi" w:cstheme="majorBidi"/>
          <w:sz w:val="24"/>
          <w:szCs w:val="24"/>
        </w:rPr>
        <w:t>tnej</w:t>
      </w:r>
      <w:r w:rsidR="001A6E9B"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E76EB3" w:rsidRPr="00DB6087">
        <w:rPr>
          <w:rFonts w:asciiTheme="majorBidi" w:hAnsiTheme="majorBidi" w:cstheme="majorBidi"/>
          <w:sz w:val="24"/>
          <w:szCs w:val="24"/>
        </w:rPr>
        <w:t>pozycji</w:t>
      </w:r>
      <w:r w:rsidR="001A6E9B" w:rsidRPr="00DB6087">
        <w:rPr>
          <w:rFonts w:asciiTheme="majorBidi" w:hAnsiTheme="majorBidi" w:cstheme="majorBidi"/>
          <w:sz w:val="24"/>
          <w:szCs w:val="24"/>
        </w:rPr>
        <w:t xml:space="preserve"> w międzynarodowym podziale pracy</w:t>
      </w:r>
      <w:r w:rsidR="00CD7F2F" w:rsidRPr="00DB6087">
        <w:rPr>
          <w:rFonts w:asciiTheme="majorBidi" w:hAnsiTheme="majorBidi" w:cstheme="majorBidi"/>
          <w:sz w:val="24"/>
          <w:szCs w:val="24"/>
        </w:rPr>
        <w:t xml:space="preserve"> [Domański, 2008]. </w:t>
      </w:r>
      <w:r w:rsidR="001A6E9B" w:rsidRPr="00DB6087">
        <w:rPr>
          <w:rFonts w:asciiTheme="majorBidi" w:hAnsiTheme="majorBidi" w:cstheme="majorBidi"/>
          <w:sz w:val="24"/>
          <w:szCs w:val="24"/>
        </w:rPr>
        <w:t xml:space="preserve">Odkładanie akcesji do strefy euro </w:t>
      </w:r>
      <w:r w:rsidR="00CD7F2F" w:rsidRPr="00DB6087">
        <w:rPr>
          <w:rFonts w:asciiTheme="majorBidi" w:hAnsiTheme="majorBidi" w:cstheme="majorBidi"/>
          <w:sz w:val="24"/>
          <w:szCs w:val="24"/>
        </w:rPr>
        <w:t>może być</w:t>
      </w:r>
      <w:r w:rsidR="001A6E9B" w:rsidRPr="00DB6087">
        <w:rPr>
          <w:rFonts w:asciiTheme="majorBidi" w:hAnsiTheme="majorBidi" w:cstheme="majorBidi"/>
          <w:sz w:val="24"/>
          <w:szCs w:val="24"/>
        </w:rPr>
        <w:t xml:space="preserve"> niekorzystne dla polskiej gospodarki</w:t>
      </w:r>
      <w:r w:rsidR="00CD7F2F" w:rsidRPr="00DB6087">
        <w:rPr>
          <w:rFonts w:asciiTheme="majorBidi" w:hAnsiTheme="majorBidi" w:cstheme="majorBidi"/>
          <w:sz w:val="24"/>
          <w:szCs w:val="24"/>
        </w:rPr>
        <w:t>, w tym sensie, że</w:t>
      </w:r>
      <w:r w:rsidR="001A6E9B"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CD7F2F" w:rsidRPr="00DB6087">
        <w:rPr>
          <w:rFonts w:asciiTheme="majorBidi" w:hAnsiTheme="majorBidi" w:cstheme="majorBidi"/>
          <w:sz w:val="24"/>
          <w:szCs w:val="24"/>
        </w:rPr>
        <w:t>wyrzuci ją</w:t>
      </w:r>
      <w:r w:rsidR="001A6E9B" w:rsidRPr="00DB6087">
        <w:rPr>
          <w:rFonts w:asciiTheme="majorBidi" w:hAnsiTheme="majorBidi" w:cstheme="majorBidi"/>
          <w:sz w:val="24"/>
          <w:szCs w:val="24"/>
        </w:rPr>
        <w:t xml:space="preserve"> na </w:t>
      </w:r>
      <w:r w:rsidR="00CD7F2F" w:rsidRPr="00DB6087">
        <w:rPr>
          <w:rFonts w:asciiTheme="majorBidi" w:hAnsiTheme="majorBidi" w:cstheme="majorBidi"/>
          <w:sz w:val="24"/>
          <w:szCs w:val="24"/>
        </w:rPr>
        <w:t>peryferie ekonomiczne</w:t>
      </w:r>
      <w:r w:rsidR="001A6E9B"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CD7F2F" w:rsidRPr="00DB6087">
        <w:rPr>
          <w:rFonts w:asciiTheme="majorBidi" w:hAnsiTheme="majorBidi" w:cstheme="majorBidi"/>
          <w:sz w:val="24"/>
          <w:szCs w:val="24"/>
        </w:rPr>
        <w:t>Unii</w:t>
      </w:r>
      <w:r w:rsidR="00E76EB3" w:rsidRPr="00DB6087">
        <w:rPr>
          <w:rFonts w:asciiTheme="majorBidi" w:hAnsiTheme="majorBidi" w:cstheme="majorBidi"/>
          <w:sz w:val="24"/>
          <w:szCs w:val="24"/>
        </w:rPr>
        <w:t xml:space="preserve"> Europejskiej</w:t>
      </w:r>
      <w:r w:rsidR="001A6E9B" w:rsidRPr="00DB6087">
        <w:rPr>
          <w:rFonts w:asciiTheme="majorBidi" w:hAnsiTheme="majorBidi" w:cstheme="majorBidi"/>
          <w:sz w:val="24"/>
          <w:szCs w:val="24"/>
        </w:rPr>
        <w:t xml:space="preserve">. Wówczas utrzymanie </w:t>
      </w:r>
      <w:r w:rsidR="00CD7F2F" w:rsidRPr="00DB6087">
        <w:rPr>
          <w:rFonts w:asciiTheme="majorBidi" w:hAnsiTheme="majorBidi" w:cstheme="majorBidi"/>
          <w:sz w:val="24"/>
          <w:szCs w:val="24"/>
        </w:rPr>
        <w:t xml:space="preserve">optymalnego </w:t>
      </w:r>
      <w:r w:rsidR="001A6E9B" w:rsidRPr="00DB6087">
        <w:rPr>
          <w:rFonts w:asciiTheme="majorBidi" w:hAnsiTheme="majorBidi" w:cstheme="majorBidi"/>
          <w:sz w:val="24"/>
          <w:szCs w:val="24"/>
        </w:rPr>
        <w:t>wzrostu gospodarczego będzie niemożliwe</w:t>
      </w:r>
      <w:r w:rsidR="00CD7F2F" w:rsidRPr="00DB6087">
        <w:rPr>
          <w:rFonts w:asciiTheme="majorBidi" w:hAnsiTheme="majorBidi" w:cstheme="majorBidi"/>
          <w:sz w:val="24"/>
          <w:szCs w:val="24"/>
        </w:rPr>
        <w:t xml:space="preserve">, przy </w:t>
      </w:r>
      <w:r w:rsidR="00E76EB3" w:rsidRPr="00DB6087">
        <w:rPr>
          <w:rFonts w:asciiTheme="majorBidi" w:hAnsiTheme="majorBidi" w:cstheme="majorBidi"/>
          <w:sz w:val="24"/>
          <w:szCs w:val="24"/>
        </w:rPr>
        <w:t>malejących</w:t>
      </w:r>
      <w:r w:rsidR="001A6E9B"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CD7F2F" w:rsidRPr="00DB6087">
        <w:rPr>
          <w:rFonts w:asciiTheme="majorBidi" w:hAnsiTheme="majorBidi" w:cstheme="majorBidi"/>
          <w:sz w:val="24"/>
          <w:szCs w:val="24"/>
        </w:rPr>
        <w:t>inwestycjach</w:t>
      </w:r>
      <w:r w:rsidR="001A6E9B" w:rsidRPr="00DB6087">
        <w:rPr>
          <w:rFonts w:asciiTheme="majorBidi" w:hAnsiTheme="majorBidi" w:cstheme="majorBidi"/>
          <w:sz w:val="24"/>
          <w:szCs w:val="24"/>
        </w:rPr>
        <w:t>, konkurencyjności</w:t>
      </w:r>
      <w:r w:rsidR="00CD7F2F" w:rsidRPr="00DB6087">
        <w:rPr>
          <w:rFonts w:asciiTheme="majorBidi" w:hAnsiTheme="majorBidi" w:cstheme="majorBidi"/>
          <w:sz w:val="24"/>
          <w:szCs w:val="24"/>
        </w:rPr>
        <w:t xml:space="preserve"> przedsiębiorstw</w:t>
      </w:r>
      <w:r w:rsidR="001A6E9B"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E76EB3" w:rsidRPr="00DB6087">
        <w:rPr>
          <w:rFonts w:asciiTheme="majorBidi" w:hAnsiTheme="majorBidi" w:cstheme="majorBidi"/>
          <w:sz w:val="24"/>
          <w:szCs w:val="24"/>
        </w:rPr>
        <w:t>i</w:t>
      </w:r>
      <w:r w:rsidR="001A6E9B" w:rsidRPr="00DB6087">
        <w:rPr>
          <w:rFonts w:asciiTheme="majorBidi" w:hAnsiTheme="majorBidi" w:cstheme="majorBidi"/>
          <w:sz w:val="24"/>
          <w:szCs w:val="24"/>
        </w:rPr>
        <w:t xml:space="preserve"> bezpieczeństw</w:t>
      </w:r>
      <w:r w:rsidR="00CD7F2F" w:rsidRPr="00DB6087">
        <w:rPr>
          <w:rFonts w:asciiTheme="majorBidi" w:hAnsiTheme="majorBidi" w:cstheme="majorBidi"/>
          <w:sz w:val="24"/>
          <w:szCs w:val="24"/>
        </w:rPr>
        <w:t>ie ekonomicznym</w:t>
      </w:r>
      <w:r w:rsidR="001A6E9B" w:rsidRPr="00DB6087">
        <w:rPr>
          <w:rFonts w:asciiTheme="majorBidi" w:hAnsiTheme="majorBidi" w:cstheme="majorBidi"/>
          <w:sz w:val="24"/>
          <w:szCs w:val="24"/>
        </w:rPr>
        <w:t>.</w:t>
      </w:r>
    </w:p>
    <w:p w14:paraId="10AA6D6F" w14:textId="77777777" w:rsidR="00D84A34" w:rsidRPr="00DB6087" w:rsidRDefault="00D84A34" w:rsidP="00241D80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7534E8E1" w14:textId="77777777" w:rsidR="001A6E9B" w:rsidRDefault="001A6E9B" w:rsidP="00241D80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Theme="majorBidi" w:hAnsiTheme="majorBidi" w:cstheme="majorBidi"/>
          <w:b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Pr="00DB6087">
        <w:rPr>
          <w:rFonts w:asciiTheme="majorBidi" w:hAnsiTheme="majorBidi" w:cstheme="majorBidi"/>
          <w:b/>
          <w:sz w:val="24"/>
          <w:szCs w:val="24"/>
        </w:rPr>
        <w:t xml:space="preserve">Analiza wybranych wskaźników makroekonomicznych </w:t>
      </w:r>
    </w:p>
    <w:p w14:paraId="09D6EA5D" w14:textId="77777777" w:rsidR="00241D80" w:rsidRPr="00DB6087" w:rsidRDefault="00241D80" w:rsidP="00241D80">
      <w:pPr>
        <w:pStyle w:val="Akapitzlist"/>
        <w:spacing w:after="0" w:line="24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14E9B78C" w14:textId="77777777" w:rsidR="00D84A34" w:rsidRDefault="001A6E9B" w:rsidP="00241D80">
      <w:pPr>
        <w:spacing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>Badanie obejmuje gospodarki w państwach, które przyjęły walutę euro po 2007</w:t>
      </w:r>
      <w:r w:rsidR="00EF75FA" w:rsidRPr="00DB6087">
        <w:rPr>
          <w:rFonts w:asciiTheme="majorBidi" w:hAnsiTheme="majorBidi" w:cstheme="majorBidi"/>
          <w:sz w:val="24"/>
          <w:szCs w:val="24"/>
        </w:rPr>
        <w:t xml:space="preserve"> roku</w:t>
      </w:r>
      <w:r w:rsidRPr="00DB6087">
        <w:rPr>
          <w:rFonts w:asciiTheme="majorBidi" w:hAnsiTheme="majorBidi" w:cstheme="majorBidi"/>
          <w:sz w:val="24"/>
          <w:szCs w:val="24"/>
        </w:rPr>
        <w:t xml:space="preserve">. Należą do nich Słowenia </w:t>
      </w:r>
      <w:r w:rsidR="00EF75FA" w:rsidRPr="00DB6087">
        <w:rPr>
          <w:rFonts w:asciiTheme="majorBidi" w:hAnsiTheme="majorBidi" w:cstheme="majorBidi"/>
          <w:sz w:val="24"/>
          <w:szCs w:val="24"/>
        </w:rPr>
        <w:t>(</w:t>
      </w:r>
      <w:r w:rsidRPr="00DB6087">
        <w:rPr>
          <w:rFonts w:asciiTheme="majorBidi" w:hAnsiTheme="majorBidi" w:cstheme="majorBidi"/>
          <w:sz w:val="24"/>
          <w:szCs w:val="24"/>
        </w:rPr>
        <w:t>od 2007 r</w:t>
      </w:r>
      <w:r w:rsidR="00EF75FA" w:rsidRPr="00DB6087">
        <w:rPr>
          <w:rFonts w:asciiTheme="majorBidi" w:hAnsiTheme="majorBidi" w:cstheme="majorBidi"/>
          <w:sz w:val="24"/>
          <w:szCs w:val="24"/>
        </w:rPr>
        <w:t>oku),</w:t>
      </w:r>
      <w:r w:rsidRPr="00DB6087">
        <w:rPr>
          <w:rFonts w:asciiTheme="majorBidi" w:hAnsiTheme="majorBidi" w:cstheme="majorBidi"/>
          <w:sz w:val="24"/>
          <w:szCs w:val="24"/>
        </w:rPr>
        <w:t xml:space="preserve"> Cypr, Malta </w:t>
      </w:r>
      <w:r w:rsidR="00EF75FA" w:rsidRPr="00DB6087">
        <w:rPr>
          <w:rFonts w:asciiTheme="majorBidi" w:hAnsiTheme="majorBidi" w:cstheme="majorBidi"/>
          <w:sz w:val="24"/>
          <w:szCs w:val="24"/>
        </w:rPr>
        <w:t>(</w:t>
      </w:r>
      <w:r w:rsidRPr="00DB6087">
        <w:rPr>
          <w:rFonts w:asciiTheme="majorBidi" w:hAnsiTheme="majorBidi" w:cstheme="majorBidi"/>
          <w:sz w:val="24"/>
          <w:szCs w:val="24"/>
        </w:rPr>
        <w:t>od 2008 r</w:t>
      </w:r>
      <w:r w:rsidR="00EF75FA" w:rsidRPr="00DB6087">
        <w:rPr>
          <w:rFonts w:asciiTheme="majorBidi" w:hAnsiTheme="majorBidi" w:cstheme="majorBidi"/>
          <w:sz w:val="24"/>
          <w:szCs w:val="24"/>
        </w:rPr>
        <w:t>oku),</w:t>
      </w:r>
      <w:r w:rsidRPr="00DB6087">
        <w:rPr>
          <w:rFonts w:asciiTheme="majorBidi" w:hAnsiTheme="majorBidi" w:cstheme="majorBidi"/>
          <w:sz w:val="24"/>
          <w:szCs w:val="24"/>
        </w:rPr>
        <w:t xml:space="preserve"> Słowacja </w:t>
      </w:r>
      <w:r w:rsidR="00EF75FA" w:rsidRPr="00DB6087">
        <w:rPr>
          <w:rFonts w:asciiTheme="majorBidi" w:hAnsiTheme="majorBidi" w:cstheme="majorBidi"/>
          <w:sz w:val="24"/>
          <w:szCs w:val="24"/>
        </w:rPr>
        <w:t>(</w:t>
      </w:r>
      <w:r w:rsidRPr="00DB6087">
        <w:rPr>
          <w:rFonts w:asciiTheme="majorBidi" w:hAnsiTheme="majorBidi" w:cstheme="majorBidi"/>
          <w:sz w:val="24"/>
          <w:szCs w:val="24"/>
        </w:rPr>
        <w:t>od 2009 r</w:t>
      </w:r>
      <w:r w:rsidR="00EF75FA" w:rsidRPr="00DB6087">
        <w:rPr>
          <w:rFonts w:asciiTheme="majorBidi" w:hAnsiTheme="majorBidi" w:cstheme="majorBidi"/>
          <w:sz w:val="24"/>
          <w:szCs w:val="24"/>
        </w:rPr>
        <w:t>oku),</w:t>
      </w:r>
      <w:r w:rsidRPr="00DB6087">
        <w:rPr>
          <w:rFonts w:asciiTheme="majorBidi" w:hAnsiTheme="majorBidi" w:cstheme="majorBidi"/>
          <w:sz w:val="24"/>
          <w:szCs w:val="24"/>
        </w:rPr>
        <w:t xml:space="preserve"> Estonia </w:t>
      </w:r>
      <w:r w:rsidR="00EF75FA" w:rsidRPr="00DB6087">
        <w:rPr>
          <w:rFonts w:asciiTheme="majorBidi" w:hAnsiTheme="majorBidi" w:cstheme="majorBidi"/>
          <w:sz w:val="24"/>
          <w:szCs w:val="24"/>
        </w:rPr>
        <w:t>(</w:t>
      </w:r>
      <w:r w:rsidRPr="00DB6087">
        <w:rPr>
          <w:rFonts w:asciiTheme="majorBidi" w:hAnsiTheme="majorBidi" w:cstheme="majorBidi"/>
          <w:sz w:val="24"/>
          <w:szCs w:val="24"/>
        </w:rPr>
        <w:t>od 2011 r</w:t>
      </w:r>
      <w:r w:rsidR="00EF75FA" w:rsidRPr="00DB6087">
        <w:rPr>
          <w:rFonts w:asciiTheme="majorBidi" w:hAnsiTheme="majorBidi" w:cstheme="majorBidi"/>
          <w:sz w:val="24"/>
          <w:szCs w:val="24"/>
        </w:rPr>
        <w:t>oku) i Łotwę (od 2014 roku).</w:t>
      </w:r>
      <w:r w:rsidRPr="00DB6087">
        <w:rPr>
          <w:rFonts w:asciiTheme="majorBidi" w:hAnsiTheme="majorBidi" w:cstheme="majorBidi"/>
          <w:sz w:val="24"/>
          <w:szCs w:val="24"/>
        </w:rPr>
        <w:t xml:space="preserve"> W celach porównawczych zaprezentowano dane </w:t>
      </w:r>
      <w:r w:rsidR="00EF75FA" w:rsidRPr="00DB6087">
        <w:rPr>
          <w:rFonts w:asciiTheme="majorBidi" w:hAnsiTheme="majorBidi" w:cstheme="majorBidi"/>
          <w:sz w:val="24"/>
          <w:szCs w:val="24"/>
        </w:rPr>
        <w:t>Polski</w:t>
      </w:r>
      <w:r w:rsidRPr="00DB6087">
        <w:rPr>
          <w:rFonts w:asciiTheme="majorBidi" w:hAnsiTheme="majorBidi" w:cstheme="majorBidi"/>
          <w:sz w:val="24"/>
          <w:szCs w:val="24"/>
        </w:rPr>
        <w:t xml:space="preserve">, </w:t>
      </w:r>
      <w:r w:rsidR="00EF75FA" w:rsidRPr="00DB6087">
        <w:rPr>
          <w:rFonts w:asciiTheme="majorBidi" w:hAnsiTheme="majorBidi" w:cstheme="majorBidi"/>
          <w:sz w:val="24"/>
          <w:szCs w:val="24"/>
        </w:rPr>
        <w:t>jako kraju dążącego do wprowadzenia</w:t>
      </w:r>
      <w:r w:rsidRPr="00DB6087">
        <w:rPr>
          <w:rFonts w:asciiTheme="majorBidi" w:hAnsiTheme="majorBidi" w:cstheme="majorBidi"/>
          <w:sz w:val="24"/>
          <w:szCs w:val="24"/>
        </w:rPr>
        <w:t xml:space="preserve"> walut</w:t>
      </w:r>
      <w:r w:rsidR="00EF75FA" w:rsidRPr="00DB6087">
        <w:rPr>
          <w:rFonts w:asciiTheme="majorBidi" w:hAnsiTheme="majorBidi" w:cstheme="majorBidi"/>
          <w:sz w:val="24"/>
          <w:szCs w:val="24"/>
        </w:rPr>
        <w:t>y</w:t>
      </w:r>
      <w:r w:rsidRPr="00DB6087">
        <w:rPr>
          <w:rFonts w:asciiTheme="majorBidi" w:hAnsiTheme="majorBidi" w:cstheme="majorBidi"/>
          <w:sz w:val="24"/>
          <w:szCs w:val="24"/>
        </w:rPr>
        <w:t xml:space="preserve"> euro. W analizie porównawczej uwzględniono </w:t>
      </w:r>
      <w:r w:rsidR="00EF75FA" w:rsidRPr="00DB6087">
        <w:rPr>
          <w:rFonts w:asciiTheme="majorBidi" w:hAnsiTheme="majorBidi" w:cstheme="majorBidi"/>
          <w:sz w:val="24"/>
          <w:szCs w:val="24"/>
        </w:rPr>
        <w:t>następujące w</w:t>
      </w:r>
      <w:r w:rsidRPr="00DB6087">
        <w:rPr>
          <w:rFonts w:asciiTheme="majorBidi" w:hAnsiTheme="majorBidi" w:cstheme="majorBidi"/>
          <w:sz w:val="24"/>
          <w:szCs w:val="24"/>
        </w:rPr>
        <w:t>skaźniki m</w:t>
      </w:r>
      <w:r w:rsidR="00EF75FA" w:rsidRPr="00DB6087">
        <w:rPr>
          <w:rFonts w:asciiTheme="majorBidi" w:hAnsiTheme="majorBidi" w:cstheme="majorBidi"/>
          <w:sz w:val="24"/>
          <w:szCs w:val="24"/>
        </w:rPr>
        <w:t xml:space="preserve">akroekonomiczne: wskaźnik wzrostu </w:t>
      </w:r>
      <w:r w:rsidRPr="00DB6087">
        <w:rPr>
          <w:rFonts w:asciiTheme="majorBidi" w:hAnsiTheme="majorBidi" w:cstheme="majorBidi"/>
          <w:sz w:val="24"/>
          <w:szCs w:val="24"/>
        </w:rPr>
        <w:t>PKB,</w:t>
      </w:r>
      <w:r w:rsidR="00EF75FA" w:rsidRPr="00DB6087">
        <w:rPr>
          <w:rFonts w:asciiTheme="majorBidi" w:hAnsiTheme="majorBidi" w:cstheme="majorBidi"/>
          <w:sz w:val="24"/>
          <w:szCs w:val="24"/>
        </w:rPr>
        <w:t xml:space="preserve"> średnioroczną</w:t>
      </w:r>
      <w:r w:rsidRPr="00DB6087">
        <w:rPr>
          <w:rFonts w:asciiTheme="majorBidi" w:hAnsiTheme="majorBidi" w:cstheme="majorBidi"/>
          <w:sz w:val="24"/>
          <w:szCs w:val="24"/>
        </w:rPr>
        <w:t xml:space="preserve"> stopę inflacji</w:t>
      </w:r>
      <w:r w:rsidR="00EF75FA" w:rsidRPr="00DB6087">
        <w:rPr>
          <w:rFonts w:asciiTheme="majorBidi" w:hAnsiTheme="majorBidi" w:cstheme="majorBidi"/>
          <w:sz w:val="24"/>
          <w:szCs w:val="24"/>
        </w:rPr>
        <w:t xml:space="preserve"> oraz</w:t>
      </w:r>
      <w:r w:rsidRPr="00DB6087">
        <w:rPr>
          <w:rFonts w:asciiTheme="majorBidi" w:hAnsiTheme="majorBidi" w:cstheme="majorBidi"/>
          <w:sz w:val="24"/>
          <w:szCs w:val="24"/>
        </w:rPr>
        <w:t xml:space="preserve"> wsk</w:t>
      </w:r>
      <w:r w:rsidR="00EF75FA" w:rsidRPr="00DB6087">
        <w:rPr>
          <w:rFonts w:asciiTheme="majorBidi" w:hAnsiTheme="majorBidi" w:cstheme="majorBidi"/>
          <w:sz w:val="24"/>
          <w:szCs w:val="24"/>
        </w:rPr>
        <w:t xml:space="preserve">aźniki bezrobocia i zatrudnienia. </w:t>
      </w:r>
      <w:r w:rsidRPr="00DB6087">
        <w:rPr>
          <w:rFonts w:asciiTheme="majorBidi" w:hAnsiTheme="majorBidi" w:cstheme="majorBidi"/>
          <w:sz w:val="24"/>
          <w:szCs w:val="24"/>
        </w:rPr>
        <w:t>Wszystkie dane pozyskano z oficjalnych stron Eurostat [</w:t>
      </w:r>
      <w:hyperlink r:id="rId9" w:history="1">
        <w:r w:rsidRPr="00DB6087">
          <w:rPr>
            <w:rStyle w:val="Hipercze"/>
            <w:rFonts w:asciiTheme="majorBidi" w:hAnsiTheme="majorBidi" w:cstheme="majorBidi"/>
            <w:color w:val="auto"/>
            <w:sz w:val="24"/>
            <w:szCs w:val="24"/>
            <w:u w:val="none"/>
          </w:rPr>
          <w:t>http://epp.eurostat.ec.europa.eu/</w:t>
        </w:r>
      </w:hyperlink>
      <w:r w:rsidRPr="00DB6087">
        <w:rPr>
          <w:rStyle w:val="Hipercze"/>
          <w:rFonts w:asciiTheme="majorBidi" w:hAnsiTheme="majorBidi" w:cstheme="majorBidi"/>
          <w:color w:val="auto"/>
          <w:sz w:val="24"/>
          <w:szCs w:val="24"/>
          <w:u w:val="none"/>
        </w:rPr>
        <w:t>]</w:t>
      </w:r>
      <w:r w:rsidRPr="00DB6087">
        <w:rPr>
          <w:rFonts w:asciiTheme="majorBidi" w:hAnsiTheme="majorBidi" w:cstheme="majorBidi"/>
          <w:sz w:val="24"/>
          <w:szCs w:val="24"/>
        </w:rPr>
        <w:t xml:space="preserve">. </w:t>
      </w:r>
      <w:r w:rsidR="00EF75FA" w:rsidRPr="00DB6087">
        <w:rPr>
          <w:rFonts w:asciiTheme="majorBidi" w:hAnsiTheme="majorBidi" w:cstheme="majorBidi"/>
          <w:sz w:val="24"/>
          <w:szCs w:val="24"/>
        </w:rPr>
        <w:t>Dane źródłowe dotyczyły okresu od 2004 do 2015 roku i obejmowały okres przed i po wejściu danego kraju do strefy euro.</w:t>
      </w:r>
    </w:p>
    <w:p w14:paraId="65332D74" w14:textId="77777777" w:rsidR="00241D80" w:rsidRPr="00DB6087" w:rsidRDefault="00241D80" w:rsidP="00241D80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7763B2CC" w14:textId="77777777" w:rsidR="001A6E9B" w:rsidRDefault="001A6E9B" w:rsidP="00241D80">
      <w:pPr>
        <w:pStyle w:val="Akapitzlist"/>
        <w:numPr>
          <w:ilvl w:val="1"/>
          <w:numId w:val="1"/>
        </w:numPr>
        <w:spacing w:after="0" w:line="240" w:lineRule="auto"/>
        <w:ind w:left="0" w:firstLine="0"/>
        <w:rPr>
          <w:rFonts w:asciiTheme="majorBidi" w:hAnsiTheme="majorBidi" w:cstheme="majorBidi"/>
          <w:b/>
          <w:sz w:val="24"/>
          <w:szCs w:val="24"/>
        </w:rPr>
      </w:pPr>
      <w:r w:rsidRPr="00DB6087">
        <w:rPr>
          <w:rFonts w:asciiTheme="majorBidi" w:hAnsiTheme="majorBidi" w:cstheme="majorBidi"/>
          <w:b/>
          <w:sz w:val="24"/>
          <w:szCs w:val="24"/>
        </w:rPr>
        <w:lastRenderedPageBreak/>
        <w:t>Analiza</w:t>
      </w:r>
      <w:r w:rsidR="006A1ADB" w:rsidRPr="00DB6087">
        <w:rPr>
          <w:rFonts w:asciiTheme="majorBidi" w:hAnsiTheme="majorBidi" w:cstheme="majorBidi"/>
          <w:b/>
          <w:sz w:val="24"/>
          <w:szCs w:val="24"/>
        </w:rPr>
        <w:t xml:space="preserve"> podstawowych</w:t>
      </w:r>
      <w:r w:rsidRPr="00DB6087">
        <w:rPr>
          <w:rFonts w:asciiTheme="majorBidi" w:hAnsiTheme="majorBidi" w:cstheme="majorBidi"/>
          <w:b/>
          <w:sz w:val="24"/>
          <w:szCs w:val="24"/>
        </w:rPr>
        <w:t xml:space="preserve"> wskaźników</w:t>
      </w:r>
      <w:r w:rsidR="00A10258" w:rsidRPr="00DB6087">
        <w:rPr>
          <w:rFonts w:asciiTheme="majorBidi" w:hAnsiTheme="majorBidi" w:cstheme="majorBidi"/>
          <w:b/>
          <w:sz w:val="24"/>
          <w:szCs w:val="24"/>
        </w:rPr>
        <w:t xml:space="preserve"> makroekonomicznych</w:t>
      </w:r>
      <w:r w:rsidR="006A1ADB" w:rsidRPr="00DB608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A10258" w:rsidRPr="00DB6087">
        <w:rPr>
          <w:rFonts w:asciiTheme="majorBidi" w:hAnsiTheme="majorBidi" w:cstheme="majorBidi"/>
          <w:b/>
          <w:sz w:val="24"/>
          <w:szCs w:val="24"/>
        </w:rPr>
        <w:t>badanych krajów</w:t>
      </w:r>
    </w:p>
    <w:p w14:paraId="46CF3F62" w14:textId="77777777" w:rsidR="00241D80" w:rsidRPr="00DB6087" w:rsidRDefault="00241D80" w:rsidP="00241D80">
      <w:pPr>
        <w:pStyle w:val="Akapitzlist"/>
        <w:spacing w:after="0" w:line="24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17BF756F" w14:textId="77777777" w:rsidR="001E3C64" w:rsidRPr="00DB6087" w:rsidRDefault="001A6E9B" w:rsidP="00D84A34">
      <w:pPr>
        <w:spacing w:after="0" w:line="240" w:lineRule="auto"/>
        <w:ind w:firstLine="708"/>
        <w:jc w:val="both"/>
        <w:rPr>
          <w:rFonts w:asciiTheme="majorBidi" w:hAnsiTheme="majorBidi" w:cstheme="majorBidi"/>
          <w:noProof/>
          <w:sz w:val="24"/>
          <w:szCs w:val="24"/>
          <w:lang w:eastAsia="pl-PL"/>
        </w:rPr>
      </w:pPr>
      <w:r w:rsidRPr="00DB6087">
        <w:rPr>
          <w:rFonts w:asciiTheme="majorBidi" w:hAnsiTheme="majorBidi" w:cstheme="majorBidi"/>
          <w:sz w:val="24"/>
          <w:szCs w:val="24"/>
        </w:rPr>
        <w:t xml:space="preserve">Pierwszym wskaźnikiem poddanym analizie jest </w:t>
      </w:r>
      <w:r w:rsidR="00A10258" w:rsidRPr="00DB6087">
        <w:rPr>
          <w:rFonts w:asciiTheme="majorBidi" w:hAnsiTheme="majorBidi" w:cstheme="majorBidi"/>
          <w:sz w:val="24"/>
          <w:szCs w:val="24"/>
        </w:rPr>
        <w:t xml:space="preserve">stopa przyrostu rocznego </w:t>
      </w:r>
      <w:r w:rsidRPr="00DB6087">
        <w:rPr>
          <w:rFonts w:asciiTheme="majorBidi" w:hAnsiTheme="majorBidi" w:cstheme="majorBidi"/>
          <w:sz w:val="24"/>
          <w:szCs w:val="24"/>
        </w:rPr>
        <w:t>PKB</w:t>
      </w:r>
      <w:r w:rsidR="004A4E3D">
        <w:rPr>
          <w:rFonts w:asciiTheme="majorBidi" w:hAnsiTheme="majorBidi" w:cstheme="majorBidi"/>
          <w:sz w:val="24"/>
          <w:szCs w:val="24"/>
        </w:rPr>
        <w:t xml:space="preserve"> w </w:t>
      </w:r>
      <w:r w:rsidR="00305183" w:rsidRPr="00DB6087">
        <w:rPr>
          <w:rFonts w:asciiTheme="majorBidi" w:hAnsiTheme="majorBidi" w:cstheme="majorBidi"/>
          <w:sz w:val="24"/>
          <w:szCs w:val="24"/>
        </w:rPr>
        <w:t>badanej grupie krajów</w:t>
      </w:r>
      <w:r w:rsidR="001E3C64" w:rsidRPr="00DB6087">
        <w:rPr>
          <w:rFonts w:asciiTheme="majorBidi" w:hAnsiTheme="majorBidi" w:cstheme="majorBidi"/>
          <w:sz w:val="24"/>
          <w:szCs w:val="24"/>
        </w:rPr>
        <w:t>.</w:t>
      </w:r>
      <w:r w:rsidR="001E3C64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 W tabeli 1 kolorem szarym zaznaczono ujemne tempo zmian PKB. Kolorem zielonym najwyższe dodatnie tempo zmian PKB w danym roku, natomiast kolorem niebieskim najniższe dodatnie tempo przyrostu PKB w danym roku.</w:t>
      </w:r>
    </w:p>
    <w:p w14:paraId="2708ED35" w14:textId="77777777" w:rsidR="00305183" w:rsidRPr="00DB6087" w:rsidRDefault="00305183" w:rsidP="00241D80">
      <w:pPr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  <w:lang w:eastAsia="pl-PL"/>
        </w:rPr>
      </w:pPr>
    </w:p>
    <w:p w14:paraId="1C80C17B" w14:textId="77777777" w:rsidR="001A6E9B" w:rsidRPr="00405762" w:rsidRDefault="001A6E9B" w:rsidP="0074660C">
      <w:pPr>
        <w:spacing w:line="240" w:lineRule="auto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405762">
        <w:rPr>
          <w:rFonts w:asciiTheme="majorBidi" w:hAnsiTheme="majorBidi" w:cstheme="majorBidi"/>
          <w:bCs/>
          <w:sz w:val="20"/>
          <w:szCs w:val="20"/>
        </w:rPr>
        <w:t>Tab</w:t>
      </w:r>
      <w:r w:rsidR="0074660C" w:rsidRPr="00405762">
        <w:rPr>
          <w:rFonts w:asciiTheme="majorBidi" w:hAnsiTheme="majorBidi" w:cstheme="majorBidi"/>
          <w:bCs/>
          <w:sz w:val="20"/>
          <w:szCs w:val="20"/>
        </w:rPr>
        <w:t>.</w:t>
      </w:r>
      <w:r w:rsidRPr="00405762">
        <w:rPr>
          <w:rFonts w:asciiTheme="majorBidi" w:hAnsiTheme="majorBidi" w:cstheme="majorBidi"/>
          <w:bCs/>
          <w:sz w:val="20"/>
          <w:szCs w:val="20"/>
        </w:rPr>
        <w:t xml:space="preserve"> 1</w:t>
      </w:r>
      <w:r w:rsidR="0074660C" w:rsidRPr="00405762">
        <w:rPr>
          <w:rFonts w:asciiTheme="majorBidi" w:hAnsiTheme="majorBidi" w:cstheme="majorBidi"/>
          <w:bCs/>
          <w:sz w:val="20"/>
          <w:szCs w:val="20"/>
        </w:rPr>
        <w:t>.</w:t>
      </w:r>
      <w:r w:rsidRPr="00405762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="002D0D0A" w:rsidRPr="00405762">
        <w:rPr>
          <w:rFonts w:asciiTheme="majorBidi" w:hAnsiTheme="majorBidi" w:cstheme="majorBidi"/>
          <w:bCs/>
          <w:sz w:val="20"/>
          <w:szCs w:val="20"/>
        </w:rPr>
        <w:t xml:space="preserve">Roczna stopa </w:t>
      </w:r>
      <w:r w:rsidR="00D733B0" w:rsidRPr="00405762">
        <w:rPr>
          <w:rFonts w:asciiTheme="majorBidi" w:hAnsiTheme="majorBidi" w:cstheme="majorBidi"/>
          <w:bCs/>
          <w:sz w:val="20"/>
          <w:szCs w:val="20"/>
        </w:rPr>
        <w:t>przyrostu</w:t>
      </w:r>
      <w:r w:rsidR="002D0D0A" w:rsidRPr="00405762">
        <w:rPr>
          <w:rFonts w:asciiTheme="majorBidi" w:hAnsiTheme="majorBidi" w:cstheme="majorBidi"/>
          <w:bCs/>
          <w:sz w:val="20"/>
          <w:szCs w:val="20"/>
        </w:rPr>
        <w:t xml:space="preserve"> PKB (w cenach rynkowych) </w:t>
      </w:r>
      <w:r w:rsidR="00F57A88" w:rsidRPr="00405762">
        <w:rPr>
          <w:rFonts w:asciiTheme="majorBidi" w:hAnsiTheme="majorBidi" w:cstheme="majorBidi"/>
          <w:bCs/>
          <w:sz w:val="20"/>
          <w:szCs w:val="20"/>
        </w:rPr>
        <w:t xml:space="preserve">krajów przyjmujących </w:t>
      </w:r>
      <w:r w:rsidRPr="00405762">
        <w:rPr>
          <w:rFonts w:asciiTheme="majorBidi" w:hAnsiTheme="majorBidi" w:cstheme="majorBidi"/>
          <w:bCs/>
          <w:sz w:val="20"/>
          <w:szCs w:val="20"/>
        </w:rPr>
        <w:t xml:space="preserve">walutę </w:t>
      </w:r>
      <w:r w:rsidR="00AC265B" w:rsidRPr="00405762">
        <w:rPr>
          <w:rFonts w:asciiTheme="majorBidi" w:hAnsiTheme="majorBidi" w:cstheme="majorBidi"/>
          <w:bCs/>
          <w:sz w:val="20"/>
          <w:szCs w:val="20"/>
        </w:rPr>
        <w:t>e</w:t>
      </w:r>
      <w:r w:rsidRPr="00405762">
        <w:rPr>
          <w:rFonts w:asciiTheme="majorBidi" w:hAnsiTheme="majorBidi" w:cstheme="majorBidi"/>
          <w:bCs/>
          <w:sz w:val="20"/>
          <w:szCs w:val="20"/>
        </w:rPr>
        <w:t>uro w latach 200</w:t>
      </w:r>
      <w:r w:rsidR="001A3209" w:rsidRPr="00405762">
        <w:rPr>
          <w:rFonts w:asciiTheme="majorBidi" w:hAnsiTheme="majorBidi" w:cstheme="majorBidi"/>
          <w:bCs/>
          <w:sz w:val="20"/>
          <w:szCs w:val="20"/>
        </w:rPr>
        <w:t>4</w:t>
      </w:r>
      <w:r w:rsidRPr="00405762">
        <w:rPr>
          <w:rFonts w:asciiTheme="majorBidi" w:hAnsiTheme="majorBidi" w:cstheme="majorBidi"/>
          <w:bCs/>
          <w:sz w:val="20"/>
          <w:szCs w:val="20"/>
        </w:rPr>
        <w:t>-201</w:t>
      </w:r>
      <w:r w:rsidR="001A3209" w:rsidRPr="00405762">
        <w:rPr>
          <w:rFonts w:asciiTheme="majorBidi" w:hAnsiTheme="majorBidi" w:cstheme="majorBidi"/>
          <w:bCs/>
          <w:sz w:val="20"/>
          <w:szCs w:val="20"/>
        </w:rPr>
        <w:t>5</w:t>
      </w:r>
      <w:r w:rsidRPr="00405762">
        <w:rPr>
          <w:rFonts w:asciiTheme="majorBidi" w:hAnsiTheme="majorBidi" w:cstheme="majorBidi"/>
          <w:bCs/>
          <w:sz w:val="20"/>
          <w:szCs w:val="20"/>
        </w:rPr>
        <w:t xml:space="preserve"> (</w:t>
      </w:r>
      <w:r w:rsidR="00575944" w:rsidRPr="00405762">
        <w:rPr>
          <w:rFonts w:asciiTheme="majorBidi" w:hAnsiTheme="majorBidi" w:cstheme="majorBidi"/>
          <w:bCs/>
          <w:sz w:val="20"/>
          <w:szCs w:val="20"/>
        </w:rPr>
        <w:t xml:space="preserve">w </w:t>
      </w:r>
      <w:r w:rsidRPr="00405762">
        <w:rPr>
          <w:rFonts w:asciiTheme="majorBidi" w:hAnsiTheme="majorBidi" w:cstheme="majorBidi"/>
          <w:bCs/>
          <w:sz w:val="20"/>
          <w:szCs w:val="20"/>
        </w:rPr>
        <w:t>%</w:t>
      </w:r>
      <w:r w:rsidR="00575944" w:rsidRPr="00405762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405762">
        <w:rPr>
          <w:rFonts w:asciiTheme="majorBidi" w:hAnsiTheme="majorBidi" w:cstheme="majorBidi"/>
          <w:bCs/>
          <w:sz w:val="20"/>
          <w:szCs w:val="20"/>
        </w:rPr>
        <w:t>r/r)</w:t>
      </w: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33"/>
        <w:gridCol w:w="681"/>
        <w:gridCol w:w="681"/>
        <w:gridCol w:w="681"/>
        <w:gridCol w:w="682"/>
        <w:gridCol w:w="682"/>
        <w:gridCol w:w="682"/>
        <w:gridCol w:w="682"/>
        <w:gridCol w:w="682"/>
        <w:gridCol w:w="682"/>
        <w:gridCol w:w="682"/>
        <w:gridCol w:w="682"/>
        <w:gridCol w:w="680"/>
      </w:tblGrid>
      <w:tr w:rsidR="00405762" w:rsidRPr="00DB6087" w14:paraId="792F898E" w14:textId="77777777" w:rsidTr="00077BA8">
        <w:trPr>
          <w:trHeight w:val="2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8B3A24" w14:textId="77777777" w:rsidR="00D9128F" w:rsidRPr="00405762" w:rsidRDefault="00D9128F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KRAJ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42423C" w14:textId="77777777" w:rsidR="00D9128F" w:rsidRPr="00405762" w:rsidRDefault="00D9128F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F3B264" w14:textId="77777777" w:rsidR="00D9128F" w:rsidRPr="00405762" w:rsidRDefault="00D9128F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2005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0F81D2" w14:textId="77777777" w:rsidR="00D9128F" w:rsidRPr="00405762" w:rsidRDefault="00D9128F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2006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F41773" w14:textId="77777777" w:rsidR="00D9128F" w:rsidRPr="00405762" w:rsidRDefault="00D9128F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347F87" w14:textId="77777777" w:rsidR="00D9128F" w:rsidRPr="00405762" w:rsidRDefault="00D9128F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2008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0D3556" w14:textId="77777777" w:rsidR="00D9128F" w:rsidRPr="00405762" w:rsidRDefault="00D9128F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C3EF2C" w14:textId="77777777" w:rsidR="00D9128F" w:rsidRPr="00405762" w:rsidRDefault="00D9128F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BB370A" w14:textId="77777777" w:rsidR="00D9128F" w:rsidRPr="00405762" w:rsidRDefault="00D9128F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3B3C20" w14:textId="77777777" w:rsidR="00D9128F" w:rsidRPr="00405762" w:rsidRDefault="00D9128F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7E41A9" w14:textId="77777777" w:rsidR="00D9128F" w:rsidRPr="00405762" w:rsidRDefault="00D9128F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9C66A" w14:textId="77777777" w:rsidR="00D9128F" w:rsidRPr="00405762" w:rsidRDefault="00D9128F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D9811" w14:textId="77777777" w:rsidR="00D9128F" w:rsidRPr="00405762" w:rsidRDefault="00D9128F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2015</w:t>
            </w:r>
          </w:p>
        </w:tc>
      </w:tr>
      <w:tr w:rsidR="00CE5A2D" w:rsidRPr="00DB6087" w14:paraId="51D8D2F2" w14:textId="77777777" w:rsidTr="00405762">
        <w:trPr>
          <w:trHeight w:val="2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BD146F" w14:textId="77777777" w:rsidR="00B47ADD" w:rsidRPr="00405762" w:rsidRDefault="00B47ADD" w:rsidP="004057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Słowenia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C5A5F1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4,4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7BCA31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4,0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08AA1E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5,7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732574" w14:textId="77777777" w:rsidR="003C7C5E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6,9</w:t>
            </w:r>
            <w:r w:rsidR="00AA0288" w:rsidRPr="00405762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70A3D7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4A3AA2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-7,8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B8364A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077BC3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23E199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-2,7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928ACB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-1,1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349EA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6A61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2,9</w:t>
            </w:r>
          </w:p>
        </w:tc>
      </w:tr>
      <w:tr w:rsidR="00CE5A2D" w:rsidRPr="00DB6087" w14:paraId="171E727B" w14:textId="77777777" w:rsidTr="00405762">
        <w:trPr>
          <w:trHeight w:val="2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21613D" w14:textId="77777777" w:rsidR="00B47ADD" w:rsidRPr="00405762" w:rsidRDefault="00B47ADD" w:rsidP="004057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Cypr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9C1409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4,6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B983ED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06C8BA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4,5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4F7929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4,9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E801D1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3,7</w:t>
            </w:r>
            <w:r w:rsidR="00AA0288" w:rsidRPr="00405762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9AACA8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-2,0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E7B13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248423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EDEC7B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-2,4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962C9C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-5,9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A3550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-2,5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C1354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1,6</w:t>
            </w:r>
          </w:p>
        </w:tc>
      </w:tr>
      <w:tr w:rsidR="00CE5A2D" w:rsidRPr="00DB6087" w14:paraId="17935BD9" w14:textId="77777777" w:rsidTr="00405762">
        <w:trPr>
          <w:trHeight w:val="2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1AA0FE" w14:textId="77777777" w:rsidR="00B47ADD" w:rsidRPr="00405762" w:rsidRDefault="00B47ADD" w:rsidP="004057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Malta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9EEE9D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34DBAB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DC18C5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AF1BC0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4,0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87AF4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3,3</w:t>
            </w:r>
            <w:r w:rsidR="00AA0288" w:rsidRPr="00405762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1B32F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-2,5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E41C65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220E28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5E89A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2,8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392E25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4,1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BFEE2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DFBD8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6,3</w:t>
            </w:r>
          </w:p>
        </w:tc>
      </w:tr>
      <w:tr w:rsidR="00CE5A2D" w:rsidRPr="00DB6087" w14:paraId="64E8C93A" w14:textId="77777777" w:rsidTr="00405762">
        <w:trPr>
          <w:trHeight w:val="2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374729" w14:textId="77777777" w:rsidR="00B47ADD" w:rsidRPr="00405762" w:rsidRDefault="00B47ADD" w:rsidP="004057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Słowacja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B1B3A1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5,3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45091E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7BB7BD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8,5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44A074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10,8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CC7754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5,7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0AAEA7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-5,5</w:t>
            </w:r>
            <w:r w:rsidR="00AA0288" w:rsidRPr="00405762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DB0E0B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5,1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B67983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60754C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80D539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0EC23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FBB15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3,6</w:t>
            </w:r>
          </w:p>
        </w:tc>
      </w:tr>
      <w:tr w:rsidR="00CE5A2D" w:rsidRPr="00DB6087" w14:paraId="1E84C14C" w14:textId="77777777" w:rsidTr="00405762">
        <w:trPr>
          <w:trHeight w:val="2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CA38B" w14:textId="77777777" w:rsidR="00B47ADD" w:rsidRPr="00405762" w:rsidRDefault="00B47ADD" w:rsidP="004057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Estonia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9AE470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3A6778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9,4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A024B5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10,3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AD23D9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7,7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450B7B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-5,4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D64ABF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-14,7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FE4BCB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E6C61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7,6</w:t>
            </w:r>
            <w:r w:rsidR="00AA0288" w:rsidRPr="00405762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80C9EF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5,2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CFCA0A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6B0E9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2,9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D94DD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1,1</w:t>
            </w:r>
          </w:p>
        </w:tc>
      </w:tr>
      <w:tr w:rsidR="00CE5A2D" w:rsidRPr="00DB6087" w14:paraId="44F722B2" w14:textId="77777777" w:rsidTr="00405762">
        <w:trPr>
          <w:trHeight w:val="2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F8405F" w14:textId="77777777" w:rsidR="00B47ADD" w:rsidRPr="00405762" w:rsidRDefault="00B47ADD" w:rsidP="004057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Łotwa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CA6C73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8,3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AF8638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10,7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BCD15C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11,9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B8870C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10,0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219BEB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-3,6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6767EE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-14,3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ADBF7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-3,8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59003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929189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4,0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E63BCA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09A83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2,4</w:t>
            </w:r>
            <w:r w:rsidR="00AA0288" w:rsidRPr="00405762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45D2B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2,7</w:t>
            </w:r>
          </w:p>
        </w:tc>
      </w:tr>
      <w:tr w:rsidR="00CE5A2D" w:rsidRPr="00DB6087" w14:paraId="503BDD85" w14:textId="77777777" w:rsidTr="00405762">
        <w:trPr>
          <w:trHeight w:val="2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FAEBF7" w14:textId="77777777" w:rsidR="00B47ADD" w:rsidRPr="00405762" w:rsidRDefault="00B47ADD" w:rsidP="004057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Polska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3B52BF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5,1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2586F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675525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3A3678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7,2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48851E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279C7A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AAC039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9D249F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5,0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92C067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EC04B1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CA28A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4505C" w14:textId="77777777" w:rsidR="00B47ADD" w:rsidRPr="00405762" w:rsidRDefault="00B47ADD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3,6</w:t>
            </w:r>
          </w:p>
        </w:tc>
      </w:tr>
    </w:tbl>
    <w:p w14:paraId="23AE1A26" w14:textId="77777777" w:rsidR="005F20A6" w:rsidRPr="00405762" w:rsidRDefault="005F20A6" w:rsidP="00405762">
      <w:pPr>
        <w:spacing w:after="0" w:line="240" w:lineRule="auto"/>
        <w:contextualSpacing/>
        <w:rPr>
          <w:rFonts w:asciiTheme="majorBidi" w:hAnsiTheme="majorBidi" w:cstheme="majorBidi"/>
          <w:i/>
          <w:sz w:val="20"/>
          <w:szCs w:val="20"/>
        </w:rPr>
      </w:pPr>
      <w:r w:rsidRPr="00405762">
        <w:rPr>
          <w:rFonts w:asciiTheme="majorBidi" w:hAnsiTheme="majorBidi" w:cstheme="majorBidi"/>
          <w:i/>
          <w:sz w:val="20"/>
          <w:szCs w:val="20"/>
        </w:rPr>
        <w:t>* rok wstąpienia do Unii Gospodarczej i Walutowej</w:t>
      </w:r>
    </w:p>
    <w:p w14:paraId="692DEDAF" w14:textId="77777777" w:rsidR="001A6E9B" w:rsidRPr="00405762" w:rsidRDefault="001A6E9B" w:rsidP="00405762">
      <w:pPr>
        <w:spacing w:before="240" w:after="0" w:line="240" w:lineRule="auto"/>
        <w:ind w:firstLine="708"/>
        <w:rPr>
          <w:rFonts w:asciiTheme="majorBidi" w:hAnsiTheme="majorBidi" w:cstheme="majorBidi"/>
          <w:iCs/>
          <w:sz w:val="20"/>
          <w:szCs w:val="20"/>
        </w:rPr>
      </w:pPr>
      <w:r w:rsidRPr="00405762">
        <w:rPr>
          <w:rFonts w:asciiTheme="majorBidi" w:hAnsiTheme="majorBidi" w:cstheme="majorBidi"/>
          <w:iCs/>
          <w:sz w:val="20"/>
          <w:szCs w:val="20"/>
        </w:rPr>
        <w:t xml:space="preserve">Źródło: Opracowanie własne na podstawie danych </w:t>
      </w:r>
      <w:r w:rsidR="00637151" w:rsidRPr="00405762">
        <w:rPr>
          <w:rFonts w:asciiTheme="majorBidi" w:hAnsiTheme="majorBidi" w:cstheme="majorBidi"/>
          <w:iCs/>
          <w:sz w:val="20"/>
          <w:szCs w:val="20"/>
        </w:rPr>
        <w:t>Eurostat</w:t>
      </w:r>
      <w:r w:rsidRPr="00405762">
        <w:rPr>
          <w:rFonts w:asciiTheme="majorBidi" w:hAnsiTheme="majorBidi" w:cstheme="majorBidi"/>
          <w:iCs/>
          <w:sz w:val="20"/>
          <w:szCs w:val="20"/>
        </w:rPr>
        <w:t>.</w:t>
      </w:r>
    </w:p>
    <w:p w14:paraId="22043029" w14:textId="77777777" w:rsidR="00305183" w:rsidRPr="00DB6087" w:rsidRDefault="00305183" w:rsidP="00241D80">
      <w:pPr>
        <w:spacing w:after="0" w:line="240" w:lineRule="auto"/>
        <w:ind w:firstLine="708"/>
        <w:jc w:val="both"/>
        <w:rPr>
          <w:rFonts w:asciiTheme="majorBidi" w:hAnsiTheme="majorBidi" w:cstheme="majorBidi"/>
          <w:noProof/>
          <w:sz w:val="24"/>
          <w:szCs w:val="24"/>
          <w:lang w:eastAsia="pl-PL"/>
        </w:rPr>
      </w:pPr>
    </w:p>
    <w:p w14:paraId="15B869B7" w14:textId="77777777" w:rsidR="00273905" w:rsidRPr="00DB6087" w:rsidRDefault="001A6E9B" w:rsidP="00D84A34">
      <w:pPr>
        <w:spacing w:after="0" w:line="240" w:lineRule="auto"/>
        <w:ind w:firstLine="708"/>
        <w:jc w:val="both"/>
        <w:rPr>
          <w:rFonts w:asciiTheme="majorBidi" w:hAnsiTheme="majorBidi" w:cstheme="majorBidi"/>
          <w:noProof/>
          <w:sz w:val="24"/>
          <w:szCs w:val="24"/>
          <w:lang w:eastAsia="pl-PL"/>
        </w:rPr>
      </w:pPr>
      <w:r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Analizując</w:t>
      </w:r>
      <w:r w:rsidR="00D04541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 wskaź</w:t>
      </w:r>
      <w:r w:rsidR="00D733B0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niki przyrostu</w:t>
      </w:r>
      <w:r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 </w:t>
      </w:r>
      <w:r w:rsidR="00D733B0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PKB</w:t>
      </w:r>
      <w:r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 w latach 2004-201</w:t>
      </w:r>
      <w:r w:rsidR="00D733B0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5</w:t>
      </w:r>
      <w:r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 </w:t>
      </w:r>
      <w:r w:rsidR="00D733B0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można</w:t>
      </w:r>
      <w:r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 zaobserwować, </w:t>
      </w:r>
      <w:r w:rsidR="004A4E3D">
        <w:rPr>
          <w:rFonts w:asciiTheme="majorBidi" w:hAnsiTheme="majorBidi" w:cstheme="majorBidi"/>
          <w:noProof/>
          <w:sz w:val="24"/>
          <w:szCs w:val="24"/>
          <w:lang w:eastAsia="pl-PL"/>
        </w:rPr>
        <w:t>że w </w:t>
      </w:r>
      <w:r w:rsidR="00D733B0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roku 2009 </w:t>
      </w:r>
      <w:r w:rsidR="00D04541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nast</w:t>
      </w:r>
      <w:r w:rsidR="00273905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ą</w:t>
      </w:r>
      <w:r w:rsidR="00D733B0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pił ogólny spadek PKB we wszystkich badanych krajach, za wyjątkiem Polski. </w:t>
      </w:r>
      <w:r w:rsidR="004F39C7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Okres ten charakteryzował się </w:t>
      </w:r>
      <w:r w:rsidR="00D04541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się szczegól</w:t>
      </w:r>
      <w:r w:rsidR="004F39C7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nym nasileniem negatywnych skutów kryzysu finansowego (I fala). Warto równeż zazanaczyć, że wśród badanych krajów,</w:t>
      </w:r>
      <w:r w:rsidR="00D04541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 odnotowują</w:t>
      </w:r>
      <w:r w:rsidR="004F39C7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cych spadek PKB znalazły się wszystkie te, będące wówczas członkami strefy euro (Słowenia, Cypr, Malta i Słowacja). </w:t>
      </w:r>
      <w:r w:rsidR="00D04541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Zatem wstą</w:t>
      </w:r>
      <w:r w:rsidR="004F39C7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pienie do strefy euro</w:t>
      </w:r>
      <w:r w:rsidR="00D04541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 automatycznie</w:t>
      </w:r>
      <w:r w:rsidR="004F39C7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 nie uchroniło </w:t>
      </w:r>
      <w:r w:rsidR="00D04541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przed spadkiem aktywności gospodarczej. Należy ró</w:t>
      </w:r>
      <w:r w:rsidR="0097405E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w</w:t>
      </w:r>
      <w:r w:rsidR="00D04541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nież podkreślić, że z</w:t>
      </w:r>
      <w:r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nacznie większe spadki dochodzące do 15% </w:t>
      </w:r>
      <w:r w:rsidR="0097405E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odnotowano w 2009 roku, </w:t>
      </w:r>
      <w:r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w </w:t>
      </w:r>
      <w:r w:rsidR="0097405E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krajach</w:t>
      </w:r>
      <w:r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 nie </w:t>
      </w:r>
      <w:r w:rsidR="0097405E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posiadających wówczas waluty euro tj. Łotwa</w:t>
      </w:r>
      <w:r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 </w:t>
      </w:r>
      <w:r w:rsidR="0097405E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i</w:t>
      </w:r>
      <w:r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 Estonia. </w:t>
      </w:r>
      <w:r w:rsidR="00273905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Zatem były one narażone na silniejsze oddziaływanie warunków kryzysowych.</w:t>
      </w:r>
    </w:p>
    <w:p w14:paraId="5EBC5CA2" w14:textId="77777777" w:rsidR="00DA1F3C" w:rsidRPr="00DB6087" w:rsidRDefault="001A6E9B" w:rsidP="00D84A34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Na tym tle zdecydowanie wyróżnia się</w:t>
      </w:r>
      <w:r w:rsidR="00273905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 dynamika</w:t>
      </w:r>
      <w:r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 </w:t>
      </w:r>
      <w:r w:rsidRPr="00DB6087">
        <w:rPr>
          <w:rFonts w:asciiTheme="majorBidi" w:hAnsiTheme="majorBidi" w:cstheme="majorBidi"/>
          <w:sz w:val="24"/>
          <w:szCs w:val="24"/>
        </w:rPr>
        <w:t>PKB Polski</w:t>
      </w:r>
      <w:r w:rsidR="00273905" w:rsidRPr="00DB6087">
        <w:rPr>
          <w:rFonts w:asciiTheme="majorBidi" w:hAnsiTheme="majorBidi" w:cstheme="majorBidi"/>
          <w:sz w:val="24"/>
          <w:szCs w:val="24"/>
        </w:rPr>
        <w:t xml:space="preserve"> (europejski wyjątek)</w:t>
      </w:r>
      <w:r w:rsidR="00305183" w:rsidRPr="00DB6087">
        <w:rPr>
          <w:rFonts w:asciiTheme="majorBidi" w:hAnsiTheme="majorBidi" w:cstheme="majorBidi"/>
          <w:sz w:val="24"/>
          <w:szCs w:val="24"/>
        </w:rPr>
        <w:t>, która</w:t>
      </w:r>
      <w:r w:rsidR="00273905" w:rsidRPr="00DB6087">
        <w:rPr>
          <w:rFonts w:asciiTheme="majorBidi" w:hAnsiTheme="majorBidi" w:cstheme="majorBidi"/>
          <w:sz w:val="24"/>
          <w:szCs w:val="24"/>
        </w:rPr>
        <w:t xml:space="preserve"> w całym badanym okresie nie </w:t>
      </w:r>
      <w:r w:rsidR="00305183" w:rsidRPr="00DB6087">
        <w:rPr>
          <w:rFonts w:asciiTheme="majorBidi" w:hAnsiTheme="majorBidi" w:cstheme="majorBidi"/>
          <w:sz w:val="24"/>
          <w:szCs w:val="24"/>
        </w:rPr>
        <w:t>charakteryzowała się</w:t>
      </w:r>
      <w:r w:rsidR="00273905" w:rsidRPr="00DB6087">
        <w:rPr>
          <w:rFonts w:asciiTheme="majorBidi" w:hAnsiTheme="majorBidi" w:cstheme="majorBidi"/>
          <w:sz w:val="24"/>
          <w:szCs w:val="24"/>
        </w:rPr>
        <w:t xml:space="preserve"> ujemn</w:t>
      </w:r>
      <w:r w:rsidR="00305183" w:rsidRPr="00DB6087">
        <w:rPr>
          <w:rFonts w:asciiTheme="majorBidi" w:hAnsiTheme="majorBidi" w:cstheme="majorBidi"/>
          <w:sz w:val="24"/>
          <w:szCs w:val="24"/>
        </w:rPr>
        <w:t>ą</w:t>
      </w:r>
      <w:r w:rsidR="00273905"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305183" w:rsidRPr="00DB6087">
        <w:rPr>
          <w:rFonts w:asciiTheme="majorBidi" w:hAnsiTheme="majorBidi" w:cstheme="majorBidi"/>
          <w:sz w:val="24"/>
          <w:szCs w:val="24"/>
        </w:rPr>
        <w:t>wartością</w:t>
      </w:r>
      <w:r w:rsidR="00273905" w:rsidRPr="00DB6087">
        <w:rPr>
          <w:rFonts w:asciiTheme="majorBidi" w:hAnsiTheme="majorBidi" w:cstheme="majorBidi"/>
          <w:sz w:val="24"/>
          <w:szCs w:val="24"/>
        </w:rPr>
        <w:t xml:space="preserve">, </w:t>
      </w:r>
      <w:r w:rsidR="00305183" w:rsidRPr="00DB6087">
        <w:rPr>
          <w:rFonts w:asciiTheme="majorBidi" w:hAnsiTheme="majorBidi" w:cstheme="majorBidi"/>
          <w:sz w:val="24"/>
          <w:szCs w:val="24"/>
        </w:rPr>
        <w:t>przy czym</w:t>
      </w:r>
      <w:r w:rsidR="00273905" w:rsidRPr="00DB6087">
        <w:rPr>
          <w:rFonts w:asciiTheme="majorBidi" w:hAnsiTheme="majorBidi" w:cstheme="majorBidi"/>
          <w:sz w:val="24"/>
          <w:szCs w:val="24"/>
        </w:rPr>
        <w:t xml:space="preserve"> w</w:t>
      </w:r>
      <w:r w:rsidR="004A4E3D">
        <w:rPr>
          <w:rFonts w:asciiTheme="majorBidi" w:hAnsiTheme="majorBidi" w:cstheme="majorBidi"/>
          <w:sz w:val="24"/>
          <w:szCs w:val="24"/>
        </w:rPr>
        <w:t> </w:t>
      </w:r>
      <w:r w:rsidR="00305183" w:rsidRPr="00DB6087">
        <w:rPr>
          <w:rFonts w:asciiTheme="majorBidi" w:hAnsiTheme="majorBidi" w:cstheme="majorBidi"/>
          <w:sz w:val="24"/>
          <w:szCs w:val="24"/>
        </w:rPr>
        <w:t>krytycznym</w:t>
      </w:r>
      <w:r w:rsidR="00273905" w:rsidRPr="00DB6087">
        <w:rPr>
          <w:rFonts w:asciiTheme="majorBidi" w:hAnsiTheme="majorBidi" w:cstheme="majorBidi"/>
          <w:sz w:val="24"/>
          <w:szCs w:val="24"/>
        </w:rPr>
        <w:t xml:space="preserve"> 2009 </w:t>
      </w:r>
      <w:r w:rsidR="00305183" w:rsidRPr="00DB6087">
        <w:rPr>
          <w:rFonts w:asciiTheme="majorBidi" w:hAnsiTheme="majorBidi" w:cstheme="majorBidi"/>
          <w:sz w:val="24"/>
          <w:szCs w:val="24"/>
        </w:rPr>
        <w:t xml:space="preserve">roku </w:t>
      </w:r>
      <w:r w:rsidR="00273905" w:rsidRPr="00DB6087">
        <w:rPr>
          <w:rFonts w:asciiTheme="majorBidi" w:hAnsiTheme="majorBidi" w:cstheme="majorBidi"/>
          <w:sz w:val="24"/>
          <w:szCs w:val="24"/>
        </w:rPr>
        <w:t>był</w:t>
      </w:r>
      <w:r w:rsidR="00305183" w:rsidRPr="00DB6087">
        <w:rPr>
          <w:rFonts w:asciiTheme="majorBidi" w:hAnsiTheme="majorBidi" w:cstheme="majorBidi"/>
          <w:sz w:val="24"/>
          <w:szCs w:val="24"/>
        </w:rPr>
        <w:t>a</w:t>
      </w:r>
      <w:r w:rsidR="00273905" w:rsidRPr="00DB6087">
        <w:rPr>
          <w:rFonts w:asciiTheme="majorBidi" w:hAnsiTheme="majorBidi" w:cstheme="majorBidi"/>
          <w:sz w:val="24"/>
          <w:szCs w:val="24"/>
        </w:rPr>
        <w:t xml:space="preserve"> na poziomie 2,</w:t>
      </w:r>
      <w:r w:rsidR="00DA1F3C" w:rsidRPr="00DB6087">
        <w:rPr>
          <w:rFonts w:asciiTheme="majorBidi" w:hAnsiTheme="majorBidi" w:cstheme="majorBidi"/>
          <w:sz w:val="24"/>
          <w:szCs w:val="24"/>
        </w:rPr>
        <w:t>6</w:t>
      </w:r>
      <w:r w:rsidR="00273905" w:rsidRPr="00DB6087">
        <w:rPr>
          <w:rFonts w:asciiTheme="majorBidi" w:hAnsiTheme="majorBidi" w:cstheme="majorBidi"/>
          <w:sz w:val="24"/>
          <w:szCs w:val="24"/>
        </w:rPr>
        <w:t>%.</w:t>
      </w:r>
    </w:p>
    <w:p w14:paraId="7B3A93CE" w14:textId="77777777" w:rsidR="00D33895" w:rsidRPr="00DB6087" w:rsidRDefault="00FB0BAE" w:rsidP="00D84A34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 xml:space="preserve">Ogólnie badana grupa krajów, za wyjątkiem Malty, szybciej rozwijała się </w:t>
      </w:r>
      <w:r w:rsidR="008E001D" w:rsidRPr="00DB6087">
        <w:rPr>
          <w:rFonts w:asciiTheme="majorBidi" w:hAnsiTheme="majorBidi" w:cstheme="majorBidi"/>
          <w:sz w:val="24"/>
          <w:szCs w:val="24"/>
        </w:rPr>
        <w:t>w okresie przez 2009 rokiem</w:t>
      </w:r>
      <w:r w:rsidRPr="00DB6087">
        <w:rPr>
          <w:rFonts w:asciiTheme="majorBidi" w:hAnsiTheme="majorBidi" w:cstheme="majorBidi"/>
          <w:sz w:val="24"/>
          <w:szCs w:val="24"/>
        </w:rPr>
        <w:t xml:space="preserve">. </w:t>
      </w:r>
      <w:r w:rsidR="005B34CC" w:rsidRPr="00DB6087">
        <w:rPr>
          <w:rFonts w:asciiTheme="majorBidi" w:hAnsiTheme="majorBidi" w:cstheme="majorBidi"/>
          <w:sz w:val="24"/>
          <w:szCs w:val="24"/>
        </w:rPr>
        <w:t>Wszystkie badane kraje</w:t>
      </w:r>
      <w:r w:rsidR="00305183" w:rsidRPr="00DB6087">
        <w:rPr>
          <w:rFonts w:asciiTheme="majorBidi" w:hAnsiTheme="majorBidi" w:cstheme="majorBidi"/>
          <w:sz w:val="24"/>
          <w:szCs w:val="24"/>
        </w:rPr>
        <w:t>,</w:t>
      </w:r>
      <w:r w:rsidR="005B34CC" w:rsidRPr="00DB6087">
        <w:rPr>
          <w:rFonts w:asciiTheme="majorBidi" w:hAnsiTheme="majorBidi" w:cstheme="majorBidi"/>
          <w:sz w:val="24"/>
          <w:szCs w:val="24"/>
        </w:rPr>
        <w:t xml:space="preserve"> oprócz Polski, charakteryzują się niższym potencjałem i zróżnicowaniem struktury gospodar</w:t>
      </w:r>
      <w:r w:rsidR="008E001D" w:rsidRPr="00DB6087">
        <w:rPr>
          <w:rFonts w:asciiTheme="majorBidi" w:hAnsiTheme="majorBidi" w:cstheme="majorBidi"/>
          <w:sz w:val="24"/>
          <w:szCs w:val="24"/>
        </w:rPr>
        <w:t>czej, co w naturalny sposób zwię</w:t>
      </w:r>
      <w:r w:rsidR="005B34CC" w:rsidRPr="00DB6087">
        <w:rPr>
          <w:rFonts w:asciiTheme="majorBidi" w:hAnsiTheme="majorBidi" w:cstheme="majorBidi"/>
          <w:sz w:val="24"/>
          <w:szCs w:val="24"/>
        </w:rPr>
        <w:t>ksza ich ekspozycję na</w:t>
      </w:r>
      <w:r w:rsidR="00944AF7" w:rsidRPr="00DB6087">
        <w:rPr>
          <w:rFonts w:asciiTheme="majorBidi" w:hAnsiTheme="majorBidi" w:cstheme="majorBidi"/>
          <w:sz w:val="24"/>
          <w:szCs w:val="24"/>
        </w:rPr>
        <w:t xml:space="preserve"> możliwe</w:t>
      </w:r>
      <w:r w:rsidR="005B34CC"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8E001D" w:rsidRPr="00DB6087">
        <w:rPr>
          <w:rFonts w:asciiTheme="majorBidi" w:hAnsiTheme="majorBidi" w:cstheme="majorBidi"/>
          <w:sz w:val="24"/>
          <w:szCs w:val="24"/>
        </w:rPr>
        <w:t xml:space="preserve">oddziaływanie skutków </w:t>
      </w:r>
      <w:r w:rsidR="00944AF7" w:rsidRPr="00DB6087">
        <w:rPr>
          <w:rFonts w:asciiTheme="majorBidi" w:hAnsiTheme="majorBidi" w:cstheme="majorBidi"/>
          <w:sz w:val="24"/>
          <w:szCs w:val="24"/>
        </w:rPr>
        <w:t>szoków zewnętrznych</w:t>
      </w:r>
      <w:r w:rsidR="008E001D" w:rsidRPr="00DB6087">
        <w:rPr>
          <w:rFonts w:asciiTheme="majorBidi" w:hAnsiTheme="majorBidi" w:cstheme="majorBidi"/>
          <w:sz w:val="24"/>
          <w:szCs w:val="24"/>
        </w:rPr>
        <w:t xml:space="preserve">. Przejawem tego </w:t>
      </w:r>
      <w:r w:rsidR="00944AF7" w:rsidRPr="00DB6087">
        <w:rPr>
          <w:rFonts w:asciiTheme="majorBidi" w:hAnsiTheme="majorBidi" w:cstheme="majorBidi"/>
          <w:sz w:val="24"/>
          <w:szCs w:val="24"/>
        </w:rPr>
        <w:t>jest</w:t>
      </w:r>
      <w:r w:rsidR="008E001D" w:rsidRPr="00DB6087">
        <w:rPr>
          <w:rFonts w:asciiTheme="majorBidi" w:hAnsiTheme="majorBidi" w:cstheme="majorBidi"/>
          <w:sz w:val="24"/>
          <w:szCs w:val="24"/>
        </w:rPr>
        <w:t xml:space="preserve"> większa</w:t>
      </w:r>
      <w:r w:rsidR="009D53EB" w:rsidRPr="00DB6087">
        <w:rPr>
          <w:rFonts w:asciiTheme="majorBidi" w:hAnsiTheme="majorBidi" w:cstheme="majorBidi"/>
          <w:sz w:val="24"/>
          <w:szCs w:val="24"/>
        </w:rPr>
        <w:t>,</w:t>
      </w:r>
      <w:r w:rsidR="008E001D" w:rsidRPr="00DB6087">
        <w:rPr>
          <w:rFonts w:asciiTheme="majorBidi" w:hAnsiTheme="majorBidi" w:cstheme="majorBidi"/>
          <w:sz w:val="24"/>
          <w:szCs w:val="24"/>
        </w:rPr>
        <w:t xml:space="preserve"> niż w odniesieniu do Polski</w:t>
      </w:r>
      <w:r w:rsidR="009D53EB" w:rsidRPr="00DB6087">
        <w:rPr>
          <w:rFonts w:asciiTheme="majorBidi" w:hAnsiTheme="majorBidi" w:cstheme="majorBidi"/>
          <w:sz w:val="24"/>
          <w:szCs w:val="24"/>
        </w:rPr>
        <w:t>,</w:t>
      </w:r>
      <w:r w:rsidR="008E001D" w:rsidRPr="00DB6087">
        <w:rPr>
          <w:rFonts w:asciiTheme="majorBidi" w:hAnsiTheme="majorBidi" w:cstheme="majorBidi"/>
          <w:sz w:val="24"/>
          <w:szCs w:val="24"/>
        </w:rPr>
        <w:t xml:space="preserve"> zmienność dynamiki PKB tych krajów. Oznacza to zarówno wyst</w:t>
      </w:r>
      <w:r w:rsidR="007F1657" w:rsidRPr="00DB6087">
        <w:rPr>
          <w:rFonts w:asciiTheme="majorBidi" w:hAnsiTheme="majorBidi" w:cstheme="majorBidi"/>
          <w:sz w:val="24"/>
          <w:szCs w:val="24"/>
        </w:rPr>
        <w:t>ępowanie</w:t>
      </w:r>
      <w:r w:rsidR="008E001D"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9D53EB" w:rsidRPr="00DB6087">
        <w:rPr>
          <w:rFonts w:asciiTheme="majorBidi" w:hAnsiTheme="majorBidi" w:cstheme="majorBidi"/>
          <w:sz w:val="24"/>
          <w:szCs w:val="24"/>
        </w:rPr>
        <w:t>zwiększonych</w:t>
      </w:r>
      <w:r w:rsidR="008E001D" w:rsidRPr="00DB6087">
        <w:rPr>
          <w:rFonts w:asciiTheme="majorBidi" w:hAnsiTheme="majorBidi" w:cstheme="majorBidi"/>
          <w:sz w:val="24"/>
          <w:szCs w:val="24"/>
        </w:rPr>
        <w:t xml:space="preserve"> wzrostów</w:t>
      </w:r>
      <w:r w:rsidR="007F1657" w:rsidRPr="00DB6087">
        <w:rPr>
          <w:rFonts w:asciiTheme="majorBidi" w:hAnsiTheme="majorBidi" w:cstheme="majorBidi"/>
          <w:sz w:val="24"/>
          <w:szCs w:val="24"/>
        </w:rPr>
        <w:t xml:space="preserve"> (w okresach prosperity)</w:t>
      </w:r>
      <w:r w:rsidR="008E001D" w:rsidRPr="00DB6087">
        <w:rPr>
          <w:rFonts w:asciiTheme="majorBidi" w:hAnsiTheme="majorBidi" w:cstheme="majorBidi"/>
          <w:sz w:val="24"/>
          <w:szCs w:val="24"/>
        </w:rPr>
        <w:t>, jak i pogłębionych spadków</w:t>
      </w:r>
      <w:r w:rsidR="009D53EB" w:rsidRPr="00DB6087">
        <w:rPr>
          <w:rFonts w:asciiTheme="majorBidi" w:hAnsiTheme="majorBidi" w:cstheme="majorBidi"/>
          <w:sz w:val="24"/>
          <w:szCs w:val="24"/>
        </w:rPr>
        <w:t xml:space="preserve"> PKB</w:t>
      </w:r>
      <w:r w:rsidR="007F1657" w:rsidRPr="00DB6087">
        <w:rPr>
          <w:rFonts w:asciiTheme="majorBidi" w:hAnsiTheme="majorBidi" w:cstheme="majorBidi"/>
          <w:sz w:val="24"/>
          <w:szCs w:val="24"/>
        </w:rPr>
        <w:t xml:space="preserve"> (w okresach kryzysów)</w:t>
      </w:r>
      <w:r w:rsidR="008E001D" w:rsidRPr="00DB6087">
        <w:rPr>
          <w:rFonts w:asciiTheme="majorBidi" w:hAnsiTheme="majorBidi" w:cstheme="majorBidi"/>
          <w:sz w:val="24"/>
          <w:szCs w:val="24"/>
        </w:rPr>
        <w:t xml:space="preserve">. </w:t>
      </w:r>
      <w:r w:rsidR="00944AF7" w:rsidRPr="00DB6087">
        <w:rPr>
          <w:rFonts w:asciiTheme="majorBidi" w:hAnsiTheme="majorBidi" w:cstheme="majorBidi"/>
          <w:sz w:val="24"/>
          <w:szCs w:val="24"/>
        </w:rPr>
        <w:t xml:space="preserve">Można </w:t>
      </w:r>
      <w:r w:rsidR="007F1657" w:rsidRPr="00DB6087">
        <w:rPr>
          <w:rFonts w:asciiTheme="majorBidi" w:hAnsiTheme="majorBidi" w:cstheme="majorBidi"/>
          <w:sz w:val="24"/>
          <w:szCs w:val="24"/>
        </w:rPr>
        <w:t>w tym momencie</w:t>
      </w:r>
      <w:r w:rsidR="00944AF7" w:rsidRPr="00DB6087">
        <w:rPr>
          <w:rFonts w:asciiTheme="majorBidi" w:hAnsiTheme="majorBidi" w:cstheme="majorBidi"/>
          <w:sz w:val="24"/>
          <w:szCs w:val="24"/>
        </w:rPr>
        <w:t xml:space="preserve"> wysnuć wniosek, że</w:t>
      </w:r>
      <w:r w:rsidR="008E001D" w:rsidRPr="00DB6087">
        <w:rPr>
          <w:rFonts w:asciiTheme="majorBidi" w:hAnsiTheme="majorBidi" w:cstheme="majorBidi"/>
          <w:sz w:val="24"/>
          <w:szCs w:val="24"/>
        </w:rPr>
        <w:t xml:space="preserve"> obecność w strefie </w:t>
      </w:r>
      <w:r w:rsidR="009D53EB" w:rsidRPr="00DB6087">
        <w:rPr>
          <w:rFonts w:asciiTheme="majorBidi" w:hAnsiTheme="majorBidi" w:cstheme="majorBidi"/>
          <w:sz w:val="24"/>
          <w:szCs w:val="24"/>
        </w:rPr>
        <w:t xml:space="preserve">euro </w:t>
      </w:r>
      <w:r w:rsidR="00944AF7" w:rsidRPr="00DB6087">
        <w:rPr>
          <w:rFonts w:asciiTheme="majorBidi" w:hAnsiTheme="majorBidi" w:cstheme="majorBidi"/>
          <w:sz w:val="24"/>
          <w:szCs w:val="24"/>
        </w:rPr>
        <w:t xml:space="preserve">w przypadku tych krajów, </w:t>
      </w:r>
      <w:r w:rsidR="009D53EB" w:rsidRPr="00DB6087">
        <w:rPr>
          <w:rFonts w:asciiTheme="majorBidi" w:hAnsiTheme="majorBidi" w:cstheme="majorBidi"/>
          <w:sz w:val="24"/>
          <w:szCs w:val="24"/>
        </w:rPr>
        <w:t xml:space="preserve">nie </w:t>
      </w:r>
      <w:r w:rsidR="007F1657" w:rsidRPr="00DB6087">
        <w:rPr>
          <w:rFonts w:asciiTheme="majorBidi" w:hAnsiTheme="majorBidi" w:cstheme="majorBidi"/>
          <w:sz w:val="24"/>
          <w:szCs w:val="24"/>
        </w:rPr>
        <w:t>dawała absolutnej ochrony</w:t>
      </w:r>
      <w:r w:rsidR="009D53EB" w:rsidRPr="00DB6087">
        <w:rPr>
          <w:rFonts w:asciiTheme="majorBidi" w:hAnsiTheme="majorBidi" w:cstheme="majorBidi"/>
          <w:sz w:val="24"/>
          <w:szCs w:val="24"/>
        </w:rPr>
        <w:t xml:space="preserve"> przed</w:t>
      </w:r>
      <w:r w:rsidR="00944AF7" w:rsidRPr="00DB6087">
        <w:rPr>
          <w:rFonts w:asciiTheme="majorBidi" w:hAnsiTheme="majorBidi" w:cstheme="majorBidi"/>
          <w:sz w:val="24"/>
          <w:szCs w:val="24"/>
        </w:rPr>
        <w:t xml:space="preserve"> bezpoś</w:t>
      </w:r>
      <w:r w:rsidR="009D53EB" w:rsidRPr="00DB6087">
        <w:rPr>
          <w:rFonts w:asciiTheme="majorBidi" w:hAnsiTheme="majorBidi" w:cstheme="majorBidi"/>
          <w:sz w:val="24"/>
          <w:szCs w:val="24"/>
        </w:rPr>
        <w:t xml:space="preserve">rednimi skutkami szoków kryzysowych, natomiast </w:t>
      </w:r>
      <w:r w:rsidR="00944AF7" w:rsidRPr="00DB6087">
        <w:rPr>
          <w:rFonts w:asciiTheme="majorBidi" w:hAnsiTheme="majorBidi" w:cstheme="majorBidi"/>
          <w:sz w:val="24"/>
          <w:szCs w:val="24"/>
        </w:rPr>
        <w:t>ograniczała</w:t>
      </w:r>
      <w:r w:rsidR="009D53EB" w:rsidRPr="00DB6087">
        <w:rPr>
          <w:rFonts w:asciiTheme="majorBidi" w:hAnsiTheme="majorBidi" w:cstheme="majorBidi"/>
          <w:sz w:val="24"/>
          <w:szCs w:val="24"/>
        </w:rPr>
        <w:t xml:space="preserve"> zmienność dynamiki PKB, z</w:t>
      </w:r>
      <w:r w:rsidR="00944AF7" w:rsidRPr="00DB6087">
        <w:rPr>
          <w:rFonts w:asciiTheme="majorBidi" w:hAnsiTheme="majorBidi" w:cstheme="majorBidi"/>
          <w:sz w:val="24"/>
          <w:szCs w:val="24"/>
        </w:rPr>
        <w:t>arówno</w:t>
      </w:r>
      <w:r w:rsidR="009D53EB" w:rsidRPr="00DB6087">
        <w:rPr>
          <w:rFonts w:asciiTheme="majorBidi" w:hAnsiTheme="majorBidi" w:cstheme="majorBidi"/>
          <w:sz w:val="24"/>
          <w:szCs w:val="24"/>
        </w:rPr>
        <w:t xml:space="preserve"> po s</w:t>
      </w:r>
      <w:r w:rsidR="00944AF7" w:rsidRPr="00DB6087">
        <w:rPr>
          <w:rFonts w:asciiTheme="majorBidi" w:hAnsiTheme="majorBidi" w:cstheme="majorBidi"/>
          <w:sz w:val="24"/>
          <w:szCs w:val="24"/>
        </w:rPr>
        <w:t>tronie ujemnej</w:t>
      </w:r>
      <w:r w:rsidR="007F1657" w:rsidRPr="00DB6087">
        <w:rPr>
          <w:rFonts w:asciiTheme="majorBidi" w:hAnsiTheme="majorBidi" w:cstheme="majorBidi"/>
          <w:sz w:val="24"/>
          <w:szCs w:val="24"/>
        </w:rPr>
        <w:t>, ale również</w:t>
      </w:r>
      <w:r w:rsidR="00944AF7" w:rsidRPr="00DB6087">
        <w:rPr>
          <w:rFonts w:asciiTheme="majorBidi" w:hAnsiTheme="majorBidi" w:cstheme="majorBidi"/>
          <w:sz w:val="24"/>
          <w:szCs w:val="24"/>
        </w:rPr>
        <w:t xml:space="preserve"> dodatniej.</w:t>
      </w:r>
    </w:p>
    <w:p w14:paraId="114547B1" w14:textId="77777777" w:rsidR="00D33895" w:rsidRDefault="00463465" w:rsidP="00241D80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Oprócz wzrostu PKB, sytuację</w:t>
      </w:r>
      <w:r w:rsidR="00964F8E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 gospodarczą charakteryzuje ogólne tempo wzrostu cen.</w:t>
      </w:r>
      <w:r w:rsidR="004A06D7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 W tabeli 2 przedstawiono wsk</w:t>
      </w:r>
      <w:r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a</w:t>
      </w:r>
      <w:r w:rsidR="004A06D7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źnik rocznej inflacji </w:t>
      </w:r>
      <w:r w:rsidR="00964F8E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określony na bazie zharmonizowanego wskaźnika cen konsumpcyjnych (HICP). Kolorem szarym zaznaczono </w:t>
      </w:r>
      <w:r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kraje</w:t>
      </w:r>
      <w:r w:rsidR="00964F8E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 xml:space="preserve">, w których wystąpił ogólny spadek cen (deflacja). </w:t>
      </w:r>
      <w:r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Kolorem zielonym oznaczono najwyż</w:t>
      </w:r>
      <w:r w:rsidR="00D33895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szą</w:t>
      </w:r>
      <w:r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, a nie</w:t>
      </w:r>
      <w:r w:rsidR="00D33895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b</w:t>
      </w:r>
      <w:r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ie</w:t>
      </w:r>
      <w:r w:rsidR="00D33895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skim najniż</w:t>
      </w:r>
      <w:r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sz</w:t>
      </w:r>
      <w:r w:rsidR="00D33895"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ą inflację w grupie badanych krajów, w danym roku</w:t>
      </w:r>
      <w:r w:rsidRPr="00DB6087">
        <w:rPr>
          <w:rFonts w:asciiTheme="majorBidi" w:hAnsiTheme="majorBidi" w:cstheme="majorBidi"/>
          <w:noProof/>
          <w:sz w:val="24"/>
          <w:szCs w:val="24"/>
          <w:lang w:eastAsia="pl-PL"/>
        </w:rPr>
        <w:t>.</w:t>
      </w:r>
    </w:p>
    <w:p w14:paraId="29DBFC89" w14:textId="77777777" w:rsidR="00241D80" w:rsidRPr="00241D80" w:rsidRDefault="00241D80" w:rsidP="00241D80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7773E630" w14:textId="77777777" w:rsidR="001A6E9B" w:rsidRPr="00405762" w:rsidRDefault="001A6E9B" w:rsidP="0074660C">
      <w:pPr>
        <w:spacing w:line="240" w:lineRule="auto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405762">
        <w:rPr>
          <w:rFonts w:asciiTheme="majorBidi" w:hAnsiTheme="majorBidi" w:cstheme="majorBidi"/>
          <w:bCs/>
          <w:sz w:val="20"/>
          <w:szCs w:val="20"/>
        </w:rPr>
        <w:lastRenderedPageBreak/>
        <w:t>Tab</w:t>
      </w:r>
      <w:r w:rsidR="0074660C" w:rsidRPr="00405762">
        <w:rPr>
          <w:rFonts w:asciiTheme="majorBidi" w:hAnsiTheme="majorBidi" w:cstheme="majorBidi"/>
          <w:bCs/>
          <w:sz w:val="20"/>
          <w:szCs w:val="20"/>
        </w:rPr>
        <w:t>.</w:t>
      </w:r>
      <w:r w:rsidRPr="00405762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="00544915" w:rsidRPr="00405762">
        <w:rPr>
          <w:rFonts w:asciiTheme="majorBidi" w:hAnsiTheme="majorBidi" w:cstheme="majorBidi"/>
          <w:bCs/>
          <w:sz w:val="20"/>
          <w:szCs w:val="20"/>
        </w:rPr>
        <w:t>2</w:t>
      </w:r>
      <w:r w:rsidR="0074660C" w:rsidRPr="00405762">
        <w:rPr>
          <w:rFonts w:asciiTheme="majorBidi" w:hAnsiTheme="majorBidi" w:cstheme="majorBidi"/>
          <w:bCs/>
          <w:sz w:val="20"/>
          <w:szCs w:val="20"/>
        </w:rPr>
        <w:t>.</w:t>
      </w:r>
      <w:r w:rsidRPr="00405762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="00041386" w:rsidRPr="00405762">
        <w:rPr>
          <w:rFonts w:asciiTheme="majorBidi" w:hAnsiTheme="majorBidi" w:cstheme="majorBidi"/>
          <w:bCs/>
          <w:sz w:val="20"/>
          <w:szCs w:val="20"/>
        </w:rPr>
        <w:t>Wskaźnik rocznej i</w:t>
      </w:r>
      <w:r w:rsidRPr="00405762">
        <w:rPr>
          <w:rFonts w:asciiTheme="majorBidi" w:hAnsiTheme="majorBidi" w:cstheme="majorBidi"/>
          <w:bCs/>
          <w:sz w:val="20"/>
          <w:szCs w:val="20"/>
        </w:rPr>
        <w:t>nflacja</w:t>
      </w:r>
      <w:r w:rsidR="00041386" w:rsidRPr="00405762">
        <w:rPr>
          <w:rFonts w:asciiTheme="majorBidi" w:hAnsiTheme="majorBidi" w:cstheme="majorBidi"/>
          <w:bCs/>
          <w:sz w:val="20"/>
          <w:szCs w:val="20"/>
        </w:rPr>
        <w:t xml:space="preserve"> (HICP)</w:t>
      </w:r>
      <w:r w:rsidRPr="00405762">
        <w:rPr>
          <w:rFonts w:asciiTheme="majorBidi" w:hAnsiTheme="majorBidi" w:cstheme="majorBidi"/>
          <w:bCs/>
          <w:sz w:val="20"/>
          <w:szCs w:val="20"/>
        </w:rPr>
        <w:t xml:space="preserve"> w krajach przyjmujących walutę </w:t>
      </w:r>
      <w:r w:rsidR="00AC265B" w:rsidRPr="00405762">
        <w:rPr>
          <w:rFonts w:asciiTheme="majorBidi" w:hAnsiTheme="majorBidi" w:cstheme="majorBidi"/>
          <w:bCs/>
          <w:sz w:val="20"/>
          <w:szCs w:val="20"/>
        </w:rPr>
        <w:t>e</w:t>
      </w:r>
      <w:r w:rsidRPr="00405762">
        <w:rPr>
          <w:rFonts w:asciiTheme="majorBidi" w:hAnsiTheme="majorBidi" w:cstheme="majorBidi"/>
          <w:bCs/>
          <w:sz w:val="20"/>
          <w:szCs w:val="20"/>
        </w:rPr>
        <w:t>uro w latach 200</w:t>
      </w:r>
      <w:r w:rsidR="00041386" w:rsidRPr="00405762">
        <w:rPr>
          <w:rFonts w:asciiTheme="majorBidi" w:hAnsiTheme="majorBidi" w:cstheme="majorBidi"/>
          <w:bCs/>
          <w:sz w:val="20"/>
          <w:szCs w:val="20"/>
        </w:rPr>
        <w:t>4</w:t>
      </w:r>
      <w:r w:rsidRPr="00405762">
        <w:rPr>
          <w:rFonts w:asciiTheme="majorBidi" w:hAnsiTheme="majorBidi" w:cstheme="majorBidi"/>
          <w:bCs/>
          <w:sz w:val="20"/>
          <w:szCs w:val="20"/>
        </w:rPr>
        <w:t>-201</w:t>
      </w:r>
      <w:r w:rsidR="00041386" w:rsidRPr="00405762">
        <w:rPr>
          <w:rFonts w:asciiTheme="majorBidi" w:hAnsiTheme="majorBidi" w:cstheme="majorBidi"/>
          <w:bCs/>
          <w:sz w:val="20"/>
          <w:szCs w:val="20"/>
        </w:rPr>
        <w:t>5</w:t>
      </w:r>
      <w:r w:rsidR="0074660C" w:rsidRPr="00405762">
        <w:rPr>
          <w:rFonts w:asciiTheme="majorBidi" w:hAnsiTheme="majorBidi" w:cstheme="majorBidi"/>
          <w:bCs/>
          <w:sz w:val="20"/>
          <w:szCs w:val="20"/>
        </w:rPr>
        <w:t xml:space="preserve"> (średnioroczna w 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33"/>
        <w:gridCol w:w="681"/>
        <w:gridCol w:w="681"/>
        <w:gridCol w:w="681"/>
        <w:gridCol w:w="682"/>
        <w:gridCol w:w="682"/>
        <w:gridCol w:w="682"/>
        <w:gridCol w:w="682"/>
        <w:gridCol w:w="682"/>
        <w:gridCol w:w="682"/>
        <w:gridCol w:w="682"/>
        <w:gridCol w:w="682"/>
        <w:gridCol w:w="680"/>
      </w:tblGrid>
      <w:tr w:rsidR="00405762" w:rsidRPr="00DB6087" w14:paraId="7E52C9B4" w14:textId="77777777" w:rsidTr="00077BA8">
        <w:trPr>
          <w:trHeight w:val="300"/>
        </w:trPr>
        <w:tc>
          <w:tcPr>
            <w:tcW w:w="561" w:type="pct"/>
            <w:shd w:val="clear" w:color="auto" w:fill="FFFFFF" w:themeFill="background1"/>
            <w:noWrap/>
            <w:vAlign w:val="center"/>
          </w:tcPr>
          <w:p w14:paraId="3452B826" w14:textId="77777777" w:rsidR="00D9128F" w:rsidRPr="00405762" w:rsidRDefault="00D9128F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KRAJ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646F5541" w14:textId="77777777" w:rsidR="00D9128F" w:rsidRPr="00405762" w:rsidRDefault="00D9128F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1E269B72" w14:textId="77777777" w:rsidR="00D9128F" w:rsidRPr="00405762" w:rsidRDefault="00D9128F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2005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4A262F6B" w14:textId="77777777" w:rsidR="00D9128F" w:rsidRPr="00405762" w:rsidRDefault="00D9128F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2006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35F5EEE5" w14:textId="77777777" w:rsidR="00D9128F" w:rsidRPr="00405762" w:rsidRDefault="00D9128F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36DA848F" w14:textId="77777777" w:rsidR="00D9128F" w:rsidRPr="00405762" w:rsidRDefault="00D9128F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2008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781C32B8" w14:textId="77777777" w:rsidR="00D9128F" w:rsidRPr="00405762" w:rsidRDefault="00D9128F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6CD2B5B3" w14:textId="77777777" w:rsidR="00D9128F" w:rsidRPr="00405762" w:rsidRDefault="00D9128F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6A9193C7" w14:textId="77777777" w:rsidR="00D9128F" w:rsidRPr="00405762" w:rsidRDefault="00D9128F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6DDF2DF4" w14:textId="77777777" w:rsidR="00D9128F" w:rsidRPr="00405762" w:rsidRDefault="00D9128F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25F2E2BA" w14:textId="77777777" w:rsidR="00D9128F" w:rsidRPr="00405762" w:rsidRDefault="00D9128F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71F0C16C" w14:textId="77777777" w:rsidR="00D9128F" w:rsidRPr="00405762" w:rsidRDefault="00D9128F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3C3953DB" w14:textId="77777777" w:rsidR="00D9128F" w:rsidRPr="00405762" w:rsidRDefault="00D9128F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2015</w:t>
            </w:r>
          </w:p>
        </w:tc>
      </w:tr>
      <w:tr w:rsidR="00405762" w:rsidRPr="00DB6087" w14:paraId="7DE984F4" w14:textId="77777777" w:rsidTr="00405762">
        <w:trPr>
          <w:trHeight w:val="285"/>
        </w:trPr>
        <w:tc>
          <w:tcPr>
            <w:tcW w:w="561" w:type="pct"/>
            <w:shd w:val="clear" w:color="auto" w:fill="FFFFFF" w:themeFill="background1"/>
            <w:noWrap/>
            <w:vAlign w:val="center"/>
          </w:tcPr>
          <w:p w14:paraId="4910F3BA" w14:textId="77777777" w:rsidR="008472B2" w:rsidRPr="00405762" w:rsidRDefault="008472B2" w:rsidP="004057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Słowenia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2A6311CB" w14:textId="77777777" w:rsidR="008472B2" w:rsidRPr="00405762" w:rsidRDefault="008472B2" w:rsidP="00405762">
            <w:pPr>
              <w:spacing w:after="0" w:line="240" w:lineRule="auto"/>
              <w:jc w:val="center"/>
              <w:divId w:val="1394236581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3.7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35AE6FD0" w14:textId="77777777" w:rsidR="008472B2" w:rsidRPr="00405762" w:rsidRDefault="008472B2" w:rsidP="00405762">
            <w:pPr>
              <w:spacing w:after="0" w:line="240" w:lineRule="auto"/>
              <w:jc w:val="center"/>
              <w:divId w:val="1065689734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2.5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00045AF4" w14:textId="77777777" w:rsidR="008472B2" w:rsidRPr="00405762" w:rsidRDefault="008472B2" w:rsidP="00405762">
            <w:pPr>
              <w:spacing w:after="0" w:line="240" w:lineRule="auto"/>
              <w:jc w:val="center"/>
              <w:divId w:val="2070376563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2.5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4221F4B1" w14:textId="77777777" w:rsidR="008472B2" w:rsidRPr="00405762" w:rsidRDefault="008472B2" w:rsidP="00405762">
            <w:pPr>
              <w:spacing w:after="0" w:line="240" w:lineRule="auto"/>
              <w:jc w:val="center"/>
              <w:divId w:val="494297039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3.8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2BB51108" w14:textId="77777777" w:rsidR="008472B2" w:rsidRPr="00405762" w:rsidRDefault="008472B2" w:rsidP="00405762">
            <w:pPr>
              <w:spacing w:after="0" w:line="240" w:lineRule="auto"/>
              <w:jc w:val="center"/>
              <w:divId w:val="987980296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5.5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5C5B225E" w14:textId="77777777" w:rsidR="008472B2" w:rsidRPr="00405762" w:rsidRDefault="008472B2" w:rsidP="00405762">
            <w:pPr>
              <w:spacing w:after="0" w:line="240" w:lineRule="auto"/>
              <w:jc w:val="center"/>
              <w:divId w:val="2102791976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0.9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2F424E69" w14:textId="77777777" w:rsidR="008472B2" w:rsidRPr="00405762" w:rsidRDefault="008472B2" w:rsidP="00405762">
            <w:pPr>
              <w:spacing w:after="0" w:line="240" w:lineRule="auto"/>
              <w:jc w:val="center"/>
              <w:divId w:val="1922249434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2.1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1DC6D8F4" w14:textId="77777777" w:rsidR="008472B2" w:rsidRPr="00405762" w:rsidRDefault="008472B2" w:rsidP="00405762">
            <w:pPr>
              <w:spacing w:after="0" w:line="240" w:lineRule="auto"/>
              <w:jc w:val="center"/>
              <w:divId w:val="1923098950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2.1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707DD511" w14:textId="77777777" w:rsidR="008472B2" w:rsidRPr="00405762" w:rsidRDefault="008472B2" w:rsidP="00405762">
            <w:pPr>
              <w:spacing w:after="0" w:line="240" w:lineRule="auto"/>
              <w:jc w:val="center"/>
              <w:divId w:val="1839878214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2.8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2663D182" w14:textId="77777777" w:rsidR="008472B2" w:rsidRPr="00405762" w:rsidRDefault="008472B2" w:rsidP="00405762">
            <w:pPr>
              <w:spacing w:after="0" w:line="240" w:lineRule="auto"/>
              <w:jc w:val="center"/>
              <w:divId w:val="754595655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1.9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E692418" w14:textId="77777777" w:rsidR="008472B2" w:rsidRPr="00405762" w:rsidRDefault="008472B2" w:rsidP="00405762">
            <w:pPr>
              <w:spacing w:after="0" w:line="240" w:lineRule="auto"/>
              <w:jc w:val="center"/>
              <w:divId w:val="1053626803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0.4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29A8B95" w14:textId="77777777" w:rsidR="008472B2" w:rsidRPr="00405762" w:rsidRDefault="008472B2" w:rsidP="00405762">
            <w:pPr>
              <w:spacing w:after="0" w:line="240" w:lineRule="auto"/>
              <w:jc w:val="center"/>
              <w:divId w:val="163085242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-0.8</w:t>
            </w:r>
          </w:p>
        </w:tc>
      </w:tr>
      <w:tr w:rsidR="00405762" w:rsidRPr="00DB6087" w14:paraId="3022A6BC" w14:textId="77777777" w:rsidTr="00405762">
        <w:trPr>
          <w:trHeight w:val="285"/>
        </w:trPr>
        <w:tc>
          <w:tcPr>
            <w:tcW w:w="561" w:type="pct"/>
            <w:shd w:val="clear" w:color="auto" w:fill="FFFFFF" w:themeFill="background1"/>
            <w:noWrap/>
            <w:vAlign w:val="center"/>
          </w:tcPr>
          <w:p w14:paraId="029E7CD5" w14:textId="77777777" w:rsidR="00EB3B59" w:rsidRPr="00405762" w:rsidRDefault="00EB3B59" w:rsidP="004057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Cypr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1527A90F" w14:textId="77777777" w:rsidR="00EB3B59" w:rsidRPr="00405762" w:rsidRDefault="00EB3B59" w:rsidP="00405762">
            <w:pPr>
              <w:spacing w:after="0" w:line="240" w:lineRule="auto"/>
              <w:jc w:val="center"/>
              <w:divId w:val="1678119968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1.9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2D8D6857" w14:textId="77777777" w:rsidR="00EB3B59" w:rsidRPr="00405762" w:rsidRDefault="00EB3B59" w:rsidP="00405762">
            <w:pPr>
              <w:spacing w:after="0" w:line="240" w:lineRule="auto"/>
              <w:jc w:val="center"/>
              <w:divId w:val="244918335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2.0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24E88B74" w14:textId="77777777" w:rsidR="00EB3B59" w:rsidRPr="00405762" w:rsidRDefault="00EB3B59" w:rsidP="00405762">
            <w:pPr>
              <w:spacing w:after="0" w:line="240" w:lineRule="auto"/>
              <w:jc w:val="center"/>
              <w:divId w:val="2085951664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2.2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083A9D50" w14:textId="77777777" w:rsidR="00EB3B59" w:rsidRPr="00405762" w:rsidRDefault="00EB3B59" w:rsidP="00405762">
            <w:pPr>
              <w:spacing w:after="0" w:line="240" w:lineRule="auto"/>
              <w:jc w:val="center"/>
              <w:divId w:val="809708338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2.2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4BB1B411" w14:textId="77777777" w:rsidR="00EB3B59" w:rsidRPr="00405762" w:rsidRDefault="00EB3B59" w:rsidP="00405762">
            <w:pPr>
              <w:spacing w:after="0" w:line="240" w:lineRule="auto"/>
              <w:jc w:val="center"/>
              <w:divId w:val="541942787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4.4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7B55DE3E" w14:textId="77777777" w:rsidR="00EB3B59" w:rsidRPr="00405762" w:rsidRDefault="00EB3B59" w:rsidP="00405762">
            <w:pPr>
              <w:spacing w:after="0" w:line="240" w:lineRule="auto"/>
              <w:jc w:val="center"/>
              <w:divId w:val="1975913575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0.2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283BEA35" w14:textId="77777777" w:rsidR="00EB3B59" w:rsidRPr="00405762" w:rsidRDefault="00EB3B59" w:rsidP="00405762">
            <w:pPr>
              <w:spacing w:after="0" w:line="240" w:lineRule="auto"/>
              <w:jc w:val="center"/>
              <w:divId w:val="1192760935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2.6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1D94CC7F" w14:textId="77777777" w:rsidR="00EB3B59" w:rsidRPr="00405762" w:rsidRDefault="00EB3B59" w:rsidP="00405762">
            <w:pPr>
              <w:spacing w:after="0" w:line="240" w:lineRule="auto"/>
              <w:jc w:val="center"/>
              <w:divId w:val="2124763394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3.5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7075E46C" w14:textId="77777777" w:rsidR="00EB3B59" w:rsidRPr="00405762" w:rsidRDefault="00EB3B59" w:rsidP="00405762">
            <w:pPr>
              <w:spacing w:after="0" w:line="240" w:lineRule="auto"/>
              <w:jc w:val="center"/>
              <w:divId w:val="1300574812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3.1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75C8FD97" w14:textId="77777777" w:rsidR="00EB3B59" w:rsidRPr="00405762" w:rsidRDefault="00EB3B59" w:rsidP="00405762">
            <w:pPr>
              <w:spacing w:after="0" w:line="240" w:lineRule="auto"/>
              <w:jc w:val="center"/>
              <w:divId w:val="148209223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0.4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3AB57B86" w14:textId="77777777" w:rsidR="00EB3B59" w:rsidRPr="00405762" w:rsidRDefault="00EB3B59" w:rsidP="00405762">
            <w:pPr>
              <w:spacing w:after="0" w:line="240" w:lineRule="auto"/>
              <w:jc w:val="center"/>
              <w:divId w:val="394738688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-0.3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F508C49" w14:textId="77777777" w:rsidR="00EB3B59" w:rsidRPr="00405762" w:rsidRDefault="00EB3B59" w:rsidP="00405762">
            <w:pPr>
              <w:spacing w:after="0" w:line="240" w:lineRule="auto"/>
              <w:jc w:val="center"/>
              <w:divId w:val="1527333773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-1.5</w:t>
            </w:r>
          </w:p>
        </w:tc>
      </w:tr>
      <w:tr w:rsidR="00405762" w:rsidRPr="00DB6087" w14:paraId="0C2A1C36" w14:textId="77777777" w:rsidTr="00405762">
        <w:trPr>
          <w:trHeight w:val="285"/>
        </w:trPr>
        <w:tc>
          <w:tcPr>
            <w:tcW w:w="561" w:type="pct"/>
            <w:shd w:val="clear" w:color="auto" w:fill="FFFFFF" w:themeFill="background1"/>
            <w:noWrap/>
            <w:vAlign w:val="center"/>
          </w:tcPr>
          <w:p w14:paraId="3C634873" w14:textId="77777777" w:rsidR="00EB3B59" w:rsidRPr="00405762" w:rsidRDefault="00EB3B59" w:rsidP="004057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Malta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47DF2890" w14:textId="77777777" w:rsidR="00EB3B59" w:rsidRPr="00405762" w:rsidRDefault="00EB3B59" w:rsidP="00405762">
            <w:pPr>
              <w:spacing w:after="0" w:line="240" w:lineRule="auto"/>
              <w:jc w:val="center"/>
              <w:divId w:val="81225525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2.7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5723EC69" w14:textId="77777777" w:rsidR="00EB3B59" w:rsidRPr="00405762" w:rsidRDefault="00EB3B59" w:rsidP="00405762">
            <w:pPr>
              <w:spacing w:after="0" w:line="240" w:lineRule="auto"/>
              <w:jc w:val="center"/>
              <w:divId w:val="1981691461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2.5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183158A8" w14:textId="77777777" w:rsidR="00EB3B59" w:rsidRPr="00405762" w:rsidRDefault="00EB3B59" w:rsidP="00405762">
            <w:pPr>
              <w:spacing w:after="0" w:line="240" w:lineRule="auto"/>
              <w:jc w:val="center"/>
              <w:divId w:val="197400361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2.6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3822D6B6" w14:textId="77777777" w:rsidR="00EB3B59" w:rsidRPr="00405762" w:rsidRDefault="00EB3B59" w:rsidP="00405762">
            <w:pPr>
              <w:spacing w:after="0" w:line="240" w:lineRule="auto"/>
              <w:jc w:val="center"/>
              <w:divId w:val="468865863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0.7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2B93C801" w14:textId="77777777" w:rsidR="00EB3B59" w:rsidRPr="00405762" w:rsidRDefault="00EB3B59" w:rsidP="00405762">
            <w:pPr>
              <w:spacing w:after="0" w:line="240" w:lineRule="auto"/>
              <w:jc w:val="center"/>
              <w:divId w:val="1598756793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4.7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5F6C9791" w14:textId="77777777" w:rsidR="00EB3B59" w:rsidRPr="00405762" w:rsidRDefault="00EB3B59" w:rsidP="00405762">
            <w:pPr>
              <w:spacing w:after="0" w:line="240" w:lineRule="auto"/>
              <w:jc w:val="center"/>
              <w:divId w:val="721053540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1.8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63FF8145" w14:textId="77777777" w:rsidR="00EB3B59" w:rsidRPr="00405762" w:rsidRDefault="00EB3B59" w:rsidP="00405762">
            <w:pPr>
              <w:spacing w:after="0" w:line="240" w:lineRule="auto"/>
              <w:jc w:val="center"/>
              <w:divId w:val="474640900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2.0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5C0F2DF9" w14:textId="77777777" w:rsidR="00EB3B59" w:rsidRPr="00405762" w:rsidRDefault="00EB3B59" w:rsidP="00405762">
            <w:pPr>
              <w:spacing w:after="0" w:line="240" w:lineRule="auto"/>
              <w:jc w:val="center"/>
              <w:divId w:val="629166296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2.5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4D63979A" w14:textId="77777777" w:rsidR="00EB3B59" w:rsidRPr="00405762" w:rsidRDefault="00EB3B59" w:rsidP="00405762">
            <w:pPr>
              <w:spacing w:after="0" w:line="240" w:lineRule="auto"/>
              <w:jc w:val="center"/>
              <w:divId w:val="225724086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3.2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00BBC93D" w14:textId="77777777" w:rsidR="00EB3B59" w:rsidRPr="00405762" w:rsidRDefault="00EB3B59" w:rsidP="00405762">
            <w:pPr>
              <w:spacing w:after="0" w:line="240" w:lineRule="auto"/>
              <w:jc w:val="center"/>
              <w:divId w:val="1114132321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1.0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3F23D7EA" w14:textId="77777777" w:rsidR="00EB3B59" w:rsidRPr="00405762" w:rsidRDefault="00EB3B59" w:rsidP="00405762">
            <w:pPr>
              <w:spacing w:after="0" w:line="240" w:lineRule="auto"/>
              <w:jc w:val="center"/>
              <w:divId w:val="1734888151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0.8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D1F1309" w14:textId="77777777" w:rsidR="00EB3B59" w:rsidRPr="00405762" w:rsidRDefault="00EB3B59" w:rsidP="00405762">
            <w:pPr>
              <w:spacing w:after="0" w:line="240" w:lineRule="auto"/>
              <w:jc w:val="center"/>
              <w:divId w:val="1159687867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1.2</w:t>
            </w:r>
          </w:p>
        </w:tc>
      </w:tr>
      <w:tr w:rsidR="00405762" w:rsidRPr="00DB6087" w14:paraId="72590FEA" w14:textId="77777777" w:rsidTr="00405762">
        <w:trPr>
          <w:trHeight w:val="285"/>
        </w:trPr>
        <w:tc>
          <w:tcPr>
            <w:tcW w:w="561" w:type="pct"/>
            <w:shd w:val="clear" w:color="auto" w:fill="FFFFFF" w:themeFill="background1"/>
            <w:noWrap/>
            <w:vAlign w:val="center"/>
          </w:tcPr>
          <w:p w14:paraId="4688F239" w14:textId="77777777" w:rsidR="00EB3B59" w:rsidRPr="00405762" w:rsidRDefault="00EB3B59" w:rsidP="004057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Słowacja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0EC14DCD" w14:textId="77777777" w:rsidR="00EB3B59" w:rsidRPr="00405762" w:rsidRDefault="00EB3B59" w:rsidP="00405762">
            <w:pPr>
              <w:spacing w:after="0" w:line="240" w:lineRule="auto"/>
              <w:jc w:val="center"/>
              <w:divId w:val="187913041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7.5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28D263D4" w14:textId="77777777" w:rsidR="00EB3B59" w:rsidRPr="00405762" w:rsidRDefault="00EB3B59" w:rsidP="00405762">
            <w:pPr>
              <w:spacing w:after="0" w:line="240" w:lineRule="auto"/>
              <w:jc w:val="center"/>
              <w:divId w:val="1686128552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2.8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2A4C71E4" w14:textId="77777777" w:rsidR="00EB3B59" w:rsidRPr="00405762" w:rsidRDefault="00EB3B59" w:rsidP="00405762">
            <w:pPr>
              <w:spacing w:after="0" w:line="240" w:lineRule="auto"/>
              <w:jc w:val="center"/>
              <w:divId w:val="57824119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4.3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51BA024E" w14:textId="77777777" w:rsidR="00EB3B59" w:rsidRPr="00405762" w:rsidRDefault="00EB3B59" w:rsidP="00405762">
            <w:pPr>
              <w:spacing w:after="0" w:line="240" w:lineRule="auto"/>
              <w:jc w:val="center"/>
              <w:divId w:val="620458538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1.9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67F7594D" w14:textId="77777777" w:rsidR="00EB3B59" w:rsidRPr="00405762" w:rsidRDefault="00EB3B59" w:rsidP="00405762">
            <w:pPr>
              <w:spacing w:after="0" w:line="240" w:lineRule="auto"/>
              <w:jc w:val="center"/>
              <w:divId w:val="1807964118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3.9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1729DF8D" w14:textId="77777777" w:rsidR="00EB3B59" w:rsidRPr="00405762" w:rsidRDefault="00EB3B59" w:rsidP="00405762">
            <w:pPr>
              <w:spacing w:after="0" w:line="240" w:lineRule="auto"/>
              <w:jc w:val="center"/>
              <w:divId w:val="1385371934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0.9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3C71F260" w14:textId="77777777" w:rsidR="00EB3B59" w:rsidRPr="00405762" w:rsidRDefault="00EB3B59" w:rsidP="00405762">
            <w:pPr>
              <w:spacing w:after="0" w:line="240" w:lineRule="auto"/>
              <w:jc w:val="center"/>
              <w:divId w:val="695228981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0.7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7A6C11A8" w14:textId="77777777" w:rsidR="00EB3B59" w:rsidRPr="00405762" w:rsidRDefault="00EB3B59" w:rsidP="00405762">
            <w:pPr>
              <w:spacing w:after="0" w:line="240" w:lineRule="auto"/>
              <w:jc w:val="center"/>
              <w:divId w:val="1017124698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4.1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1EEE507F" w14:textId="77777777" w:rsidR="00EB3B59" w:rsidRPr="00405762" w:rsidRDefault="00EB3B59" w:rsidP="00405762">
            <w:pPr>
              <w:spacing w:after="0" w:line="240" w:lineRule="auto"/>
              <w:jc w:val="center"/>
              <w:divId w:val="1830749666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3.7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3792D25B" w14:textId="77777777" w:rsidR="00EB3B59" w:rsidRPr="00405762" w:rsidRDefault="00EB3B59" w:rsidP="00405762">
            <w:pPr>
              <w:spacing w:after="0" w:line="240" w:lineRule="auto"/>
              <w:jc w:val="center"/>
              <w:divId w:val="787703224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1.5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169CCC12" w14:textId="77777777" w:rsidR="00EB3B59" w:rsidRPr="00405762" w:rsidRDefault="00EB3B59" w:rsidP="00405762">
            <w:pPr>
              <w:spacing w:after="0" w:line="240" w:lineRule="auto"/>
              <w:jc w:val="center"/>
              <w:divId w:val="1937597157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-0.1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184D8E4E" w14:textId="77777777" w:rsidR="00EB3B59" w:rsidRPr="00405762" w:rsidRDefault="00EB3B59" w:rsidP="00405762">
            <w:pPr>
              <w:spacing w:after="0" w:line="240" w:lineRule="auto"/>
              <w:jc w:val="center"/>
              <w:divId w:val="2118063679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-0.3</w:t>
            </w:r>
          </w:p>
        </w:tc>
      </w:tr>
      <w:tr w:rsidR="00405762" w:rsidRPr="00DB6087" w14:paraId="6FBC69E0" w14:textId="77777777" w:rsidTr="00405762">
        <w:trPr>
          <w:trHeight w:val="285"/>
        </w:trPr>
        <w:tc>
          <w:tcPr>
            <w:tcW w:w="561" w:type="pct"/>
            <w:shd w:val="clear" w:color="auto" w:fill="FFFFFF" w:themeFill="background1"/>
            <w:noWrap/>
            <w:vAlign w:val="center"/>
          </w:tcPr>
          <w:p w14:paraId="5DC46C15" w14:textId="77777777" w:rsidR="00EB3B59" w:rsidRPr="00405762" w:rsidRDefault="00EB3B59" w:rsidP="004057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Estonia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53734702" w14:textId="77777777" w:rsidR="00EB3B59" w:rsidRPr="00405762" w:rsidRDefault="00EB3B59" w:rsidP="00405762">
            <w:pPr>
              <w:spacing w:after="0" w:line="240" w:lineRule="auto"/>
              <w:jc w:val="center"/>
              <w:divId w:val="1566798857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3.0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0877E85A" w14:textId="77777777" w:rsidR="00EB3B59" w:rsidRPr="00405762" w:rsidRDefault="00EB3B59" w:rsidP="00405762">
            <w:pPr>
              <w:spacing w:after="0" w:line="240" w:lineRule="auto"/>
              <w:jc w:val="center"/>
              <w:divId w:val="598567619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4.1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7B198940" w14:textId="77777777" w:rsidR="00EB3B59" w:rsidRPr="00405762" w:rsidRDefault="00EB3B59" w:rsidP="00405762">
            <w:pPr>
              <w:spacing w:after="0" w:line="240" w:lineRule="auto"/>
              <w:jc w:val="center"/>
              <w:divId w:val="1470590929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4.4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1DB3642C" w14:textId="77777777" w:rsidR="00EB3B59" w:rsidRPr="00405762" w:rsidRDefault="00EB3B59" w:rsidP="00405762">
            <w:pPr>
              <w:spacing w:after="0" w:line="240" w:lineRule="auto"/>
              <w:jc w:val="center"/>
              <w:divId w:val="1404789750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6.7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0616B2A5" w14:textId="77777777" w:rsidR="00EB3B59" w:rsidRPr="00405762" w:rsidRDefault="00EB3B59" w:rsidP="00405762">
            <w:pPr>
              <w:spacing w:after="0" w:line="240" w:lineRule="auto"/>
              <w:jc w:val="center"/>
              <w:divId w:val="2107849201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10.6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2FD0226F" w14:textId="77777777" w:rsidR="00EB3B59" w:rsidRPr="00405762" w:rsidRDefault="00EB3B59" w:rsidP="00405762">
            <w:pPr>
              <w:spacing w:after="0" w:line="240" w:lineRule="auto"/>
              <w:jc w:val="center"/>
              <w:divId w:val="1739161427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0.2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5EC5C288" w14:textId="77777777" w:rsidR="00EB3B59" w:rsidRPr="00405762" w:rsidRDefault="00EB3B59" w:rsidP="00405762">
            <w:pPr>
              <w:spacing w:after="0" w:line="240" w:lineRule="auto"/>
              <w:jc w:val="center"/>
              <w:divId w:val="1352686919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2.7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63C4BCD0" w14:textId="77777777" w:rsidR="00EB3B59" w:rsidRPr="00405762" w:rsidRDefault="00EB3B59" w:rsidP="00405762">
            <w:pPr>
              <w:spacing w:after="0" w:line="240" w:lineRule="auto"/>
              <w:jc w:val="center"/>
              <w:divId w:val="207765534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5.1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0D8C5680" w14:textId="77777777" w:rsidR="00EB3B59" w:rsidRPr="00405762" w:rsidRDefault="00EB3B59" w:rsidP="00405762">
            <w:pPr>
              <w:spacing w:after="0" w:line="240" w:lineRule="auto"/>
              <w:jc w:val="center"/>
              <w:divId w:val="1821539241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4.2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5BDF254B" w14:textId="77777777" w:rsidR="00EB3B59" w:rsidRPr="00405762" w:rsidRDefault="00EB3B59" w:rsidP="00405762">
            <w:pPr>
              <w:spacing w:after="0" w:line="240" w:lineRule="auto"/>
              <w:jc w:val="center"/>
              <w:divId w:val="576476787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3.2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1AA6A250" w14:textId="77777777" w:rsidR="00EB3B59" w:rsidRPr="00405762" w:rsidRDefault="00EB3B59" w:rsidP="00405762">
            <w:pPr>
              <w:spacing w:after="0" w:line="240" w:lineRule="auto"/>
              <w:jc w:val="center"/>
              <w:divId w:val="498928618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0.5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5AD9867" w14:textId="77777777" w:rsidR="00EB3B59" w:rsidRPr="00405762" w:rsidRDefault="00EB3B59" w:rsidP="00405762">
            <w:pPr>
              <w:spacing w:after="0" w:line="240" w:lineRule="auto"/>
              <w:jc w:val="center"/>
              <w:divId w:val="586380152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</w:tr>
      <w:tr w:rsidR="00405762" w:rsidRPr="00DB6087" w14:paraId="5C274310" w14:textId="77777777" w:rsidTr="00405762">
        <w:trPr>
          <w:trHeight w:val="285"/>
        </w:trPr>
        <w:tc>
          <w:tcPr>
            <w:tcW w:w="561" w:type="pct"/>
            <w:shd w:val="clear" w:color="auto" w:fill="FFFFFF" w:themeFill="background1"/>
            <w:noWrap/>
            <w:vAlign w:val="center"/>
          </w:tcPr>
          <w:p w14:paraId="2A36BB00" w14:textId="77777777" w:rsidR="00EB3B59" w:rsidRPr="00405762" w:rsidRDefault="00EB3B59" w:rsidP="004057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Łotwa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10B0B5F6" w14:textId="77777777" w:rsidR="00EB3B59" w:rsidRPr="00405762" w:rsidRDefault="00EB3B59" w:rsidP="00405762">
            <w:pPr>
              <w:spacing w:after="0" w:line="240" w:lineRule="auto"/>
              <w:jc w:val="center"/>
              <w:divId w:val="371273604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6.2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6641525E" w14:textId="77777777" w:rsidR="00EB3B59" w:rsidRPr="00405762" w:rsidRDefault="00EB3B59" w:rsidP="00405762">
            <w:pPr>
              <w:spacing w:after="0" w:line="240" w:lineRule="auto"/>
              <w:jc w:val="center"/>
              <w:divId w:val="1753038871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6.9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7301BC3C" w14:textId="77777777" w:rsidR="00EB3B59" w:rsidRPr="00405762" w:rsidRDefault="00EB3B59" w:rsidP="00405762">
            <w:pPr>
              <w:spacing w:after="0" w:line="240" w:lineRule="auto"/>
              <w:jc w:val="center"/>
              <w:divId w:val="1085417466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6.6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249F2CB4" w14:textId="77777777" w:rsidR="00EB3B59" w:rsidRPr="00405762" w:rsidRDefault="00EB3B59" w:rsidP="00405762">
            <w:pPr>
              <w:spacing w:after="0" w:line="240" w:lineRule="auto"/>
              <w:jc w:val="center"/>
              <w:divId w:val="973026948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10.1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0982C63E" w14:textId="77777777" w:rsidR="00EB3B59" w:rsidRPr="00405762" w:rsidRDefault="00EB3B59" w:rsidP="00405762">
            <w:pPr>
              <w:spacing w:after="0" w:line="240" w:lineRule="auto"/>
              <w:jc w:val="center"/>
              <w:divId w:val="2111856372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15.3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78FBEB9F" w14:textId="77777777" w:rsidR="00EB3B59" w:rsidRPr="00405762" w:rsidRDefault="00EB3B59" w:rsidP="00405762">
            <w:pPr>
              <w:spacing w:after="0" w:line="240" w:lineRule="auto"/>
              <w:jc w:val="center"/>
              <w:divId w:val="1822304895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3.3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738B2E51" w14:textId="77777777" w:rsidR="00EB3B59" w:rsidRPr="00405762" w:rsidRDefault="00EB3B59" w:rsidP="00405762">
            <w:pPr>
              <w:spacing w:after="0" w:line="240" w:lineRule="auto"/>
              <w:jc w:val="center"/>
              <w:divId w:val="1771852881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-1.2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3D7CC77F" w14:textId="77777777" w:rsidR="00EB3B59" w:rsidRPr="00405762" w:rsidRDefault="00EB3B59" w:rsidP="00405762">
            <w:pPr>
              <w:spacing w:after="0" w:line="240" w:lineRule="auto"/>
              <w:jc w:val="center"/>
              <w:divId w:val="1414400135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4.2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76FE2687" w14:textId="77777777" w:rsidR="00EB3B59" w:rsidRPr="00405762" w:rsidRDefault="00EB3B59" w:rsidP="00405762">
            <w:pPr>
              <w:spacing w:after="0" w:line="240" w:lineRule="auto"/>
              <w:jc w:val="center"/>
              <w:divId w:val="623082178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2.3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0F190F9E" w14:textId="77777777" w:rsidR="00EB3B59" w:rsidRPr="00405762" w:rsidRDefault="00EB3B59" w:rsidP="00405762">
            <w:pPr>
              <w:spacing w:after="0" w:line="240" w:lineRule="auto"/>
              <w:jc w:val="center"/>
              <w:divId w:val="209419226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0.0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4F78DC91" w14:textId="77777777" w:rsidR="00EB3B59" w:rsidRPr="00405762" w:rsidRDefault="00EB3B59" w:rsidP="00405762">
            <w:pPr>
              <w:spacing w:after="0" w:line="240" w:lineRule="auto"/>
              <w:jc w:val="center"/>
              <w:divId w:val="120467453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0.7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6AB27B0B" w14:textId="77777777" w:rsidR="00EB3B59" w:rsidRPr="00405762" w:rsidRDefault="00EB3B59" w:rsidP="00405762">
            <w:pPr>
              <w:spacing w:after="0" w:line="240" w:lineRule="auto"/>
              <w:jc w:val="center"/>
              <w:divId w:val="574782488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0.2</w:t>
            </w:r>
          </w:p>
        </w:tc>
      </w:tr>
      <w:tr w:rsidR="00405762" w:rsidRPr="00DB6087" w14:paraId="478C75DE" w14:textId="77777777" w:rsidTr="00405762">
        <w:trPr>
          <w:trHeight w:val="285"/>
        </w:trPr>
        <w:tc>
          <w:tcPr>
            <w:tcW w:w="561" w:type="pct"/>
            <w:shd w:val="clear" w:color="auto" w:fill="FFFFFF" w:themeFill="background1"/>
            <w:noWrap/>
            <w:vAlign w:val="center"/>
          </w:tcPr>
          <w:p w14:paraId="6944B67E" w14:textId="77777777" w:rsidR="008472B2" w:rsidRPr="00405762" w:rsidRDefault="008472B2" w:rsidP="004057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Polska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0C19FF61" w14:textId="77777777" w:rsidR="008472B2" w:rsidRPr="00405762" w:rsidRDefault="008472B2" w:rsidP="00405762">
            <w:pPr>
              <w:spacing w:after="0" w:line="240" w:lineRule="auto"/>
              <w:jc w:val="center"/>
              <w:divId w:val="1063140125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3.6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5C66EC86" w14:textId="77777777" w:rsidR="008472B2" w:rsidRPr="00405762" w:rsidRDefault="008472B2" w:rsidP="00405762">
            <w:pPr>
              <w:spacing w:after="0" w:line="240" w:lineRule="auto"/>
              <w:jc w:val="center"/>
              <w:divId w:val="1919169209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2.2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738CCB09" w14:textId="77777777" w:rsidR="008472B2" w:rsidRPr="00405762" w:rsidRDefault="008472B2" w:rsidP="00405762">
            <w:pPr>
              <w:spacing w:after="0" w:line="240" w:lineRule="auto"/>
              <w:jc w:val="center"/>
              <w:divId w:val="222256764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1.3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7B5609DC" w14:textId="77777777" w:rsidR="008472B2" w:rsidRPr="00405762" w:rsidRDefault="008472B2" w:rsidP="00405762">
            <w:pPr>
              <w:spacing w:after="0" w:line="240" w:lineRule="auto"/>
              <w:jc w:val="center"/>
              <w:divId w:val="1328249536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2.6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2EC524D9" w14:textId="77777777" w:rsidR="008472B2" w:rsidRPr="00405762" w:rsidRDefault="008472B2" w:rsidP="00405762">
            <w:pPr>
              <w:spacing w:after="0" w:line="240" w:lineRule="auto"/>
              <w:jc w:val="center"/>
              <w:divId w:val="1251620344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4.2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5C237046" w14:textId="77777777" w:rsidR="008472B2" w:rsidRPr="00405762" w:rsidRDefault="008472B2" w:rsidP="00405762">
            <w:pPr>
              <w:spacing w:after="0" w:line="240" w:lineRule="auto"/>
              <w:jc w:val="center"/>
              <w:divId w:val="77555717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4.0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5697064B" w14:textId="77777777" w:rsidR="008472B2" w:rsidRPr="00405762" w:rsidRDefault="008472B2" w:rsidP="00405762">
            <w:pPr>
              <w:spacing w:after="0" w:line="240" w:lineRule="auto"/>
              <w:jc w:val="center"/>
              <w:divId w:val="676225394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2.6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7AD9556B" w14:textId="77777777" w:rsidR="008472B2" w:rsidRPr="00405762" w:rsidRDefault="008472B2" w:rsidP="00405762">
            <w:pPr>
              <w:spacing w:after="0" w:line="240" w:lineRule="auto"/>
              <w:jc w:val="center"/>
              <w:divId w:val="1688368463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3.9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7EAED278" w14:textId="77777777" w:rsidR="008472B2" w:rsidRPr="00405762" w:rsidRDefault="008472B2" w:rsidP="00405762">
            <w:pPr>
              <w:spacing w:after="0" w:line="240" w:lineRule="auto"/>
              <w:jc w:val="center"/>
              <w:divId w:val="9726657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3.7</w:t>
            </w:r>
          </w:p>
        </w:tc>
        <w:tc>
          <w:tcPr>
            <w:tcW w:w="370" w:type="pct"/>
            <w:shd w:val="clear" w:color="auto" w:fill="FFFFFF" w:themeFill="background1"/>
            <w:noWrap/>
            <w:vAlign w:val="center"/>
          </w:tcPr>
          <w:p w14:paraId="13CD3551" w14:textId="77777777" w:rsidR="008472B2" w:rsidRPr="00405762" w:rsidRDefault="008472B2" w:rsidP="00405762">
            <w:pPr>
              <w:spacing w:after="0" w:line="240" w:lineRule="auto"/>
              <w:jc w:val="center"/>
              <w:divId w:val="113596698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0.8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4283114F" w14:textId="77777777" w:rsidR="008472B2" w:rsidRPr="00405762" w:rsidRDefault="008472B2" w:rsidP="00405762">
            <w:pPr>
              <w:spacing w:after="0" w:line="240" w:lineRule="auto"/>
              <w:jc w:val="center"/>
              <w:divId w:val="1335300778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393BD5F9" w14:textId="77777777" w:rsidR="008472B2" w:rsidRPr="00405762" w:rsidRDefault="008472B2" w:rsidP="00405762">
            <w:pPr>
              <w:spacing w:after="0" w:line="240" w:lineRule="auto"/>
              <w:jc w:val="center"/>
              <w:divId w:val="168755879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-0.7</w:t>
            </w:r>
          </w:p>
        </w:tc>
      </w:tr>
    </w:tbl>
    <w:p w14:paraId="72929944" w14:textId="77777777" w:rsidR="001A6E9B" w:rsidRPr="00405762" w:rsidRDefault="001A6E9B" w:rsidP="00405762">
      <w:pPr>
        <w:spacing w:before="240" w:after="0" w:line="240" w:lineRule="auto"/>
        <w:ind w:firstLine="708"/>
        <w:rPr>
          <w:rFonts w:asciiTheme="majorBidi" w:hAnsiTheme="majorBidi" w:cstheme="majorBidi"/>
          <w:iCs/>
          <w:sz w:val="20"/>
          <w:szCs w:val="20"/>
        </w:rPr>
      </w:pPr>
      <w:r w:rsidRPr="00405762">
        <w:rPr>
          <w:rFonts w:asciiTheme="majorBidi" w:hAnsiTheme="majorBidi" w:cstheme="majorBidi"/>
          <w:iCs/>
          <w:sz w:val="20"/>
          <w:szCs w:val="20"/>
        </w:rPr>
        <w:t xml:space="preserve">Źródło: </w:t>
      </w:r>
      <w:r w:rsidR="00041386" w:rsidRPr="00405762">
        <w:rPr>
          <w:rFonts w:asciiTheme="majorBidi" w:hAnsiTheme="majorBidi" w:cstheme="majorBidi"/>
          <w:iCs/>
          <w:sz w:val="20"/>
          <w:szCs w:val="20"/>
        </w:rPr>
        <w:t xml:space="preserve">Opracowanie własne na podstawie danych </w:t>
      </w:r>
      <w:r w:rsidR="00D547A4" w:rsidRPr="00405762">
        <w:rPr>
          <w:rFonts w:asciiTheme="majorBidi" w:hAnsiTheme="majorBidi" w:cstheme="majorBidi"/>
          <w:iCs/>
          <w:sz w:val="20"/>
          <w:szCs w:val="20"/>
        </w:rPr>
        <w:t>Eurostat</w:t>
      </w:r>
      <w:r w:rsidRPr="00405762">
        <w:rPr>
          <w:rFonts w:asciiTheme="majorBidi" w:hAnsiTheme="majorBidi" w:cstheme="majorBidi"/>
          <w:iCs/>
          <w:sz w:val="20"/>
          <w:szCs w:val="20"/>
        </w:rPr>
        <w:t>.</w:t>
      </w:r>
    </w:p>
    <w:p w14:paraId="7D0EBAD0" w14:textId="77777777" w:rsidR="00241D80" w:rsidRPr="0074660C" w:rsidRDefault="00241D80" w:rsidP="00241D80">
      <w:pPr>
        <w:spacing w:after="0" w:line="240" w:lineRule="auto"/>
        <w:rPr>
          <w:rFonts w:asciiTheme="majorBidi" w:hAnsiTheme="majorBidi" w:cstheme="majorBidi"/>
          <w:iCs/>
          <w:sz w:val="24"/>
          <w:szCs w:val="24"/>
        </w:rPr>
      </w:pPr>
    </w:p>
    <w:p w14:paraId="3921BA2B" w14:textId="77777777" w:rsidR="001A6E9B" w:rsidRPr="00DB6087" w:rsidRDefault="00CF4C3C" w:rsidP="00241D80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 xml:space="preserve">Analizując poziom inflacji można zauważyć, że w odniesieniu do Malty, Słowacji, Estonii i Łotwy, jej </w:t>
      </w:r>
      <w:r w:rsidR="00756F22" w:rsidRPr="00DB6087">
        <w:rPr>
          <w:rFonts w:asciiTheme="majorBidi" w:hAnsiTheme="majorBidi" w:cstheme="majorBidi"/>
          <w:sz w:val="24"/>
          <w:szCs w:val="24"/>
        </w:rPr>
        <w:t xml:space="preserve">ogólny </w:t>
      </w:r>
      <w:r w:rsidRPr="00DB6087">
        <w:rPr>
          <w:rFonts w:asciiTheme="majorBidi" w:hAnsiTheme="majorBidi" w:cstheme="majorBidi"/>
          <w:sz w:val="24"/>
          <w:szCs w:val="24"/>
        </w:rPr>
        <w:t>poziom zmniejszył się po przyjęciu przez te kraje waluty euro</w:t>
      </w:r>
      <w:r w:rsidR="00756F22" w:rsidRPr="00DB6087">
        <w:rPr>
          <w:rFonts w:asciiTheme="majorBidi" w:hAnsiTheme="majorBidi" w:cstheme="majorBidi"/>
          <w:sz w:val="24"/>
          <w:szCs w:val="24"/>
        </w:rPr>
        <w:t>. Ponadto</w:t>
      </w:r>
      <w:r w:rsidRPr="00DB6087">
        <w:rPr>
          <w:rFonts w:asciiTheme="majorBidi" w:hAnsiTheme="majorBidi" w:cstheme="majorBidi"/>
          <w:sz w:val="24"/>
          <w:szCs w:val="24"/>
        </w:rPr>
        <w:t xml:space="preserve"> kształt</w:t>
      </w:r>
      <w:r w:rsidR="00756F22" w:rsidRPr="00DB6087">
        <w:rPr>
          <w:rFonts w:asciiTheme="majorBidi" w:hAnsiTheme="majorBidi" w:cstheme="majorBidi"/>
          <w:sz w:val="24"/>
          <w:szCs w:val="24"/>
        </w:rPr>
        <w:t>owała</w:t>
      </w:r>
      <w:r w:rsidRPr="00DB6087">
        <w:rPr>
          <w:rFonts w:asciiTheme="majorBidi" w:hAnsiTheme="majorBidi" w:cstheme="majorBidi"/>
          <w:sz w:val="24"/>
          <w:szCs w:val="24"/>
        </w:rPr>
        <w:t xml:space="preserve"> się</w:t>
      </w:r>
      <w:r w:rsidR="00756F22" w:rsidRPr="00DB6087">
        <w:rPr>
          <w:rFonts w:asciiTheme="majorBidi" w:hAnsiTheme="majorBidi" w:cstheme="majorBidi"/>
          <w:sz w:val="24"/>
          <w:szCs w:val="24"/>
        </w:rPr>
        <w:t xml:space="preserve"> ona</w:t>
      </w:r>
      <w:r w:rsidRPr="00DB6087">
        <w:rPr>
          <w:rFonts w:asciiTheme="majorBidi" w:hAnsiTheme="majorBidi" w:cstheme="majorBidi"/>
          <w:sz w:val="24"/>
          <w:szCs w:val="24"/>
        </w:rPr>
        <w:t xml:space="preserve"> w bardziej stabilny sposób. </w:t>
      </w:r>
      <w:r w:rsidR="00A94B5B" w:rsidRPr="00DB6087">
        <w:rPr>
          <w:rFonts w:asciiTheme="majorBidi" w:hAnsiTheme="majorBidi" w:cstheme="majorBidi"/>
          <w:sz w:val="24"/>
          <w:szCs w:val="24"/>
        </w:rPr>
        <w:t xml:space="preserve">W przypadku Słowenii </w:t>
      </w:r>
      <w:r w:rsidR="00756F22" w:rsidRPr="00DB6087">
        <w:rPr>
          <w:rFonts w:asciiTheme="majorBidi" w:hAnsiTheme="majorBidi" w:cstheme="majorBidi"/>
          <w:sz w:val="24"/>
          <w:szCs w:val="24"/>
        </w:rPr>
        <w:t>podobnie zaobserwowano</w:t>
      </w:r>
      <w:r w:rsidR="00A94B5B" w:rsidRPr="00DB6087">
        <w:rPr>
          <w:rFonts w:asciiTheme="majorBidi" w:hAnsiTheme="majorBidi" w:cstheme="majorBidi"/>
          <w:sz w:val="24"/>
          <w:szCs w:val="24"/>
        </w:rPr>
        <w:t xml:space="preserve"> osłabienie poziomu inflacji</w:t>
      </w:r>
      <w:r w:rsidR="00756F22" w:rsidRPr="00DB6087">
        <w:rPr>
          <w:rFonts w:asciiTheme="majorBidi" w:hAnsiTheme="majorBidi" w:cstheme="majorBidi"/>
          <w:sz w:val="24"/>
          <w:szCs w:val="24"/>
        </w:rPr>
        <w:t xml:space="preserve"> po akcesji do strefy euro</w:t>
      </w:r>
      <w:r w:rsidR="00A94B5B" w:rsidRPr="00DB6087">
        <w:rPr>
          <w:rFonts w:asciiTheme="majorBidi" w:hAnsiTheme="majorBidi" w:cstheme="majorBidi"/>
          <w:sz w:val="24"/>
          <w:szCs w:val="24"/>
        </w:rPr>
        <w:t xml:space="preserve">, jednak przy zwiększonej zmienności wskaźnika. </w:t>
      </w:r>
      <w:r w:rsidR="00756F22" w:rsidRPr="00DB6087">
        <w:rPr>
          <w:rFonts w:asciiTheme="majorBidi" w:hAnsiTheme="majorBidi" w:cstheme="majorBidi"/>
          <w:sz w:val="24"/>
          <w:szCs w:val="24"/>
        </w:rPr>
        <w:t>Natomiast p</w:t>
      </w:r>
      <w:r w:rsidR="00A94B5B" w:rsidRPr="00DB6087">
        <w:rPr>
          <w:rFonts w:asciiTheme="majorBidi" w:hAnsiTheme="majorBidi" w:cstheme="majorBidi"/>
          <w:sz w:val="24"/>
          <w:szCs w:val="24"/>
        </w:rPr>
        <w:t>rzypadek Cypru jest odosobniony, ze względu na to</w:t>
      </w:r>
      <w:r w:rsidR="00756F22" w:rsidRPr="00DB6087">
        <w:rPr>
          <w:rFonts w:asciiTheme="majorBidi" w:hAnsiTheme="majorBidi" w:cstheme="majorBidi"/>
          <w:sz w:val="24"/>
          <w:szCs w:val="24"/>
        </w:rPr>
        <w:t>,</w:t>
      </w:r>
      <w:r w:rsidR="00A94B5B" w:rsidRPr="00DB6087">
        <w:rPr>
          <w:rFonts w:asciiTheme="majorBidi" w:hAnsiTheme="majorBidi" w:cstheme="majorBidi"/>
          <w:sz w:val="24"/>
          <w:szCs w:val="24"/>
        </w:rPr>
        <w:t xml:space="preserve"> że </w:t>
      </w:r>
      <w:r w:rsidR="00662EC5" w:rsidRPr="00DB6087">
        <w:rPr>
          <w:rFonts w:asciiTheme="majorBidi" w:hAnsiTheme="majorBidi" w:cstheme="majorBidi"/>
          <w:sz w:val="24"/>
          <w:szCs w:val="24"/>
        </w:rPr>
        <w:t>trudno jest</w:t>
      </w:r>
      <w:r w:rsidR="00756F22" w:rsidRPr="00DB6087">
        <w:rPr>
          <w:rFonts w:asciiTheme="majorBidi" w:hAnsiTheme="majorBidi" w:cstheme="majorBidi"/>
          <w:sz w:val="24"/>
          <w:szCs w:val="24"/>
        </w:rPr>
        <w:t xml:space="preserve"> określić</w:t>
      </w:r>
      <w:r w:rsidR="00A94B5B"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662EC5" w:rsidRPr="00DB6087">
        <w:rPr>
          <w:rFonts w:asciiTheme="majorBidi" w:hAnsiTheme="majorBidi" w:cstheme="majorBidi"/>
          <w:sz w:val="24"/>
          <w:szCs w:val="24"/>
        </w:rPr>
        <w:t>jednoznacznie relację poziomu inflacji przed i po wprowadzeniu waluty euro. B</w:t>
      </w:r>
      <w:r w:rsidR="00756F22" w:rsidRPr="00DB6087">
        <w:rPr>
          <w:rFonts w:asciiTheme="majorBidi" w:hAnsiTheme="majorBidi" w:cstheme="majorBidi"/>
          <w:sz w:val="24"/>
          <w:szCs w:val="24"/>
        </w:rPr>
        <w:t>ez wą</w:t>
      </w:r>
      <w:r w:rsidR="00A94B5B" w:rsidRPr="00DB6087">
        <w:rPr>
          <w:rFonts w:asciiTheme="majorBidi" w:hAnsiTheme="majorBidi" w:cstheme="majorBidi"/>
          <w:sz w:val="24"/>
          <w:szCs w:val="24"/>
        </w:rPr>
        <w:t>tpienia</w:t>
      </w:r>
      <w:r w:rsidR="00662EC5" w:rsidRPr="00DB6087">
        <w:rPr>
          <w:rFonts w:asciiTheme="majorBidi" w:hAnsiTheme="majorBidi" w:cstheme="majorBidi"/>
          <w:sz w:val="24"/>
          <w:szCs w:val="24"/>
        </w:rPr>
        <w:t xml:space="preserve"> jednak inflacja w tym kraju</w:t>
      </w:r>
      <w:r w:rsidR="00A94B5B" w:rsidRPr="00DB6087">
        <w:rPr>
          <w:rFonts w:asciiTheme="majorBidi" w:hAnsiTheme="majorBidi" w:cstheme="majorBidi"/>
          <w:sz w:val="24"/>
          <w:szCs w:val="24"/>
        </w:rPr>
        <w:t xml:space="preserve"> charakteryzowała się </w:t>
      </w:r>
      <w:r w:rsidR="00662EC5" w:rsidRPr="00DB6087">
        <w:rPr>
          <w:rFonts w:asciiTheme="majorBidi" w:hAnsiTheme="majorBidi" w:cstheme="majorBidi"/>
          <w:sz w:val="24"/>
          <w:szCs w:val="24"/>
        </w:rPr>
        <w:t>zwię</w:t>
      </w:r>
      <w:r w:rsidR="00756F22" w:rsidRPr="00DB6087">
        <w:rPr>
          <w:rFonts w:asciiTheme="majorBidi" w:hAnsiTheme="majorBidi" w:cstheme="majorBidi"/>
          <w:sz w:val="24"/>
          <w:szCs w:val="24"/>
        </w:rPr>
        <w:t>kszoną</w:t>
      </w:r>
      <w:r w:rsidR="00A94B5B" w:rsidRPr="00DB6087">
        <w:rPr>
          <w:rFonts w:asciiTheme="majorBidi" w:hAnsiTheme="majorBidi" w:cstheme="majorBidi"/>
          <w:sz w:val="24"/>
          <w:szCs w:val="24"/>
        </w:rPr>
        <w:t xml:space="preserve"> zmienno</w:t>
      </w:r>
      <w:r w:rsidR="00756F22" w:rsidRPr="00DB6087">
        <w:rPr>
          <w:rFonts w:asciiTheme="majorBidi" w:hAnsiTheme="majorBidi" w:cstheme="majorBidi"/>
          <w:sz w:val="24"/>
          <w:szCs w:val="24"/>
        </w:rPr>
        <w:t>ścią</w:t>
      </w:r>
      <w:r w:rsidR="00A94B5B" w:rsidRPr="00DB6087">
        <w:rPr>
          <w:rFonts w:asciiTheme="majorBidi" w:hAnsiTheme="majorBidi" w:cstheme="majorBidi"/>
          <w:sz w:val="24"/>
          <w:szCs w:val="24"/>
        </w:rPr>
        <w:t xml:space="preserve"> po przyjęciu</w:t>
      </w:r>
      <w:r w:rsidR="00662EC5" w:rsidRPr="00DB6087">
        <w:rPr>
          <w:rFonts w:asciiTheme="majorBidi" w:hAnsiTheme="majorBidi" w:cstheme="majorBidi"/>
          <w:sz w:val="24"/>
          <w:szCs w:val="24"/>
        </w:rPr>
        <w:t xml:space="preserve"> waluty</w:t>
      </w:r>
      <w:r w:rsidR="00A94B5B" w:rsidRPr="00DB6087">
        <w:rPr>
          <w:rFonts w:asciiTheme="majorBidi" w:hAnsiTheme="majorBidi" w:cstheme="majorBidi"/>
          <w:sz w:val="24"/>
          <w:szCs w:val="24"/>
        </w:rPr>
        <w:t xml:space="preserve"> euro.</w:t>
      </w:r>
    </w:p>
    <w:p w14:paraId="5DEFE028" w14:textId="77777777" w:rsidR="00662EC5" w:rsidRPr="00DB6087" w:rsidRDefault="00662EC5" w:rsidP="00241D80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 xml:space="preserve">Liderem poziomu inflacji w początkowym okresie była Łotwa, następnie już w okresie po wstąpieniu do strefy euro Estonia i Malta. </w:t>
      </w:r>
      <w:r w:rsidR="0013682A" w:rsidRPr="00DB6087">
        <w:rPr>
          <w:rFonts w:asciiTheme="majorBidi" w:hAnsiTheme="majorBidi" w:cstheme="majorBidi"/>
          <w:sz w:val="24"/>
          <w:szCs w:val="24"/>
        </w:rPr>
        <w:t>Można stwierdzić</w:t>
      </w:r>
      <w:r w:rsidR="008063E4" w:rsidRPr="00DB6087">
        <w:rPr>
          <w:rFonts w:asciiTheme="majorBidi" w:hAnsiTheme="majorBidi" w:cstheme="majorBidi"/>
          <w:sz w:val="24"/>
          <w:szCs w:val="24"/>
        </w:rPr>
        <w:t>,</w:t>
      </w:r>
      <w:r w:rsidR="0013682A" w:rsidRPr="00DB6087">
        <w:rPr>
          <w:rFonts w:asciiTheme="majorBidi" w:hAnsiTheme="majorBidi" w:cstheme="majorBidi"/>
          <w:sz w:val="24"/>
          <w:szCs w:val="24"/>
        </w:rPr>
        <w:t xml:space="preserve"> że zjawisko najwyższej inflacja w badanej grupie krajów było znacznie skoncentrowane. W przeciwieństwie do tego zjawisko najniższej inflacji było silnie rozproszone </w:t>
      </w:r>
      <w:r w:rsidR="008063E4" w:rsidRPr="00DB6087">
        <w:rPr>
          <w:rFonts w:asciiTheme="majorBidi" w:hAnsiTheme="majorBidi" w:cstheme="majorBidi"/>
          <w:sz w:val="24"/>
          <w:szCs w:val="24"/>
        </w:rPr>
        <w:t>pomięd</w:t>
      </w:r>
      <w:r w:rsidR="007832E9">
        <w:rPr>
          <w:rFonts w:asciiTheme="majorBidi" w:hAnsiTheme="majorBidi" w:cstheme="majorBidi"/>
          <w:sz w:val="24"/>
          <w:szCs w:val="24"/>
        </w:rPr>
        <w:t>zy badane kraje i uzależnione w </w:t>
      </w:r>
      <w:r w:rsidR="008063E4" w:rsidRPr="00DB6087">
        <w:rPr>
          <w:rFonts w:asciiTheme="majorBidi" w:hAnsiTheme="majorBidi" w:cstheme="majorBidi"/>
          <w:sz w:val="24"/>
          <w:szCs w:val="24"/>
        </w:rPr>
        <w:t>dużym stopniu od momentu akcesji danego kraju do strefy euro.</w:t>
      </w:r>
    </w:p>
    <w:p w14:paraId="567744E2" w14:textId="77777777" w:rsidR="00890388" w:rsidRPr="00DB6087" w:rsidRDefault="008063E4" w:rsidP="00D84A34">
      <w:pPr>
        <w:spacing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>Zjawisko deflacji wyodrębniło się w ostatnich latach, przy czym wyraźną odrębnością w tym zakresie jest Malta. Pozostałe kraje w mniejszym</w:t>
      </w:r>
      <w:r w:rsidR="00890388" w:rsidRPr="00DB6087">
        <w:rPr>
          <w:rFonts w:asciiTheme="majorBidi" w:hAnsiTheme="majorBidi" w:cstheme="majorBidi"/>
          <w:sz w:val="24"/>
          <w:szCs w:val="24"/>
        </w:rPr>
        <w:t xml:space="preserve"> (Słowacja, Estonia, Łotwa)</w:t>
      </w:r>
      <w:r w:rsidRPr="00DB6087">
        <w:rPr>
          <w:rFonts w:asciiTheme="majorBidi" w:hAnsiTheme="majorBidi" w:cstheme="majorBidi"/>
          <w:sz w:val="24"/>
          <w:szCs w:val="24"/>
        </w:rPr>
        <w:t xml:space="preserve"> lub większym zakresie</w:t>
      </w:r>
      <w:r w:rsidR="00890388" w:rsidRPr="00DB6087">
        <w:rPr>
          <w:rFonts w:asciiTheme="majorBidi" w:hAnsiTheme="majorBidi" w:cstheme="majorBidi"/>
          <w:sz w:val="24"/>
          <w:szCs w:val="24"/>
        </w:rPr>
        <w:t xml:space="preserve"> (Cypr, Słowenia) oscylują wokół zerowego poziomu inflacji.</w:t>
      </w:r>
      <w:r w:rsidR="000C34E7"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890388" w:rsidRPr="00DB6087">
        <w:rPr>
          <w:rFonts w:asciiTheme="majorBidi" w:hAnsiTheme="majorBidi" w:cstheme="majorBidi"/>
          <w:sz w:val="24"/>
          <w:szCs w:val="24"/>
        </w:rPr>
        <w:t xml:space="preserve">Polska na tym tle nie odbiega znacząco od badanych krajów pod względem samego poziomu inflacji, natomiast bez wątpienia </w:t>
      </w:r>
      <w:r w:rsidR="000C34E7" w:rsidRPr="00DB6087">
        <w:rPr>
          <w:rFonts w:asciiTheme="majorBidi" w:hAnsiTheme="majorBidi" w:cstheme="majorBidi"/>
          <w:sz w:val="24"/>
          <w:szCs w:val="24"/>
        </w:rPr>
        <w:t>była</w:t>
      </w:r>
      <w:r w:rsidR="00890388" w:rsidRPr="00DB6087">
        <w:rPr>
          <w:rFonts w:asciiTheme="majorBidi" w:hAnsiTheme="majorBidi" w:cstheme="majorBidi"/>
          <w:sz w:val="24"/>
          <w:szCs w:val="24"/>
        </w:rPr>
        <w:t xml:space="preserve"> krajem o </w:t>
      </w:r>
      <w:r w:rsidR="0052646D" w:rsidRPr="00DB6087">
        <w:rPr>
          <w:rFonts w:asciiTheme="majorBidi" w:hAnsiTheme="majorBidi" w:cstheme="majorBidi"/>
          <w:sz w:val="24"/>
          <w:szCs w:val="24"/>
        </w:rPr>
        <w:t>mniejszej liczbie skrajnych</w:t>
      </w:r>
      <w:r w:rsidR="00890388" w:rsidRPr="00DB6087">
        <w:rPr>
          <w:rFonts w:asciiTheme="majorBidi" w:hAnsiTheme="majorBidi" w:cstheme="majorBidi"/>
          <w:sz w:val="24"/>
          <w:szCs w:val="24"/>
        </w:rPr>
        <w:t xml:space="preserve"> poziom</w:t>
      </w:r>
      <w:r w:rsidR="0052646D" w:rsidRPr="00DB6087">
        <w:rPr>
          <w:rFonts w:asciiTheme="majorBidi" w:hAnsiTheme="majorBidi" w:cstheme="majorBidi"/>
          <w:sz w:val="24"/>
          <w:szCs w:val="24"/>
        </w:rPr>
        <w:t>ów</w:t>
      </w:r>
      <w:r w:rsidR="00890388" w:rsidRPr="00DB6087">
        <w:rPr>
          <w:rFonts w:asciiTheme="majorBidi" w:hAnsiTheme="majorBidi" w:cstheme="majorBidi"/>
          <w:sz w:val="24"/>
          <w:szCs w:val="24"/>
        </w:rPr>
        <w:t xml:space="preserve"> inflacji.</w:t>
      </w:r>
    </w:p>
    <w:p w14:paraId="389A7096" w14:textId="77777777" w:rsidR="000958CD" w:rsidRDefault="0052646D" w:rsidP="00241D80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 xml:space="preserve">Zatem ogólnie można stwierdzić, że </w:t>
      </w:r>
      <w:r w:rsidR="000958CD" w:rsidRPr="00DB6087">
        <w:rPr>
          <w:rFonts w:asciiTheme="majorBidi" w:hAnsiTheme="majorBidi" w:cstheme="majorBidi"/>
          <w:sz w:val="24"/>
          <w:szCs w:val="24"/>
        </w:rPr>
        <w:t>o ile stabil</w:t>
      </w:r>
      <w:r w:rsidR="004A4E3D">
        <w:rPr>
          <w:rFonts w:asciiTheme="majorBidi" w:hAnsiTheme="majorBidi" w:cstheme="majorBidi"/>
          <w:sz w:val="24"/>
          <w:szCs w:val="24"/>
        </w:rPr>
        <w:t>izacja poziomu inflacji miała w </w:t>
      </w:r>
      <w:r w:rsidR="000958CD" w:rsidRPr="00DB6087">
        <w:rPr>
          <w:rFonts w:asciiTheme="majorBidi" w:hAnsiTheme="majorBidi" w:cstheme="majorBidi"/>
          <w:sz w:val="24"/>
          <w:szCs w:val="24"/>
        </w:rPr>
        <w:t>analizowanych przypadkach związek z obecnością</w:t>
      </w:r>
      <w:r w:rsidR="00FC792A" w:rsidRPr="00DB6087">
        <w:rPr>
          <w:rFonts w:asciiTheme="majorBidi" w:hAnsiTheme="majorBidi" w:cstheme="majorBidi"/>
          <w:sz w:val="24"/>
          <w:szCs w:val="24"/>
        </w:rPr>
        <w:t xml:space="preserve"> danego kraju</w:t>
      </w:r>
      <w:r w:rsidR="000958CD" w:rsidRPr="00DB6087">
        <w:rPr>
          <w:rFonts w:asciiTheme="majorBidi" w:hAnsiTheme="majorBidi" w:cstheme="majorBidi"/>
          <w:sz w:val="24"/>
          <w:szCs w:val="24"/>
        </w:rPr>
        <w:t xml:space="preserve"> w strefie euro, to nie </w:t>
      </w:r>
      <w:r w:rsidR="000C34E7" w:rsidRPr="00DB6087">
        <w:rPr>
          <w:rFonts w:asciiTheme="majorBidi" w:hAnsiTheme="majorBidi" w:cstheme="majorBidi"/>
          <w:sz w:val="24"/>
          <w:szCs w:val="24"/>
        </w:rPr>
        <w:t>było</w:t>
      </w:r>
      <w:r w:rsidR="000958CD" w:rsidRPr="00DB6087">
        <w:rPr>
          <w:rFonts w:asciiTheme="majorBidi" w:hAnsiTheme="majorBidi" w:cstheme="majorBidi"/>
          <w:sz w:val="24"/>
          <w:szCs w:val="24"/>
        </w:rPr>
        <w:t xml:space="preserve"> to zjawisko jednoznacznie tym uwarunkowane. </w:t>
      </w:r>
      <w:r w:rsidR="000C34E7" w:rsidRPr="00DB6087">
        <w:rPr>
          <w:rFonts w:asciiTheme="majorBidi" w:hAnsiTheme="majorBidi" w:cstheme="majorBidi"/>
          <w:sz w:val="24"/>
          <w:szCs w:val="24"/>
        </w:rPr>
        <w:t>W</w:t>
      </w:r>
      <w:r w:rsidR="000958CD" w:rsidRPr="00DB6087">
        <w:rPr>
          <w:rFonts w:asciiTheme="majorBidi" w:hAnsiTheme="majorBidi" w:cstheme="majorBidi"/>
          <w:sz w:val="24"/>
          <w:szCs w:val="24"/>
        </w:rPr>
        <w:t xml:space="preserve"> przypadku dużego kraju jak Polska, </w:t>
      </w:r>
      <w:r w:rsidR="000C34E7" w:rsidRPr="00DB6087">
        <w:rPr>
          <w:rFonts w:asciiTheme="majorBidi" w:hAnsiTheme="majorBidi" w:cstheme="majorBidi"/>
          <w:sz w:val="24"/>
          <w:szCs w:val="24"/>
        </w:rPr>
        <w:t>wydaje się, że istnieją inne czynniki, które również wpływają stabilizująco na inflację, pomimo pozostawania poza strefą euro.</w:t>
      </w:r>
    </w:p>
    <w:p w14:paraId="17DE0635" w14:textId="77777777" w:rsidR="00241D80" w:rsidRPr="00DB6087" w:rsidRDefault="00241D80" w:rsidP="00241D80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3BA0DF51" w14:textId="77777777" w:rsidR="001A6E9B" w:rsidRPr="00DB6087" w:rsidRDefault="001A6E9B" w:rsidP="00241D80">
      <w:pPr>
        <w:pStyle w:val="Akapitzlist"/>
        <w:numPr>
          <w:ilvl w:val="1"/>
          <w:numId w:val="1"/>
        </w:numPr>
        <w:spacing w:line="240" w:lineRule="auto"/>
        <w:ind w:left="0" w:firstLine="0"/>
        <w:rPr>
          <w:rFonts w:asciiTheme="majorBidi" w:hAnsiTheme="majorBidi" w:cstheme="majorBidi"/>
          <w:b/>
          <w:sz w:val="24"/>
          <w:szCs w:val="24"/>
        </w:rPr>
      </w:pPr>
      <w:r w:rsidRPr="00DB6087">
        <w:rPr>
          <w:rFonts w:asciiTheme="majorBidi" w:hAnsiTheme="majorBidi" w:cstheme="majorBidi"/>
          <w:b/>
          <w:sz w:val="24"/>
          <w:szCs w:val="24"/>
        </w:rPr>
        <w:t>Analiza wskaźników rynku pracy</w:t>
      </w:r>
    </w:p>
    <w:p w14:paraId="25A40BE1" w14:textId="77777777" w:rsidR="001A6E9B" w:rsidRPr="00DB6087" w:rsidRDefault="001A6E9B" w:rsidP="00D84A34">
      <w:pPr>
        <w:spacing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>Analiza makroekonomicznych wskaźników rynku pracy jest istotnym elementem badań w kontekście weryfikacji szans i zagrożenia dla mieszkańców</w:t>
      </w:r>
      <w:r w:rsidR="00100A70" w:rsidRPr="00DB6087">
        <w:rPr>
          <w:rFonts w:asciiTheme="majorBidi" w:hAnsiTheme="majorBidi" w:cstheme="majorBidi"/>
          <w:sz w:val="24"/>
          <w:szCs w:val="24"/>
        </w:rPr>
        <w:t xml:space="preserve"> badanych</w:t>
      </w:r>
      <w:r w:rsidRPr="00DB6087">
        <w:rPr>
          <w:rFonts w:asciiTheme="majorBidi" w:hAnsiTheme="majorBidi" w:cstheme="majorBidi"/>
          <w:sz w:val="24"/>
          <w:szCs w:val="24"/>
        </w:rPr>
        <w:t xml:space="preserve"> krajów po przyjęciu waluty euro. Tendencje na tym rynku są istotne</w:t>
      </w:r>
      <w:r w:rsidR="00100A70" w:rsidRPr="00DB6087">
        <w:rPr>
          <w:rFonts w:asciiTheme="majorBidi" w:hAnsiTheme="majorBidi" w:cstheme="majorBidi"/>
          <w:sz w:val="24"/>
          <w:szCs w:val="24"/>
        </w:rPr>
        <w:t xml:space="preserve"> również</w:t>
      </w:r>
      <w:r w:rsidRPr="00DB6087">
        <w:rPr>
          <w:rFonts w:asciiTheme="majorBidi" w:hAnsiTheme="majorBidi" w:cstheme="majorBidi"/>
          <w:sz w:val="24"/>
          <w:szCs w:val="24"/>
        </w:rPr>
        <w:t xml:space="preserve"> ze względu na obawy jakie w większości wyrażają obywatele państw przed rezygnacją z narodowej waluty na rzecz euro. Pozytywne zmiany na rynku pracy sprzyjają procesom integracji, negatywne w skrajnych przypadkach mogą budzić zachowania </w:t>
      </w:r>
      <w:r w:rsidR="00100A70" w:rsidRPr="00DB6087">
        <w:rPr>
          <w:rFonts w:asciiTheme="majorBidi" w:hAnsiTheme="majorBidi" w:cstheme="majorBidi"/>
          <w:sz w:val="24"/>
          <w:szCs w:val="24"/>
        </w:rPr>
        <w:t>separatystyczne</w:t>
      </w:r>
      <w:r w:rsidRPr="00DB6087">
        <w:rPr>
          <w:rFonts w:asciiTheme="majorBidi" w:hAnsiTheme="majorBidi" w:cstheme="majorBidi"/>
          <w:sz w:val="24"/>
          <w:szCs w:val="24"/>
        </w:rPr>
        <w:t xml:space="preserve">. </w:t>
      </w:r>
    </w:p>
    <w:p w14:paraId="21688E55" w14:textId="77777777" w:rsidR="001A6E9B" w:rsidRPr="00405762" w:rsidRDefault="0074660C" w:rsidP="0074660C">
      <w:pPr>
        <w:spacing w:line="240" w:lineRule="auto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405762">
        <w:rPr>
          <w:rFonts w:asciiTheme="majorBidi" w:hAnsiTheme="majorBidi" w:cstheme="majorBidi"/>
          <w:bCs/>
          <w:sz w:val="20"/>
          <w:szCs w:val="20"/>
        </w:rPr>
        <w:t xml:space="preserve">Tab. 3. </w:t>
      </w:r>
      <w:r w:rsidR="001A6E9B" w:rsidRPr="00405762">
        <w:rPr>
          <w:rFonts w:asciiTheme="majorBidi" w:hAnsiTheme="majorBidi" w:cstheme="majorBidi"/>
          <w:bCs/>
          <w:sz w:val="20"/>
          <w:szCs w:val="20"/>
        </w:rPr>
        <w:t xml:space="preserve">Wskaźnik </w:t>
      </w:r>
      <w:r w:rsidR="00575944" w:rsidRPr="00405762">
        <w:rPr>
          <w:rFonts w:asciiTheme="majorBidi" w:hAnsiTheme="majorBidi" w:cstheme="majorBidi"/>
          <w:bCs/>
          <w:sz w:val="20"/>
          <w:szCs w:val="20"/>
        </w:rPr>
        <w:t>b</w:t>
      </w:r>
      <w:r w:rsidR="001A6E9B" w:rsidRPr="00405762">
        <w:rPr>
          <w:rFonts w:asciiTheme="majorBidi" w:hAnsiTheme="majorBidi" w:cstheme="majorBidi"/>
          <w:bCs/>
          <w:sz w:val="20"/>
          <w:szCs w:val="20"/>
        </w:rPr>
        <w:t xml:space="preserve">ezrobocia w krajach przyjmujących walutę </w:t>
      </w:r>
      <w:r w:rsidR="00575944" w:rsidRPr="00405762">
        <w:rPr>
          <w:rFonts w:asciiTheme="majorBidi" w:hAnsiTheme="majorBidi" w:cstheme="majorBidi"/>
          <w:bCs/>
          <w:sz w:val="20"/>
          <w:szCs w:val="20"/>
        </w:rPr>
        <w:t>e</w:t>
      </w:r>
      <w:r w:rsidR="001A6E9B" w:rsidRPr="00405762">
        <w:rPr>
          <w:rFonts w:asciiTheme="majorBidi" w:hAnsiTheme="majorBidi" w:cstheme="majorBidi"/>
          <w:bCs/>
          <w:sz w:val="20"/>
          <w:szCs w:val="20"/>
        </w:rPr>
        <w:t>uro w latach 200</w:t>
      </w:r>
      <w:r w:rsidR="00575944" w:rsidRPr="00405762">
        <w:rPr>
          <w:rFonts w:asciiTheme="majorBidi" w:hAnsiTheme="majorBidi" w:cstheme="majorBidi"/>
          <w:bCs/>
          <w:sz w:val="20"/>
          <w:szCs w:val="20"/>
        </w:rPr>
        <w:t>4</w:t>
      </w:r>
      <w:r w:rsidR="001A6E9B" w:rsidRPr="00405762">
        <w:rPr>
          <w:rFonts w:asciiTheme="majorBidi" w:hAnsiTheme="majorBidi" w:cstheme="majorBidi"/>
          <w:bCs/>
          <w:sz w:val="20"/>
          <w:szCs w:val="20"/>
        </w:rPr>
        <w:t>-201</w:t>
      </w:r>
      <w:r w:rsidR="00575944" w:rsidRPr="00405762">
        <w:rPr>
          <w:rFonts w:asciiTheme="majorBidi" w:hAnsiTheme="majorBidi" w:cstheme="majorBidi"/>
          <w:bCs/>
          <w:sz w:val="20"/>
          <w:szCs w:val="20"/>
        </w:rPr>
        <w:t>5</w:t>
      </w:r>
      <w:r w:rsidR="001A6E9B" w:rsidRPr="00405762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="00575944" w:rsidRPr="00405762">
        <w:rPr>
          <w:rFonts w:asciiTheme="majorBidi" w:hAnsiTheme="majorBidi" w:cstheme="majorBidi"/>
          <w:bCs/>
          <w:sz w:val="20"/>
          <w:szCs w:val="20"/>
        </w:rPr>
        <w:t>(</w:t>
      </w:r>
      <w:r w:rsidR="001A6E9B" w:rsidRPr="00405762">
        <w:rPr>
          <w:rFonts w:asciiTheme="majorBidi" w:hAnsiTheme="majorBidi" w:cstheme="majorBidi"/>
          <w:bCs/>
          <w:sz w:val="20"/>
          <w:szCs w:val="20"/>
        </w:rPr>
        <w:t>w %</w:t>
      </w:r>
      <w:r w:rsidR="00575944" w:rsidRPr="00405762">
        <w:rPr>
          <w:rFonts w:asciiTheme="majorBidi" w:hAnsiTheme="majorBidi" w:cstheme="majorBidi"/>
          <w:bCs/>
          <w:sz w:val="20"/>
          <w:szCs w:val="20"/>
        </w:rPr>
        <w:t xml:space="preserve"> na koniec roku)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3"/>
        <w:gridCol w:w="694"/>
        <w:gridCol w:w="694"/>
        <w:gridCol w:w="694"/>
        <w:gridCol w:w="695"/>
        <w:gridCol w:w="695"/>
        <w:gridCol w:w="695"/>
        <w:gridCol w:w="695"/>
        <w:gridCol w:w="695"/>
        <w:gridCol w:w="695"/>
        <w:gridCol w:w="695"/>
        <w:gridCol w:w="695"/>
        <w:gridCol w:w="687"/>
      </w:tblGrid>
      <w:tr w:rsidR="005A77D6" w:rsidRPr="00DB6087" w14:paraId="5FC0C38F" w14:textId="77777777" w:rsidTr="00405762">
        <w:trPr>
          <w:trHeight w:val="269"/>
        </w:trPr>
        <w:tc>
          <w:tcPr>
            <w:tcW w:w="480" w:type="pct"/>
            <w:shd w:val="clear" w:color="auto" w:fill="FFFFFF" w:themeFill="background1"/>
            <w:noWrap/>
            <w:vAlign w:val="center"/>
          </w:tcPr>
          <w:p w14:paraId="43291351" w14:textId="77777777" w:rsidR="005A77D6" w:rsidRPr="00405762" w:rsidRDefault="005A77D6" w:rsidP="004057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KRAJ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19D6EC5C" w14:textId="77777777" w:rsidR="005A77D6" w:rsidRPr="00405762" w:rsidRDefault="005A77D6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65364868" w14:textId="77777777" w:rsidR="005A77D6" w:rsidRPr="00405762" w:rsidRDefault="005A77D6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2005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6E84A674" w14:textId="77777777" w:rsidR="005A77D6" w:rsidRPr="00405762" w:rsidRDefault="005A77D6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2006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71F2A6D3" w14:textId="77777777" w:rsidR="005A77D6" w:rsidRPr="00405762" w:rsidRDefault="005A77D6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04F6E212" w14:textId="77777777" w:rsidR="005A77D6" w:rsidRPr="00405762" w:rsidRDefault="005A77D6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2008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0E4B71EF" w14:textId="77777777" w:rsidR="005A77D6" w:rsidRPr="00405762" w:rsidRDefault="005A77D6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7F5E836F" w14:textId="77777777" w:rsidR="005A77D6" w:rsidRPr="00405762" w:rsidRDefault="005A77D6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67E54091" w14:textId="77777777" w:rsidR="005A77D6" w:rsidRPr="00405762" w:rsidRDefault="005A77D6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60EAF5A2" w14:textId="77777777" w:rsidR="005A77D6" w:rsidRPr="00405762" w:rsidRDefault="005A77D6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30DE2477" w14:textId="77777777" w:rsidR="005A77D6" w:rsidRPr="00405762" w:rsidRDefault="005A77D6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5529B030" w14:textId="77777777" w:rsidR="005A77D6" w:rsidRPr="00405762" w:rsidRDefault="005A77D6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3B58FBCD" w14:textId="77777777" w:rsidR="005A77D6" w:rsidRPr="00405762" w:rsidRDefault="005A77D6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2015</w:t>
            </w:r>
          </w:p>
        </w:tc>
      </w:tr>
      <w:tr w:rsidR="00414DDC" w:rsidRPr="00DB6087" w14:paraId="74003D6C" w14:textId="77777777" w:rsidTr="00405762">
        <w:trPr>
          <w:trHeight w:val="269"/>
        </w:trPr>
        <w:tc>
          <w:tcPr>
            <w:tcW w:w="480" w:type="pct"/>
            <w:shd w:val="clear" w:color="auto" w:fill="FFFFFF" w:themeFill="background1"/>
            <w:noWrap/>
            <w:vAlign w:val="center"/>
          </w:tcPr>
          <w:p w14:paraId="011B27DC" w14:textId="77777777" w:rsidR="00414DDC" w:rsidRPr="00405762" w:rsidRDefault="00414DDC" w:rsidP="004057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Słowenia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09D4CD69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6,6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43D8E83F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6,8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73529994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5,4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42DABF72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4,7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5CEF5BD8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4,5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65A348BB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6,5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442A10EA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7,9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1CD7B8D4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8,6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1ADA4C00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9,6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43A24B34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9,8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442BF45D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9,3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654A71E5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8,9</w:t>
            </w:r>
          </w:p>
        </w:tc>
      </w:tr>
      <w:tr w:rsidR="00414DDC" w:rsidRPr="00DB6087" w14:paraId="4B104BF4" w14:textId="77777777" w:rsidTr="00405762">
        <w:trPr>
          <w:trHeight w:val="269"/>
        </w:trPr>
        <w:tc>
          <w:tcPr>
            <w:tcW w:w="480" w:type="pct"/>
            <w:shd w:val="clear" w:color="auto" w:fill="FFFFFF" w:themeFill="background1"/>
            <w:noWrap/>
            <w:vAlign w:val="center"/>
          </w:tcPr>
          <w:p w14:paraId="48415344" w14:textId="77777777" w:rsidR="00414DDC" w:rsidRPr="00405762" w:rsidRDefault="00414DDC" w:rsidP="004057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lastRenderedPageBreak/>
              <w:t>Cypr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0D243B70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5,2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4208E219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5,5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69D6AB93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4,4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6B812614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3,8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549EBAE3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3,8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68746669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6,5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5489C314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6,0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440DB68C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9,6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5D21025B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13,7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566453AB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16,3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61EAB590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16,4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04444B7A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15,7</w:t>
            </w:r>
          </w:p>
        </w:tc>
      </w:tr>
      <w:tr w:rsidR="00100A70" w:rsidRPr="00DB6087" w14:paraId="1C431886" w14:textId="77777777" w:rsidTr="00405762">
        <w:trPr>
          <w:trHeight w:val="269"/>
        </w:trPr>
        <w:tc>
          <w:tcPr>
            <w:tcW w:w="480" w:type="pct"/>
            <w:shd w:val="clear" w:color="auto" w:fill="FFFFFF" w:themeFill="background1"/>
            <w:noWrap/>
            <w:vAlign w:val="center"/>
          </w:tcPr>
          <w:p w14:paraId="4B3EB82A" w14:textId="77777777" w:rsidR="00100A70" w:rsidRPr="00405762" w:rsidRDefault="00100A70" w:rsidP="004057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Malta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402C0C02" w14:textId="77777777" w:rsidR="00100A70" w:rsidRPr="00405762" w:rsidRDefault="00100A70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6,8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74D58004" w14:textId="77777777" w:rsidR="00100A70" w:rsidRPr="00405762" w:rsidRDefault="00100A70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6,9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3D9D0ABF" w14:textId="77777777" w:rsidR="00100A70" w:rsidRPr="00405762" w:rsidRDefault="00100A70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6,5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4CB20D70" w14:textId="77777777" w:rsidR="00100A70" w:rsidRPr="00405762" w:rsidRDefault="00100A70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6,0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65BA6989" w14:textId="77777777" w:rsidR="00100A70" w:rsidRPr="00405762" w:rsidRDefault="00100A70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6,1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3B6FA388" w14:textId="77777777" w:rsidR="00100A70" w:rsidRPr="00405762" w:rsidRDefault="00100A70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6,9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44E16E6D" w14:textId="77777777" w:rsidR="00100A70" w:rsidRPr="00405762" w:rsidRDefault="00100A70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6,8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17561328" w14:textId="77777777" w:rsidR="00100A70" w:rsidRPr="00405762" w:rsidRDefault="00100A70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6,6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5C29AAEA" w14:textId="77777777" w:rsidR="00100A70" w:rsidRPr="00405762" w:rsidRDefault="00100A70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6,2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458EB47D" w14:textId="77777777" w:rsidR="00100A70" w:rsidRPr="00405762" w:rsidRDefault="00100A70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6,4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0EAF0551" w14:textId="77777777" w:rsidR="00100A70" w:rsidRPr="00405762" w:rsidRDefault="00100A70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5,9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6B6BA919" w14:textId="77777777" w:rsidR="00100A70" w:rsidRPr="00405762" w:rsidRDefault="00100A70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5,1</w:t>
            </w:r>
          </w:p>
        </w:tc>
      </w:tr>
      <w:tr w:rsidR="00414DDC" w:rsidRPr="00DB6087" w14:paraId="1F60BA27" w14:textId="77777777" w:rsidTr="00405762">
        <w:trPr>
          <w:trHeight w:val="269"/>
        </w:trPr>
        <w:tc>
          <w:tcPr>
            <w:tcW w:w="480" w:type="pct"/>
            <w:shd w:val="clear" w:color="auto" w:fill="FFFFFF" w:themeFill="background1"/>
            <w:noWrap/>
            <w:vAlign w:val="center"/>
          </w:tcPr>
          <w:p w14:paraId="55108AA5" w14:textId="77777777" w:rsidR="00414DDC" w:rsidRPr="00405762" w:rsidRDefault="00414DDC" w:rsidP="004057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Słowacja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76A3BE18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17,6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02C09CFA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15,4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3252D8D8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12,1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2F55AEE3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10,5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052311D6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9,1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2D6FEA47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14,4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397B6DBA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13,9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4F2D3A6F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14,0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15278134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14,4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2794694E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14,0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03989EC5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12,4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110F9F58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10,6</w:t>
            </w:r>
          </w:p>
        </w:tc>
      </w:tr>
      <w:tr w:rsidR="00414DDC" w:rsidRPr="00DB6087" w14:paraId="29AD4D46" w14:textId="77777777" w:rsidTr="00405762">
        <w:trPr>
          <w:trHeight w:val="269"/>
        </w:trPr>
        <w:tc>
          <w:tcPr>
            <w:tcW w:w="480" w:type="pct"/>
            <w:shd w:val="clear" w:color="auto" w:fill="FFFFFF" w:themeFill="background1"/>
            <w:noWrap/>
            <w:vAlign w:val="center"/>
          </w:tcPr>
          <w:p w14:paraId="5CD23312" w14:textId="77777777" w:rsidR="00414DDC" w:rsidRPr="00405762" w:rsidRDefault="00414DDC" w:rsidP="004057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Estonia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06FE2FA1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9,5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6075F127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6,8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27B151D1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5,1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589C80F0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4,1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070B5201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9,0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5855A988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16,8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6955B6F2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14,1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18585B60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10,9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10B63636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9,5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394A8245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8,5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7A7463EF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6,3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5E2AC3FB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6,3</w:t>
            </w:r>
          </w:p>
        </w:tc>
      </w:tr>
      <w:tr w:rsidR="00414DDC" w:rsidRPr="00DB6087" w14:paraId="2D28ED0B" w14:textId="77777777" w:rsidTr="00405762">
        <w:trPr>
          <w:trHeight w:val="269"/>
        </w:trPr>
        <w:tc>
          <w:tcPr>
            <w:tcW w:w="480" w:type="pct"/>
            <w:shd w:val="clear" w:color="auto" w:fill="FFFFFF" w:themeFill="background1"/>
            <w:noWrap/>
            <w:vAlign w:val="center"/>
          </w:tcPr>
          <w:p w14:paraId="787A4F24" w14:textId="77777777" w:rsidR="00414DDC" w:rsidRPr="00405762" w:rsidRDefault="00414DDC" w:rsidP="004057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Łotwa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073B1AAF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11,8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017B4FC5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8,5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72AFE1C6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6,6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60756563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5,6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12BF611B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11,3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52FD0FFD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20,5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515B4C2E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17,6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3686506F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15,3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59C8965A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13,8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7F3CE756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11,5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5E83DCFB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10,1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03C16413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10,1</w:t>
            </w:r>
          </w:p>
        </w:tc>
      </w:tr>
      <w:tr w:rsidR="00414DDC" w:rsidRPr="00DB6087" w14:paraId="315AE694" w14:textId="77777777" w:rsidTr="00405762">
        <w:trPr>
          <w:trHeight w:val="269"/>
        </w:trPr>
        <w:tc>
          <w:tcPr>
            <w:tcW w:w="480" w:type="pct"/>
            <w:shd w:val="clear" w:color="auto" w:fill="FFFFFF" w:themeFill="background1"/>
            <w:noWrap/>
            <w:vAlign w:val="center"/>
          </w:tcPr>
          <w:p w14:paraId="161A850F" w14:textId="77777777" w:rsidR="00414DDC" w:rsidRPr="00405762" w:rsidRDefault="00414DDC" w:rsidP="004057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Polska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126F3D8F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18,3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509957C3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16,6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25C8B240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11,9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1F6B15FF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8,2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6A379BD2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7,0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7261AC5D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9,0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281E6D43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9,5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32527862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9,9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</w:tcPr>
          <w:p w14:paraId="20E127A9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10,4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78BB52FC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10,0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456B9086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8,2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4A942BA3" w14:textId="77777777" w:rsidR="00414DDC" w:rsidRPr="00405762" w:rsidRDefault="00414DD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7,1</w:t>
            </w:r>
          </w:p>
        </w:tc>
      </w:tr>
    </w:tbl>
    <w:p w14:paraId="074C97DB" w14:textId="77777777" w:rsidR="001A6E9B" w:rsidRPr="00405762" w:rsidRDefault="001A6E9B" w:rsidP="00405762">
      <w:pPr>
        <w:spacing w:before="240" w:after="0" w:line="360" w:lineRule="auto"/>
        <w:ind w:firstLine="708"/>
        <w:rPr>
          <w:rFonts w:asciiTheme="majorBidi" w:hAnsiTheme="majorBidi" w:cstheme="majorBidi"/>
          <w:iCs/>
          <w:sz w:val="20"/>
          <w:szCs w:val="20"/>
        </w:rPr>
      </w:pPr>
      <w:r w:rsidRPr="00405762">
        <w:rPr>
          <w:rFonts w:asciiTheme="majorBidi" w:hAnsiTheme="majorBidi" w:cstheme="majorBidi"/>
          <w:iCs/>
          <w:sz w:val="20"/>
          <w:szCs w:val="20"/>
        </w:rPr>
        <w:t>Źródło: Opracowanie własne na podstawie danych EUROSTAT.</w:t>
      </w:r>
    </w:p>
    <w:p w14:paraId="206A691A" w14:textId="77777777" w:rsidR="00B23069" w:rsidRPr="00DB6087" w:rsidRDefault="00B23069" w:rsidP="00241D80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>Analizę stopy bezrobocia należy odnieść do krót</w:t>
      </w:r>
      <w:r w:rsidR="004A4E3D">
        <w:rPr>
          <w:rFonts w:asciiTheme="majorBidi" w:hAnsiTheme="majorBidi" w:cstheme="majorBidi"/>
          <w:sz w:val="24"/>
          <w:szCs w:val="24"/>
        </w:rPr>
        <w:t>kiego i długiego okresu czasu w </w:t>
      </w:r>
      <w:r w:rsidRPr="00DB6087">
        <w:rPr>
          <w:rFonts w:asciiTheme="majorBidi" w:hAnsiTheme="majorBidi" w:cstheme="majorBidi"/>
          <w:sz w:val="24"/>
          <w:szCs w:val="24"/>
        </w:rPr>
        <w:t>stosunku do momentu przyjęcia waluty euro. W krajach takich jak Słowenia, Estonia oraz Łotwa(tabela 3</w:t>
      </w:r>
      <w:r w:rsidR="00AD5CA5" w:rsidRPr="00DB6087">
        <w:rPr>
          <w:rFonts w:asciiTheme="majorBidi" w:hAnsiTheme="majorBidi" w:cstheme="majorBidi"/>
          <w:sz w:val="24"/>
          <w:szCs w:val="24"/>
        </w:rPr>
        <w:t>,</w:t>
      </w:r>
      <w:r w:rsidRPr="00DB6087">
        <w:rPr>
          <w:rFonts w:asciiTheme="majorBidi" w:hAnsiTheme="majorBidi" w:cstheme="majorBidi"/>
          <w:sz w:val="24"/>
          <w:szCs w:val="24"/>
        </w:rPr>
        <w:t xml:space="preserve"> kolor zielony) zaobserwowano krótkoterminowy pozytywny efekt spadku stopy bezrobocia w pierwszym roku po wejściu do strefy euro. W przypadku dwóch krajów Malty i Słowacji (kolor czerwony) nastąpił wzrost</w:t>
      </w:r>
      <w:r w:rsidR="00AD5CA5" w:rsidRPr="00DB6087">
        <w:rPr>
          <w:rFonts w:asciiTheme="majorBidi" w:hAnsiTheme="majorBidi" w:cstheme="majorBidi"/>
          <w:sz w:val="24"/>
          <w:szCs w:val="24"/>
        </w:rPr>
        <w:t xml:space="preserve"> stopy</w:t>
      </w:r>
      <w:r w:rsidRPr="00DB6087">
        <w:rPr>
          <w:rFonts w:asciiTheme="majorBidi" w:hAnsiTheme="majorBidi" w:cstheme="majorBidi"/>
          <w:sz w:val="24"/>
          <w:szCs w:val="24"/>
        </w:rPr>
        <w:t xml:space="preserve"> bezrobocia na koniec pierwszego roku po akcesji do strefy euro.</w:t>
      </w:r>
    </w:p>
    <w:p w14:paraId="2D4EDB4B" w14:textId="77777777" w:rsidR="00405762" w:rsidRDefault="00A068AD" w:rsidP="00267720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>Biorąc pod uwagę długookresową perspektywę czasową można stwierdzić, że kraje takie jak Słowenia i Cypr pomimo początkowego spadku, odnotowały wielo</w:t>
      </w:r>
      <w:r w:rsidR="00AD5CA5" w:rsidRPr="00DB6087">
        <w:rPr>
          <w:rFonts w:asciiTheme="majorBidi" w:hAnsiTheme="majorBidi" w:cstheme="majorBidi"/>
          <w:sz w:val="24"/>
          <w:szCs w:val="24"/>
        </w:rPr>
        <w:t>letni wzrost poziomu bezrobocia</w:t>
      </w:r>
      <w:r w:rsidRPr="00DB6087">
        <w:rPr>
          <w:rFonts w:asciiTheme="majorBidi" w:hAnsiTheme="majorBidi" w:cstheme="majorBidi"/>
          <w:sz w:val="24"/>
          <w:szCs w:val="24"/>
        </w:rPr>
        <w:t xml:space="preserve"> po przyjęciu waluty euro. Równie niekorzystnie kształtował</w:t>
      </w:r>
      <w:r w:rsidR="00AD5CA5" w:rsidRPr="00DB6087">
        <w:rPr>
          <w:rFonts w:asciiTheme="majorBidi" w:hAnsiTheme="majorBidi" w:cstheme="majorBidi"/>
          <w:sz w:val="24"/>
          <w:szCs w:val="24"/>
        </w:rPr>
        <w:t>a</w:t>
      </w:r>
      <w:r w:rsidRPr="00DB6087">
        <w:rPr>
          <w:rFonts w:asciiTheme="majorBidi" w:hAnsiTheme="majorBidi" w:cstheme="majorBidi"/>
          <w:sz w:val="24"/>
          <w:szCs w:val="24"/>
        </w:rPr>
        <w:t xml:space="preserve"> się sytuacja na Słowacji</w:t>
      </w:r>
      <w:r w:rsidR="00DE2913" w:rsidRPr="00DB6087">
        <w:rPr>
          <w:rFonts w:asciiTheme="majorBidi" w:hAnsiTheme="majorBidi" w:cstheme="majorBidi"/>
          <w:sz w:val="24"/>
          <w:szCs w:val="24"/>
        </w:rPr>
        <w:t>,</w:t>
      </w:r>
      <w:r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DE2913" w:rsidRPr="00DB6087">
        <w:rPr>
          <w:rFonts w:asciiTheme="majorBidi" w:hAnsiTheme="majorBidi" w:cstheme="majorBidi"/>
          <w:sz w:val="24"/>
          <w:szCs w:val="24"/>
        </w:rPr>
        <w:t>przy czym w ostatnim okresie nastąpił</w:t>
      </w:r>
      <w:r w:rsidR="00AD5CA5" w:rsidRPr="00DB6087">
        <w:rPr>
          <w:rFonts w:asciiTheme="majorBidi" w:hAnsiTheme="majorBidi" w:cstheme="majorBidi"/>
          <w:sz w:val="24"/>
          <w:szCs w:val="24"/>
        </w:rPr>
        <w:t xml:space="preserve"> tam</w:t>
      </w:r>
      <w:r w:rsidR="00DE2913" w:rsidRPr="00DB6087">
        <w:rPr>
          <w:rFonts w:asciiTheme="majorBidi" w:hAnsiTheme="majorBidi" w:cstheme="majorBidi"/>
          <w:sz w:val="24"/>
          <w:szCs w:val="24"/>
        </w:rPr>
        <w:t xml:space="preserve"> wyraźny spadek bezrobocia. Moment wejścia do strefy euro powyższych krajów zbiegł się z okresem nasilenia negatywnych skutków kryzysu światowego, co doprowadziło do </w:t>
      </w:r>
      <w:r w:rsidR="007657D7" w:rsidRPr="00DB6087">
        <w:rPr>
          <w:rFonts w:asciiTheme="majorBidi" w:hAnsiTheme="majorBidi" w:cstheme="majorBidi"/>
          <w:sz w:val="24"/>
          <w:szCs w:val="24"/>
        </w:rPr>
        <w:t xml:space="preserve">kumulacji </w:t>
      </w:r>
      <w:r w:rsidR="006345CC" w:rsidRPr="00DB6087">
        <w:rPr>
          <w:rFonts w:asciiTheme="majorBidi" w:hAnsiTheme="majorBidi" w:cstheme="majorBidi"/>
          <w:sz w:val="24"/>
          <w:szCs w:val="24"/>
        </w:rPr>
        <w:t xml:space="preserve">niekorzystnych </w:t>
      </w:r>
      <w:r w:rsidR="007657D7" w:rsidRPr="00DB6087">
        <w:rPr>
          <w:rFonts w:asciiTheme="majorBidi" w:hAnsiTheme="majorBidi" w:cstheme="majorBidi"/>
          <w:sz w:val="24"/>
          <w:szCs w:val="24"/>
        </w:rPr>
        <w:t>efektów ekonomicznych obu procesów. Pod tym względem w pewnej przeciwstawności pozostawała sytuacja w Estonii i na Łotwie, gdzie spadek bezrobocia w momencie akcesji obu krajów, był elementem wieloletniego trendu.</w:t>
      </w:r>
    </w:p>
    <w:p w14:paraId="453FA5B6" w14:textId="77777777" w:rsidR="00267720" w:rsidRPr="00DB6087" w:rsidRDefault="00267720" w:rsidP="00267720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35C50C50" w14:textId="77777777" w:rsidR="001A6E9B" w:rsidRPr="00405762" w:rsidRDefault="006345CC" w:rsidP="0074660C">
      <w:pPr>
        <w:spacing w:line="240" w:lineRule="auto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405762">
        <w:rPr>
          <w:rFonts w:asciiTheme="majorBidi" w:hAnsiTheme="majorBidi" w:cstheme="majorBidi"/>
          <w:bCs/>
          <w:sz w:val="20"/>
          <w:szCs w:val="20"/>
        </w:rPr>
        <w:t>Tab</w:t>
      </w:r>
      <w:r w:rsidR="0074660C" w:rsidRPr="00405762">
        <w:rPr>
          <w:rFonts w:asciiTheme="majorBidi" w:hAnsiTheme="majorBidi" w:cstheme="majorBidi"/>
          <w:bCs/>
          <w:sz w:val="20"/>
          <w:szCs w:val="20"/>
        </w:rPr>
        <w:t>.</w:t>
      </w:r>
      <w:r w:rsidRPr="00405762">
        <w:rPr>
          <w:rFonts w:asciiTheme="majorBidi" w:hAnsiTheme="majorBidi" w:cstheme="majorBidi"/>
          <w:bCs/>
          <w:sz w:val="20"/>
          <w:szCs w:val="20"/>
        </w:rPr>
        <w:t>4</w:t>
      </w:r>
      <w:r w:rsidR="0074660C" w:rsidRPr="00405762">
        <w:rPr>
          <w:rFonts w:asciiTheme="majorBidi" w:hAnsiTheme="majorBidi" w:cstheme="majorBidi"/>
          <w:bCs/>
          <w:sz w:val="20"/>
          <w:szCs w:val="20"/>
        </w:rPr>
        <w:t>.</w:t>
      </w:r>
      <w:r w:rsidR="001A6E9B" w:rsidRPr="00405762">
        <w:rPr>
          <w:rFonts w:asciiTheme="majorBidi" w:hAnsiTheme="majorBidi" w:cstheme="majorBidi"/>
          <w:bCs/>
          <w:sz w:val="20"/>
          <w:szCs w:val="20"/>
        </w:rPr>
        <w:t xml:space="preserve"> Wskaźnik</w:t>
      </w:r>
      <w:r w:rsidR="00575944" w:rsidRPr="00405762">
        <w:rPr>
          <w:rFonts w:asciiTheme="majorBidi" w:hAnsiTheme="majorBidi" w:cstheme="majorBidi"/>
          <w:bCs/>
          <w:sz w:val="20"/>
          <w:szCs w:val="20"/>
        </w:rPr>
        <w:t xml:space="preserve"> przyrostu</w:t>
      </w:r>
      <w:r w:rsidR="001A6E9B" w:rsidRPr="00405762">
        <w:rPr>
          <w:rFonts w:asciiTheme="majorBidi" w:hAnsiTheme="majorBidi" w:cstheme="majorBidi"/>
          <w:bCs/>
          <w:sz w:val="20"/>
          <w:szCs w:val="20"/>
        </w:rPr>
        <w:t xml:space="preserve"> zatrudnienia w krajach przyjmujących walutę </w:t>
      </w:r>
      <w:r w:rsidR="00AC265B" w:rsidRPr="00405762">
        <w:rPr>
          <w:rFonts w:asciiTheme="majorBidi" w:hAnsiTheme="majorBidi" w:cstheme="majorBidi"/>
          <w:bCs/>
          <w:sz w:val="20"/>
          <w:szCs w:val="20"/>
        </w:rPr>
        <w:t>e</w:t>
      </w:r>
      <w:r w:rsidR="001A6E9B" w:rsidRPr="00405762">
        <w:rPr>
          <w:rFonts w:asciiTheme="majorBidi" w:hAnsiTheme="majorBidi" w:cstheme="majorBidi"/>
          <w:bCs/>
          <w:sz w:val="20"/>
          <w:szCs w:val="20"/>
        </w:rPr>
        <w:t>uro w latach 200</w:t>
      </w:r>
      <w:r w:rsidR="00575944" w:rsidRPr="00405762">
        <w:rPr>
          <w:rFonts w:asciiTheme="majorBidi" w:hAnsiTheme="majorBidi" w:cstheme="majorBidi"/>
          <w:bCs/>
          <w:sz w:val="20"/>
          <w:szCs w:val="20"/>
        </w:rPr>
        <w:t>4</w:t>
      </w:r>
      <w:r w:rsidR="001A6E9B" w:rsidRPr="00405762">
        <w:rPr>
          <w:rFonts w:asciiTheme="majorBidi" w:hAnsiTheme="majorBidi" w:cstheme="majorBidi"/>
          <w:bCs/>
          <w:sz w:val="20"/>
          <w:szCs w:val="20"/>
        </w:rPr>
        <w:t>-201</w:t>
      </w:r>
      <w:r w:rsidR="00575944" w:rsidRPr="00405762">
        <w:rPr>
          <w:rFonts w:asciiTheme="majorBidi" w:hAnsiTheme="majorBidi" w:cstheme="majorBidi"/>
          <w:bCs/>
          <w:sz w:val="20"/>
          <w:szCs w:val="20"/>
        </w:rPr>
        <w:t>5</w:t>
      </w:r>
      <w:r w:rsidR="001A6E9B" w:rsidRPr="00405762">
        <w:rPr>
          <w:rFonts w:asciiTheme="majorBidi" w:hAnsiTheme="majorBidi" w:cstheme="majorBidi"/>
          <w:bCs/>
          <w:sz w:val="20"/>
          <w:szCs w:val="20"/>
        </w:rPr>
        <w:t xml:space="preserve"> (w % r/r)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668"/>
        <w:gridCol w:w="669"/>
        <w:gridCol w:w="668"/>
        <w:gridCol w:w="669"/>
        <w:gridCol w:w="668"/>
        <w:gridCol w:w="669"/>
        <w:gridCol w:w="668"/>
        <w:gridCol w:w="669"/>
        <w:gridCol w:w="668"/>
        <w:gridCol w:w="669"/>
        <w:gridCol w:w="668"/>
        <w:gridCol w:w="669"/>
      </w:tblGrid>
      <w:tr w:rsidR="005A77D6" w:rsidRPr="00DB6087" w14:paraId="5CC08067" w14:textId="77777777" w:rsidTr="00077BA8">
        <w:trPr>
          <w:trHeight w:val="285"/>
        </w:trPr>
        <w:tc>
          <w:tcPr>
            <w:tcW w:w="1135" w:type="dxa"/>
            <w:shd w:val="clear" w:color="auto" w:fill="FFFFFF" w:themeFill="background1"/>
            <w:noWrap/>
            <w:vAlign w:val="center"/>
          </w:tcPr>
          <w:p w14:paraId="637620B1" w14:textId="77777777" w:rsidR="005A77D6" w:rsidRPr="00405762" w:rsidRDefault="005A77D6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KRAJ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45D11904" w14:textId="77777777" w:rsidR="005A77D6" w:rsidRPr="00405762" w:rsidRDefault="005A77D6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01B98BD1" w14:textId="77777777" w:rsidR="005A77D6" w:rsidRPr="00405762" w:rsidRDefault="005A77D6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2005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463590D7" w14:textId="77777777" w:rsidR="005A77D6" w:rsidRPr="00405762" w:rsidRDefault="005A77D6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2006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10025FA1" w14:textId="77777777" w:rsidR="005A77D6" w:rsidRPr="00405762" w:rsidRDefault="005A77D6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461B4D99" w14:textId="77777777" w:rsidR="005A77D6" w:rsidRPr="00405762" w:rsidRDefault="005A77D6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2008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207CC392" w14:textId="77777777" w:rsidR="005A77D6" w:rsidRPr="00405762" w:rsidRDefault="005A77D6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6D677B79" w14:textId="77777777" w:rsidR="005A77D6" w:rsidRPr="00405762" w:rsidRDefault="005A77D6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35F8BD14" w14:textId="77777777" w:rsidR="005A77D6" w:rsidRPr="00405762" w:rsidRDefault="005A77D6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227A864E" w14:textId="77777777" w:rsidR="005A77D6" w:rsidRPr="00405762" w:rsidRDefault="005A77D6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517F103D" w14:textId="77777777" w:rsidR="005A77D6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129ECCF4" w14:textId="77777777" w:rsidR="005A77D6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7129697B" w14:textId="77777777" w:rsidR="005A77D6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2015</w:t>
            </w:r>
          </w:p>
        </w:tc>
      </w:tr>
      <w:tr w:rsidR="006F6FC7" w:rsidRPr="00DB6087" w14:paraId="7CC0B723" w14:textId="77777777" w:rsidTr="00077BA8">
        <w:trPr>
          <w:trHeight w:val="285"/>
        </w:trPr>
        <w:tc>
          <w:tcPr>
            <w:tcW w:w="1135" w:type="dxa"/>
            <w:shd w:val="clear" w:color="auto" w:fill="FFFFFF" w:themeFill="background1"/>
            <w:noWrap/>
            <w:vAlign w:val="center"/>
          </w:tcPr>
          <w:p w14:paraId="600ADED6" w14:textId="77777777" w:rsidR="006F6FC7" w:rsidRPr="00405762" w:rsidRDefault="006F6FC7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Słowenia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1C139568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0,6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36576C35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-0,6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52DEF449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1,3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4E4E75DA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330C042A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2,4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6F087C2C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-1,3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339097AD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-1,9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4D178CB5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-1,5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1B7DD2D3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-0,6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450D9EAD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-1,3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368D2B44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60C19011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:</w:t>
            </w:r>
          </w:p>
        </w:tc>
      </w:tr>
      <w:tr w:rsidR="006F6FC7" w:rsidRPr="00DB6087" w14:paraId="0BF63838" w14:textId="77777777" w:rsidTr="00077BA8">
        <w:trPr>
          <w:trHeight w:val="285"/>
        </w:trPr>
        <w:tc>
          <w:tcPr>
            <w:tcW w:w="1135" w:type="dxa"/>
            <w:shd w:val="clear" w:color="auto" w:fill="FFFFFF" w:themeFill="background1"/>
            <w:noWrap/>
            <w:vAlign w:val="center"/>
          </w:tcPr>
          <w:p w14:paraId="083EA730" w14:textId="77777777" w:rsidR="006F6FC7" w:rsidRPr="00405762" w:rsidRDefault="006F6FC7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Cypr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66A09E73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3,9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3AEB7C97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3,6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77178C63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1,7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5D71A281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4,0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6B742878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2,5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62417C3A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-0,2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0547A7FF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1,0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29049CD5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0,5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31015DE3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-3,3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1C7BA462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-6,0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4E5E120D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-2,4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09E75D62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0,8</w:t>
            </w:r>
          </w:p>
        </w:tc>
      </w:tr>
      <w:tr w:rsidR="006F6FC7" w:rsidRPr="00DB6087" w14:paraId="533BEB45" w14:textId="77777777" w:rsidTr="00077BA8">
        <w:trPr>
          <w:trHeight w:val="285"/>
        </w:trPr>
        <w:tc>
          <w:tcPr>
            <w:tcW w:w="1135" w:type="dxa"/>
            <w:shd w:val="clear" w:color="auto" w:fill="FFFFFF" w:themeFill="background1"/>
            <w:noWrap/>
            <w:vAlign w:val="center"/>
          </w:tcPr>
          <w:p w14:paraId="7FD777FC" w14:textId="77777777" w:rsidR="006F6FC7" w:rsidRPr="00405762" w:rsidRDefault="006F6FC7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Malta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0822EEDE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0,4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3F3278EA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0E5580AD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1,5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01363442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2,2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177F7F6D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2,5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11483BF6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1B3116A9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1,7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453F1BC3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2118D92D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2,5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51506086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3,7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1393D1F8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5,1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28EAD00A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3,5</w:t>
            </w:r>
          </w:p>
        </w:tc>
      </w:tr>
      <w:tr w:rsidR="006F6FC7" w:rsidRPr="00DB6087" w14:paraId="1A1072A0" w14:textId="77777777" w:rsidTr="00077BA8">
        <w:trPr>
          <w:trHeight w:val="285"/>
        </w:trPr>
        <w:tc>
          <w:tcPr>
            <w:tcW w:w="1135" w:type="dxa"/>
            <w:shd w:val="clear" w:color="auto" w:fill="FFFFFF" w:themeFill="background1"/>
            <w:noWrap/>
            <w:vAlign w:val="center"/>
          </w:tcPr>
          <w:p w14:paraId="3CBD9587" w14:textId="77777777" w:rsidR="006F6FC7" w:rsidRPr="00405762" w:rsidRDefault="006F6FC7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Słowacja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501E1F41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0,3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2EA1D7D5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2,1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11E1CA58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3,8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1E1C3BC8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2,4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3C2E28C5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3,2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51DEE17C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-2,8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6E7D3CAB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-2,0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558D582B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-0,1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2A7C40C4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0,6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7BCD5C31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1056BE76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6AD575AE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2,6</w:t>
            </w:r>
          </w:p>
        </w:tc>
      </w:tr>
      <w:tr w:rsidR="006F6FC7" w:rsidRPr="00DB6087" w14:paraId="243D1385" w14:textId="77777777" w:rsidTr="00077BA8">
        <w:trPr>
          <w:trHeight w:val="285"/>
        </w:trPr>
        <w:tc>
          <w:tcPr>
            <w:tcW w:w="1135" w:type="dxa"/>
            <w:shd w:val="clear" w:color="auto" w:fill="FFFFFF" w:themeFill="background1"/>
            <w:noWrap/>
            <w:vAlign w:val="center"/>
          </w:tcPr>
          <w:p w14:paraId="040A1282" w14:textId="77777777" w:rsidR="006F6FC7" w:rsidRPr="00405762" w:rsidRDefault="006F6FC7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Estonia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1174C96A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-0,1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485FA639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2,2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1878B3D3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5,8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69975455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0,9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6D8B20EF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-0,1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0D7B6BC9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-9,4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52E2B457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-4,3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5E2D61E5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6,2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0E116470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2,2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4C46D2C9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0,9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54114867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0,6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36137A06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2,5</w:t>
            </w:r>
          </w:p>
        </w:tc>
      </w:tr>
      <w:tr w:rsidR="006F6FC7" w:rsidRPr="00DB6087" w14:paraId="74A18132" w14:textId="77777777" w:rsidTr="00077BA8">
        <w:trPr>
          <w:trHeight w:val="285"/>
        </w:trPr>
        <w:tc>
          <w:tcPr>
            <w:tcW w:w="1135" w:type="dxa"/>
            <w:shd w:val="clear" w:color="auto" w:fill="FFFFFF" w:themeFill="background1"/>
            <w:noWrap/>
            <w:vAlign w:val="center"/>
          </w:tcPr>
          <w:p w14:paraId="562298E7" w14:textId="77777777" w:rsidR="006F6FC7" w:rsidRPr="00405762" w:rsidRDefault="006F6FC7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Łotwa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0850A99E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0,3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1987C1C1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0820DB2A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5,9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6F8489C3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2,9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4AA5DDD3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-0,9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583BB55A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-13,9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05A92566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-6,3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450C7C84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0B11B237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1,7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40EEAECA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2,1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1FB447D0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-1,0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6233B487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1,3</w:t>
            </w:r>
          </w:p>
        </w:tc>
      </w:tr>
      <w:tr w:rsidR="006F6FC7" w:rsidRPr="00DB6087" w14:paraId="01C982DC" w14:textId="77777777" w:rsidTr="00077BA8">
        <w:trPr>
          <w:trHeight w:val="285"/>
        </w:trPr>
        <w:tc>
          <w:tcPr>
            <w:tcW w:w="1135" w:type="dxa"/>
            <w:shd w:val="clear" w:color="auto" w:fill="FFFFFF" w:themeFill="background1"/>
            <w:noWrap/>
            <w:vAlign w:val="center"/>
          </w:tcPr>
          <w:p w14:paraId="72E6596A" w14:textId="77777777" w:rsidR="006F6FC7" w:rsidRPr="00405762" w:rsidRDefault="006F6FC7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eastAsia="pl-PL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  <w:lang w:eastAsia="pl-PL"/>
              </w:rPr>
              <w:t>Polska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0A013A43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1,3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6C24CE77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2,3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5B1198ED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3,4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4D2492F0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4,4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0F25EF09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3,7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3D4FEAAF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0,4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3DEB212D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-2,5</w:t>
            </w:r>
          </w:p>
        </w:tc>
        <w:tc>
          <w:tcPr>
            <w:tcW w:w="669" w:type="dxa"/>
            <w:shd w:val="clear" w:color="auto" w:fill="FFFFFF" w:themeFill="background1"/>
            <w:noWrap/>
            <w:vAlign w:val="center"/>
          </w:tcPr>
          <w:p w14:paraId="0064A0E1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0,6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</w:tcPr>
          <w:p w14:paraId="2F7C8FF0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0,2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58AAA681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-0,1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25C2938F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1,9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34A38F9E" w14:textId="77777777" w:rsidR="006F6FC7" w:rsidRPr="00405762" w:rsidRDefault="006F6FC7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1,4</w:t>
            </w:r>
          </w:p>
        </w:tc>
      </w:tr>
    </w:tbl>
    <w:p w14:paraId="2AADD8F6" w14:textId="77777777" w:rsidR="001E7645" w:rsidRPr="00405762" w:rsidRDefault="001A6E9B" w:rsidP="00405762">
      <w:pPr>
        <w:spacing w:before="240" w:after="0" w:line="240" w:lineRule="auto"/>
        <w:ind w:firstLine="708"/>
        <w:rPr>
          <w:rFonts w:asciiTheme="majorBidi" w:hAnsiTheme="majorBidi" w:cstheme="majorBidi"/>
          <w:iCs/>
          <w:sz w:val="20"/>
          <w:szCs w:val="20"/>
        </w:rPr>
      </w:pPr>
      <w:r w:rsidRPr="00405762">
        <w:rPr>
          <w:rFonts w:asciiTheme="majorBidi" w:hAnsiTheme="majorBidi" w:cstheme="majorBidi"/>
          <w:iCs/>
          <w:sz w:val="20"/>
          <w:szCs w:val="20"/>
        </w:rPr>
        <w:t>Źródło: Opracowanie własne na podstawie danych EUROSTAT.</w:t>
      </w:r>
    </w:p>
    <w:p w14:paraId="6A692132" w14:textId="77777777" w:rsidR="00241D80" w:rsidRPr="00241D80" w:rsidRDefault="00241D80" w:rsidP="00241D80">
      <w:pPr>
        <w:spacing w:after="0" w:line="240" w:lineRule="auto"/>
        <w:rPr>
          <w:rFonts w:asciiTheme="majorBidi" w:hAnsiTheme="majorBidi" w:cstheme="majorBidi"/>
          <w:iCs/>
          <w:sz w:val="24"/>
          <w:szCs w:val="24"/>
        </w:rPr>
      </w:pPr>
    </w:p>
    <w:p w14:paraId="5E2B651C" w14:textId="77777777" w:rsidR="001A6E9B" w:rsidRPr="00DB6087" w:rsidRDefault="00D14953" w:rsidP="00241D80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 xml:space="preserve">Analiza przyrostu poziomu zatrudnienia w poszczególnych krajach (tabela 4) </w:t>
      </w:r>
      <w:r w:rsidR="00481510" w:rsidRPr="00DB6087">
        <w:rPr>
          <w:rFonts w:asciiTheme="majorBidi" w:hAnsiTheme="majorBidi" w:cstheme="majorBidi"/>
          <w:sz w:val="24"/>
          <w:szCs w:val="24"/>
        </w:rPr>
        <w:t>prowadzi do stwierdzenia, że wybór momentu wejścia do strefy euro jest kluczowy, z punktu widzenia kształtowania się sytuacji na rynku pracy. Kraje takie jak Słowenia, Cypr i Słowacja odnotowały wieloletnie okresy spadków zatrudnienia</w:t>
      </w:r>
      <w:r w:rsidR="00AD5CA5" w:rsidRPr="00DB6087">
        <w:rPr>
          <w:rFonts w:asciiTheme="majorBidi" w:hAnsiTheme="majorBidi" w:cstheme="majorBidi"/>
          <w:sz w:val="24"/>
          <w:szCs w:val="24"/>
        </w:rPr>
        <w:t xml:space="preserve"> (kolor szary, tabela 4)</w:t>
      </w:r>
      <w:r w:rsidR="00E61359" w:rsidRPr="00DB6087">
        <w:rPr>
          <w:rFonts w:asciiTheme="majorBidi" w:hAnsiTheme="majorBidi" w:cstheme="majorBidi"/>
          <w:sz w:val="24"/>
          <w:szCs w:val="24"/>
        </w:rPr>
        <w:t>, co było spowodowane m.in. niewłaściwym momentem wejści</w:t>
      </w:r>
      <w:r w:rsidR="004A4E3D">
        <w:rPr>
          <w:rFonts w:asciiTheme="majorBidi" w:hAnsiTheme="majorBidi" w:cstheme="majorBidi"/>
          <w:sz w:val="24"/>
          <w:szCs w:val="24"/>
        </w:rPr>
        <w:t>a tych państw do strefy euro. W </w:t>
      </w:r>
      <w:r w:rsidR="00E61359" w:rsidRPr="00DB6087">
        <w:rPr>
          <w:rFonts w:asciiTheme="majorBidi" w:hAnsiTheme="majorBidi" w:cstheme="majorBidi"/>
          <w:sz w:val="24"/>
          <w:szCs w:val="24"/>
        </w:rPr>
        <w:t>przypadku Estonii wejście do strefy euro miało pozytywny skutek w postaci gwałtownego wzrostu zatrudnienia. Można powiedzieć</w:t>
      </w:r>
      <w:r w:rsidR="00AC265B" w:rsidRPr="00DB6087">
        <w:rPr>
          <w:rFonts w:asciiTheme="majorBidi" w:hAnsiTheme="majorBidi" w:cstheme="majorBidi"/>
          <w:sz w:val="24"/>
          <w:szCs w:val="24"/>
        </w:rPr>
        <w:t>,</w:t>
      </w:r>
      <w:r w:rsidR="00E61359" w:rsidRPr="00DB6087">
        <w:rPr>
          <w:rFonts w:asciiTheme="majorBidi" w:hAnsiTheme="majorBidi" w:cstheme="majorBidi"/>
          <w:sz w:val="24"/>
          <w:szCs w:val="24"/>
        </w:rPr>
        <w:t xml:space="preserve"> że kraj ten znalazł się w odpowiednim momencie cyklu </w:t>
      </w:r>
      <w:r w:rsidR="00AC265B" w:rsidRPr="00DB6087">
        <w:rPr>
          <w:rFonts w:asciiTheme="majorBidi" w:hAnsiTheme="majorBidi" w:cstheme="majorBidi"/>
          <w:sz w:val="24"/>
          <w:szCs w:val="24"/>
        </w:rPr>
        <w:t>koniunkturalnego</w:t>
      </w:r>
      <w:r w:rsidR="00183E01" w:rsidRPr="00DB6087">
        <w:rPr>
          <w:rFonts w:asciiTheme="majorBidi" w:hAnsiTheme="majorBidi" w:cstheme="majorBidi"/>
          <w:sz w:val="24"/>
          <w:szCs w:val="24"/>
        </w:rPr>
        <w:t xml:space="preserve"> (koniec I fali kryzysu)</w:t>
      </w:r>
      <w:r w:rsidR="00AC265B" w:rsidRPr="00DB6087">
        <w:rPr>
          <w:rFonts w:asciiTheme="majorBidi" w:hAnsiTheme="majorBidi" w:cstheme="majorBidi"/>
          <w:sz w:val="24"/>
          <w:szCs w:val="24"/>
        </w:rPr>
        <w:t xml:space="preserve">, </w:t>
      </w:r>
      <w:r w:rsidR="00572FD7" w:rsidRPr="00DB6087">
        <w:rPr>
          <w:rFonts w:asciiTheme="majorBidi" w:hAnsiTheme="majorBidi" w:cstheme="majorBidi"/>
          <w:sz w:val="24"/>
          <w:szCs w:val="24"/>
        </w:rPr>
        <w:t>co wzmoc</w:t>
      </w:r>
      <w:r w:rsidR="00AC265B" w:rsidRPr="00DB6087">
        <w:rPr>
          <w:rFonts w:asciiTheme="majorBidi" w:hAnsiTheme="majorBidi" w:cstheme="majorBidi"/>
          <w:sz w:val="24"/>
          <w:szCs w:val="24"/>
        </w:rPr>
        <w:t>n</w:t>
      </w:r>
      <w:r w:rsidR="00572FD7" w:rsidRPr="00DB6087">
        <w:rPr>
          <w:rFonts w:asciiTheme="majorBidi" w:hAnsiTheme="majorBidi" w:cstheme="majorBidi"/>
          <w:sz w:val="24"/>
          <w:szCs w:val="24"/>
        </w:rPr>
        <w:t>iło</w:t>
      </w:r>
      <w:r w:rsidR="00AC265B" w:rsidRPr="00DB6087">
        <w:rPr>
          <w:rFonts w:asciiTheme="majorBidi" w:hAnsiTheme="majorBidi" w:cstheme="majorBidi"/>
          <w:sz w:val="24"/>
          <w:szCs w:val="24"/>
        </w:rPr>
        <w:t xml:space="preserve"> efekt przyjęcia euro.</w:t>
      </w:r>
    </w:p>
    <w:p w14:paraId="41D2DD3B" w14:textId="77777777" w:rsidR="00AC265B" w:rsidRDefault="00AC265B" w:rsidP="00241D80">
      <w:pPr>
        <w:spacing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>Polska na tym tle jest krajem o nielicznych epizodach spadku zatrudnienia, co jednak wynika ze znacznych różnic w potencjałach gospodarczych w odniesieniu do pozostałych krajów.</w:t>
      </w:r>
      <w:r w:rsidR="00183E01" w:rsidRPr="00DB6087">
        <w:rPr>
          <w:rFonts w:asciiTheme="majorBidi" w:hAnsiTheme="majorBidi" w:cstheme="majorBidi"/>
          <w:sz w:val="24"/>
          <w:szCs w:val="24"/>
        </w:rPr>
        <w:t xml:space="preserve"> Nie jest to jednak równoznaczne z pełnym bezpieczeństwem koniunkturalnym. Decyzja </w:t>
      </w:r>
      <w:r w:rsidR="00572FD7" w:rsidRPr="00DB6087">
        <w:rPr>
          <w:rFonts w:asciiTheme="majorBidi" w:hAnsiTheme="majorBidi" w:cstheme="majorBidi"/>
          <w:sz w:val="24"/>
          <w:szCs w:val="24"/>
        </w:rPr>
        <w:t xml:space="preserve">Polski </w:t>
      </w:r>
      <w:r w:rsidR="00183E01" w:rsidRPr="00DB6087">
        <w:rPr>
          <w:rFonts w:asciiTheme="majorBidi" w:hAnsiTheme="majorBidi" w:cstheme="majorBidi"/>
          <w:sz w:val="24"/>
          <w:szCs w:val="24"/>
        </w:rPr>
        <w:t xml:space="preserve">o wejściu do strefy euro </w:t>
      </w:r>
      <w:r w:rsidR="00572FD7" w:rsidRPr="00DB6087">
        <w:rPr>
          <w:rFonts w:asciiTheme="majorBidi" w:hAnsiTheme="majorBidi" w:cstheme="majorBidi"/>
          <w:sz w:val="24"/>
          <w:szCs w:val="24"/>
        </w:rPr>
        <w:t>powinna także zostać</w:t>
      </w:r>
      <w:r w:rsidR="00183E01" w:rsidRPr="00DB6087">
        <w:rPr>
          <w:rFonts w:asciiTheme="majorBidi" w:hAnsiTheme="majorBidi" w:cstheme="majorBidi"/>
          <w:sz w:val="24"/>
          <w:szCs w:val="24"/>
        </w:rPr>
        <w:t xml:space="preserve"> skorelowana z odpowiednią fazą cyklu.</w:t>
      </w:r>
    </w:p>
    <w:p w14:paraId="517DF627" w14:textId="77777777" w:rsidR="00241D80" w:rsidRPr="00DB6087" w:rsidRDefault="00241D80" w:rsidP="00241D80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68590836" w14:textId="77777777" w:rsidR="00637151" w:rsidRDefault="00637151" w:rsidP="00241D80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Theme="majorBidi" w:hAnsiTheme="majorBidi" w:cstheme="majorBidi"/>
          <w:b/>
          <w:sz w:val="24"/>
          <w:szCs w:val="24"/>
        </w:rPr>
      </w:pPr>
      <w:r w:rsidRPr="00DB6087">
        <w:rPr>
          <w:rFonts w:asciiTheme="majorBidi" w:hAnsiTheme="majorBidi" w:cstheme="majorBidi"/>
          <w:b/>
          <w:sz w:val="24"/>
          <w:szCs w:val="24"/>
        </w:rPr>
        <w:t xml:space="preserve">Analiza konwergencji </w:t>
      </w:r>
    </w:p>
    <w:p w14:paraId="3A9CFBD9" w14:textId="77777777" w:rsidR="00241D80" w:rsidRPr="00DB6087" w:rsidRDefault="00241D80" w:rsidP="00241D80">
      <w:pPr>
        <w:pStyle w:val="Akapitzlist"/>
        <w:tabs>
          <w:tab w:val="left" w:pos="0"/>
        </w:tabs>
        <w:spacing w:after="0" w:line="24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337693D1" w14:textId="77777777" w:rsidR="000E4CDE" w:rsidRPr="00DB6087" w:rsidRDefault="00D34402" w:rsidP="00241D80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 xml:space="preserve">Pojęcie realnej konwergencji </w:t>
      </w:r>
      <w:r w:rsidR="006570A2" w:rsidRPr="00DB6087">
        <w:rPr>
          <w:rFonts w:asciiTheme="majorBidi" w:hAnsiTheme="majorBidi" w:cstheme="majorBidi"/>
          <w:sz w:val="24"/>
          <w:szCs w:val="24"/>
        </w:rPr>
        <w:t>jest definiowane</w:t>
      </w:r>
      <w:r w:rsidRPr="00DB6087">
        <w:rPr>
          <w:rFonts w:asciiTheme="majorBidi" w:hAnsiTheme="majorBidi" w:cstheme="majorBidi"/>
          <w:sz w:val="24"/>
          <w:szCs w:val="24"/>
        </w:rPr>
        <w:t xml:space="preserve"> jak</w:t>
      </w:r>
      <w:r w:rsidR="006570A2" w:rsidRPr="00DB6087">
        <w:rPr>
          <w:rFonts w:asciiTheme="majorBidi" w:hAnsiTheme="majorBidi" w:cstheme="majorBidi"/>
          <w:sz w:val="24"/>
          <w:szCs w:val="24"/>
        </w:rPr>
        <w:t>o tendencja</w:t>
      </w:r>
      <w:r w:rsidRPr="00DB6087">
        <w:rPr>
          <w:rFonts w:asciiTheme="majorBidi" w:hAnsiTheme="majorBidi" w:cstheme="majorBidi"/>
          <w:sz w:val="24"/>
          <w:szCs w:val="24"/>
        </w:rPr>
        <w:t xml:space="preserve"> do wyrównywania poziomów dochodu lub rozwoju między krajami. W </w:t>
      </w:r>
      <w:r w:rsidR="006570A2" w:rsidRPr="00DB6087">
        <w:rPr>
          <w:rFonts w:asciiTheme="majorBidi" w:hAnsiTheme="majorBidi" w:cstheme="majorBidi"/>
          <w:sz w:val="24"/>
          <w:szCs w:val="24"/>
        </w:rPr>
        <w:t>tej części</w:t>
      </w:r>
      <w:r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6570A2" w:rsidRPr="00DB6087">
        <w:rPr>
          <w:rFonts w:asciiTheme="majorBidi" w:hAnsiTheme="majorBidi" w:cstheme="majorBidi"/>
          <w:sz w:val="24"/>
          <w:szCs w:val="24"/>
        </w:rPr>
        <w:t>została zweryfikowana</w:t>
      </w:r>
      <w:r w:rsidRPr="00DB6087">
        <w:rPr>
          <w:rFonts w:asciiTheme="majorBidi" w:hAnsiTheme="majorBidi" w:cstheme="majorBidi"/>
          <w:sz w:val="24"/>
          <w:szCs w:val="24"/>
        </w:rPr>
        <w:t xml:space="preserve"> empirycznie hipotezę o występowaniu realnej konwergencji między 6 nowymi członkami </w:t>
      </w:r>
      <w:r w:rsidR="006570A2" w:rsidRPr="00DB6087">
        <w:rPr>
          <w:rFonts w:asciiTheme="majorBidi" w:hAnsiTheme="majorBidi" w:cstheme="majorBidi"/>
          <w:sz w:val="24"/>
          <w:szCs w:val="24"/>
        </w:rPr>
        <w:t xml:space="preserve">strefy euro </w:t>
      </w:r>
      <w:r w:rsidRPr="00DB6087">
        <w:rPr>
          <w:rFonts w:asciiTheme="majorBidi" w:hAnsiTheme="majorBidi" w:cstheme="majorBidi"/>
          <w:sz w:val="24"/>
          <w:szCs w:val="24"/>
        </w:rPr>
        <w:t xml:space="preserve">(Cypru, Estonii, Malty, Łotwy, Słowacji, Słowenii) a </w:t>
      </w:r>
      <w:r w:rsidR="00420A27" w:rsidRPr="00DB6087">
        <w:rPr>
          <w:rFonts w:asciiTheme="majorBidi" w:hAnsiTheme="majorBidi" w:cstheme="majorBidi"/>
          <w:sz w:val="24"/>
          <w:szCs w:val="24"/>
        </w:rPr>
        <w:t>12</w:t>
      </w:r>
      <w:r w:rsidRPr="00DB6087">
        <w:rPr>
          <w:rFonts w:asciiTheme="majorBidi" w:hAnsiTheme="majorBidi" w:cstheme="majorBidi"/>
          <w:sz w:val="24"/>
          <w:szCs w:val="24"/>
        </w:rPr>
        <w:t xml:space="preserve"> krajami członkowskimi Unii</w:t>
      </w:r>
      <w:r w:rsidR="006570A2" w:rsidRPr="00DB6087">
        <w:rPr>
          <w:rFonts w:asciiTheme="majorBidi" w:hAnsiTheme="majorBidi" w:cstheme="majorBidi"/>
          <w:sz w:val="24"/>
          <w:szCs w:val="24"/>
        </w:rPr>
        <w:t xml:space="preserve"> Europejskiej</w:t>
      </w:r>
      <w:r w:rsidR="00420A27" w:rsidRPr="00DB6087">
        <w:rPr>
          <w:rFonts w:asciiTheme="majorBidi" w:hAnsiTheme="majorBidi" w:cstheme="majorBidi"/>
          <w:sz w:val="24"/>
          <w:szCs w:val="24"/>
        </w:rPr>
        <w:t>, które jako pierwsze utworzyły strefę euro (Austria, Belgia, Finlandia, Francja, Grecja, Hiszpania, Holandia, Irlandia, Luksemburg, Niemcy, Portugalia, Włochy).</w:t>
      </w:r>
    </w:p>
    <w:p w14:paraId="6711868D" w14:textId="77777777" w:rsidR="007316AC" w:rsidRPr="00DB6087" w:rsidRDefault="001406AC" w:rsidP="00241D80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>Analiza jest oparta na neoklasycznyc</w:t>
      </w:r>
      <w:r w:rsidR="00DD78D2" w:rsidRPr="00DB6087">
        <w:rPr>
          <w:rFonts w:asciiTheme="majorBidi" w:hAnsiTheme="majorBidi" w:cstheme="majorBidi"/>
          <w:sz w:val="24"/>
          <w:szCs w:val="24"/>
        </w:rPr>
        <w:t>h modelach wzrostu gospodarcze</w:t>
      </w:r>
      <w:r w:rsidR="000B34C0" w:rsidRPr="00DB6087">
        <w:rPr>
          <w:rFonts w:asciiTheme="majorBidi" w:hAnsiTheme="majorBidi" w:cstheme="majorBidi"/>
          <w:sz w:val="24"/>
          <w:szCs w:val="24"/>
        </w:rPr>
        <w:t>go</w:t>
      </w:r>
      <w:r w:rsidRPr="00DB6087">
        <w:rPr>
          <w:rFonts w:asciiTheme="majorBidi" w:hAnsiTheme="majorBidi" w:cstheme="majorBidi"/>
          <w:sz w:val="24"/>
          <w:szCs w:val="24"/>
        </w:rPr>
        <w:t>, które potwierdzają występowanie</w:t>
      </w:r>
      <w:r w:rsidR="00DD78D2" w:rsidRPr="00DB6087">
        <w:rPr>
          <w:rFonts w:asciiTheme="majorBidi" w:hAnsiTheme="majorBidi" w:cstheme="majorBidi"/>
          <w:sz w:val="24"/>
          <w:szCs w:val="24"/>
        </w:rPr>
        <w:t xml:space="preserve"> zjawiska realnej konwergencji (konwergencji typu β)</w:t>
      </w:r>
      <w:r w:rsidRPr="00DB6087">
        <w:rPr>
          <w:rFonts w:asciiTheme="majorBidi" w:hAnsiTheme="majorBidi" w:cstheme="majorBidi"/>
          <w:sz w:val="24"/>
          <w:szCs w:val="24"/>
        </w:rPr>
        <w:t>. Zbieżność taka ma miejsce wówczas, gdy kraje sł</w:t>
      </w:r>
      <w:r w:rsidR="00DD78D2" w:rsidRPr="00DB6087">
        <w:rPr>
          <w:rFonts w:asciiTheme="majorBidi" w:hAnsiTheme="majorBidi" w:cstheme="majorBidi"/>
          <w:sz w:val="24"/>
          <w:szCs w:val="24"/>
        </w:rPr>
        <w:t>abiej rozwinięte wykazują szyb</w:t>
      </w:r>
      <w:r w:rsidRPr="00DB6087">
        <w:rPr>
          <w:rFonts w:asciiTheme="majorBidi" w:hAnsiTheme="majorBidi" w:cstheme="majorBidi"/>
          <w:sz w:val="24"/>
          <w:szCs w:val="24"/>
        </w:rPr>
        <w:t>sze tempo wzrostu gospodarczego niż kr</w:t>
      </w:r>
      <w:r w:rsidR="00DD78D2" w:rsidRPr="00DB6087">
        <w:rPr>
          <w:rFonts w:asciiTheme="majorBidi" w:hAnsiTheme="majorBidi" w:cstheme="majorBidi"/>
          <w:sz w:val="24"/>
          <w:szCs w:val="24"/>
        </w:rPr>
        <w:t>aje wyżej rozwinięte. Jest ona</w:t>
      </w:r>
      <w:r w:rsidR="000B34C0" w:rsidRPr="00DB6087">
        <w:rPr>
          <w:rFonts w:asciiTheme="majorBidi" w:hAnsiTheme="majorBidi" w:cstheme="majorBidi"/>
          <w:sz w:val="24"/>
          <w:szCs w:val="24"/>
        </w:rPr>
        <w:t xml:space="preserve"> określana jako</w:t>
      </w:r>
      <w:r w:rsidR="00DD78D2"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Pr="00DB6087">
        <w:rPr>
          <w:rFonts w:asciiTheme="majorBidi" w:hAnsiTheme="majorBidi" w:cstheme="majorBidi"/>
          <w:sz w:val="24"/>
          <w:szCs w:val="24"/>
        </w:rPr>
        <w:t>warunko</w:t>
      </w:r>
      <w:r w:rsidR="00DD78D2" w:rsidRPr="00DB6087">
        <w:rPr>
          <w:rFonts w:asciiTheme="majorBidi" w:hAnsiTheme="majorBidi" w:cstheme="majorBidi"/>
          <w:sz w:val="24"/>
          <w:szCs w:val="24"/>
        </w:rPr>
        <w:t xml:space="preserve">wa, </w:t>
      </w:r>
      <w:r w:rsidR="000B34C0" w:rsidRPr="00DB6087">
        <w:rPr>
          <w:rFonts w:asciiTheme="majorBidi" w:hAnsiTheme="majorBidi" w:cstheme="majorBidi"/>
          <w:sz w:val="24"/>
          <w:szCs w:val="24"/>
        </w:rPr>
        <w:t>wówczas</w:t>
      </w:r>
      <w:r w:rsidR="00DD78D2" w:rsidRPr="00DB6087">
        <w:rPr>
          <w:rFonts w:asciiTheme="majorBidi" w:hAnsiTheme="majorBidi" w:cstheme="majorBidi"/>
          <w:sz w:val="24"/>
          <w:szCs w:val="24"/>
        </w:rPr>
        <w:t xml:space="preserve"> kiedy </w:t>
      </w:r>
      <w:r w:rsidR="000B34C0" w:rsidRPr="00DB6087">
        <w:rPr>
          <w:rFonts w:asciiTheme="majorBidi" w:hAnsiTheme="majorBidi" w:cstheme="majorBidi"/>
          <w:sz w:val="24"/>
          <w:szCs w:val="24"/>
        </w:rPr>
        <w:t>każda gospodarka</w:t>
      </w:r>
      <w:r w:rsidR="00DD78D2" w:rsidRPr="00DB6087">
        <w:rPr>
          <w:rFonts w:asciiTheme="majorBidi" w:hAnsiTheme="majorBidi" w:cstheme="majorBidi"/>
          <w:sz w:val="24"/>
          <w:szCs w:val="24"/>
        </w:rPr>
        <w:t xml:space="preserve"> dąż</w:t>
      </w:r>
      <w:r w:rsidR="000B34C0" w:rsidRPr="00DB6087">
        <w:rPr>
          <w:rFonts w:asciiTheme="majorBidi" w:hAnsiTheme="majorBidi" w:cstheme="majorBidi"/>
          <w:sz w:val="24"/>
          <w:szCs w:val="24"/>
        </w:rPr>
        <w:t>y</w:t>
      </w:r>
      <w:r w:rsidR="00DD78D2" w:rsidRPr="00DB6087">
        <w:rPr>
          <w:rFonts w:asciiTheme="majorBidi" w:hAnsiTheme="majorBidi" w:cstheme="majorBidi"/>
          <w:sz w:val="24"/>
          <w:szCs w:val="24"/>
        </w:rPr>
        <w:t xml:space="preserve"> do </w:t>
      </w:r>
      <w:r w:rsidR="000B34C0" w:rsidRPr="00DB6087">
        <w:rPr>
          <w:rFonts w:asciiTheme="majorBidi" w:hAnsiTheme="majorBidi" w:cstheme="majorBidi"/>
          <w:sz w:val="24"/>
          <w:szCs w:val="24"/>
        </w:rPr>
        <w:t>stanu równowagi</w:t>
      </w:r>
      <w:r w:rsidR="00DD78D2" w:rsidRPr="00DB6087">
        <w:rPr>
          <w:rFonts w:asciiTheme="majorBidi" w:hAnsiTheme="majorBidi" w:cstheme="majorBidi"/>
          <w:sz w:val="24"/>
          <w:szCs w:val="24"/>
        </w:rPr>
        <w:t xml:space="preserve"> długookresowej</w:t>
      </w:r>
      <w:r w:rsidR="000B34C0" w:rsidRPr="00DB6087">
        <w:rPr>
          <w:rFonts w:asciiTheme="majorBidi" w:hAnsiTheme="majorBidi" w:cstheme="majorBidi"/>
          <w:sz w:val="24"/>
          <w:szCs w:val="24"/>
        </w:rPr>
        <w:t xml:space="preserve"> właściwego dla siebie</w:t>
      </w:r>
      <w:r w:rsidR="00DD78D2" w:rsidRPr="00DB6087">
        <w:rPr>
          <w:rFonts w:asciiTheme="majorBidi" w:hAnsiTheme="majorBidi" w:cstheme="majorBidi"/>
          <w:sz w:val="24"/>
          <w:szCs w:val="24"/>
        </w:rPr>
        <w:t xml:space="preserve">. </w:t>
      </w:r>
      <w:r w:rsidR="000B34C0" w:rsidRPr="00DB6087">
        <w:rPr>
          <w:rFonts w:asciiTheme="majorBidi" w:hAnsiTheme="majorBidi" w:cstheme="majorBidi"/>
          <w:sz w:val="24"/>
          <w:szCs w:val="24"/>
        </w:rPr>
        <w:t>Odmiennie jest to konwergencja absolutna kiedy kraje biedniejsze rozwijają się szybciej zawsze, bez względu na indywidualny stan równowagi każdego z nich.</w:t>
      </w:r>
    </w:p>
    <w:p w14:paraId="2663AFF5" w14:textId="77777777" w:rsidR="00DD78D2" w:rsidRPr="00DB6087" w:rsidRDefault="007316AC" w:rsidP="00D84A34">
      <w:pPr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>W celu</w:t>
      </w:r>
      <w:r w:rsidR="00DD78D2" w:rsidRPr="00DB6087">
        <w:rPr>
          <w:rFonts w:asciiTheme="majorBidi" w:hAnsiTheme="majorBidi" w:cstheme="majorBidi"/>
          <w:sz w:val="24"/>
          <w:szCs w:val="24"/>
        </w:rPr>
        <w:t xml:space="preserve"> zweryfikowa</w:t>
      </w:r>
      <w:r w:rsidRPr="00DB6087">
        <w:rPr>
          <w:rFonts w:asciiTheme="majorBidi" w:hAnsiTheme="majorBidi" w:cstheme="majorBidi"/>
          <w:sz w:val="24"/>
          <w:szCs w:val="24"/>
        </w:rPr>
        <w:t>nia</w:t>
      </w:r>
      <w:r w:rsidR="00DD78D2" w:rsidRPr="00DB6087">
        <w:rPr>
          <w:rFonts w:asciiTheme="majorBidi" w:hAnsiTheme="majorBidi" w:cstheme="majorBidi"/>
          <w:sz w:val="24"/>
          <w:szCs w:val="24"/>
        </w:rPr>
        <w:t xml:space="preserve"> hipotez</w:t>
      </w:r>
      <w:r w:rsidRPr="00DB6087">
        <w:rPr>
          <w:rFonts w:asciiTheme="majorBidi" w:hAnsiTheme="majorBidi" w:cstheme="majorBidi"/>
          <w:sz w:val="24"/>
          <w:szCs w:val="24"/>
        </w:rPr>
        <w:t>y</w:t>
      </w:r>
      <w:r w:rsidR="00DD78D2" w:rsidRPr="00DB6087">
        <w:rPr>
          <w:rFonts w:asciiTheme="majorBidi" w:hAnsiTheme="majorBidi" w:cstheme="majorBidi"/>
          <w:sz w:val="24"/>
          <w:szCs w:val="24"/>
        </w:rPr>
        <w:t xml:space="preserve"> o występowaniu </w:t>
      </w:r>
      <w:r w:rsidRPr="00DB6087">
        <w:rPr>
          <w:rFonts w:asciiTheme="majorBidi" w:hAnsiTheme="majorBidi" w:cstheme="majorBidi"/>
          <w:sz w:val="24"/>
          <w:szCs w:val="24"/>
        </w:rPr>
        <w:t>konwergencji</w:t>
      </w:r>
      <w:r w:rsidR="00DD78D2" w:rsidRPr="00DB6087">
        <w:rPr>
          <w:rFonts w:asciiTheme="majorBidi" w:hAnsiTheme="majorBidi" w:cstheme="majorBidi"/>
          <w:sz w:val="24"/>
          <w:szCs w:val="24"/>
        </w:rPr>
        <w:t xml:space="preserve"> absolutnej typu β, </w:t>
      </w:r>
      <w:r w:rsidRPr="00DB6087">
        <w:rPr>
          <w:rFonts w:asciiTheme="majorBidi" w:hAnsiTheme="majorBidi" w:cstheme="majorBidi"/>
          <w:sz w:val="24"/>
          <w:szCs w:val="24"/>
        </w:rPr>
        <w:t>oszacowano parametry następującego równania</w:t>
      </w:r>
      <w:r w:rsidR="00DD78D2" w:rsidRPr="00DB6087">
        <w:rPr>
          <w:rFonts w:asciiTheme="majorBidi" w:hAnsiTheme="majorBidi" w:cstheme="majorBidi"/>
          <w:sz w:val="24"/>
          <w:szCs w:val="24"/>
        </w:rPr>
        <w:t>:</w:t>
      </w:r>
    </w:p>
    <w:p w14:paraId="59621096" w14:textId="77777777" w:rsidR="00DD78D2" w:rsidRPr="00DB6087" w:rsidRDefault="00D734BA" w:rsidP="00D84A3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den>
        </m:f>
        <m:d>
          <m:d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ln</m:t>
            </m:r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PKB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sub>
            </m:sSub>
            <m:r>
              <w:rPr>
                <w:rFonts w:asciiTheme="majorBidi" w:hAnsiTheme="majorBidi" w:cstheme="majorBidi"/>
                <w:sz w:val="24"/>
                <w:szCs w:val="24"/>
              </w:rPr>
              <m:t>-</m:t>
            </m:r>
            <m:r>
              <w:rPr>
                <w:rFonts w:ascii="Cambria Math" w:hAnsi="Cambria Math" w:cstheme="majorBidi"/>
                <w:sz w:val="24"/>
                <w:szCs w:val="24"/>
              </w:rPr>
              <m:t>ln</m:t>
            </m:r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PKB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Theme="majorBidi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α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α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ln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PKB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sub>
        </m:sSub>
      </m:oMath>
      <w:r w:rsidR="00253ACB"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A54B4F" w:rsidRPr="00DB6087">
        <w:rPr>
          <w:rFonts w:asciiTheme="majorBidi" w:hAnsiTheme="majorBidi" w:cstheme="majorBidi"/>
          <w:sz w:val="24"/>
          <w:szCs w:val="24"/>
        </w:rPr>
        <w:tab/>
      </w:r>
      <w:r w:rsidR="00A54B4F" w:rsidRPr="00DB6087">
        <w:rPr>
          <w:rFonts w:asciiTheme="majorBidi" w:hAnsiTheme="majorBidi" w:cstheme="majorBidi"/>
          <w:sz w:val="24"/>
          <w:szCs w:val="24"/>
        </w:rPr>
        <w:tab/>
      </w:r>
      <w:r w:rsidR="00A54B4F" w:rsidRPr="00DB6087">
        <w:rPr>
          <w:rFonts w:asciiTheme="majorBidi" w:hAnsiTheme="majorBidi" w:cstheme="majorBidi"/>
          <w:sz w:val="24"/>
          <w:szCs w:val="24"/>
        </w:rPr>
        <w:tab/>
      </w:r>
      <w:r w:rsidR="00A54B4F" w:rsidRPr="00DB6087">
        <w:rPr>
          <w:rFonts w:asciiTheme="majorBidi" w:hAnsiTheme="majorBidi" w:cstheme="majorBidi"/>
          <w:sz w:val="24"/>
          <w:szCs w:val="24"/>
        </w:rPr>
        <w:tab/>
      </w:r>
      <w:r w:rsidR="00A54B4F" w:rsidRPr="00DB6087">
        <w:rPr>
          <w:rFonts w:asciiTheme="majorBidi" w:hAnsiTheme="majorBidi" w:cstheme="majorBidi"/>
          <w:sz w:val="24"/>
          <w:szCs w:val="24"/>
        </w:rPr>
        <w:tab/>
        <w:t>(I)</w:t>
      </w:r>
    </w:p>
    <w:p w14:paraId="22232861" w14:textId="77777777" w:rsidR="006431C8" w:rsidRPr="00DB6087" w:rsidRDefault="006431C8" w:rsidP="00D84A34">
      <w:pPr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 xml:space="preserve">Zmienną objaśnianą jest średnie tempo wzrostu PKB per capita między okresem T i 0, zmienną objaśniającą jest logarytm początkowego poziomu PKB per capita, zaś </w:t>
      </w:r>
      <w:proofErr w:type="spellStart"/>
      <w:r w:rsidRPr="00DB6087">
        <w:rPr>
          <w:rFonts w:asciiTheme="majorBidi" w:hAnsiTheme="majorBidi" w:cstheme="majorBidi"/>
          <w:i/>
          <w:sz w:val="24"/>
          <w:szCs w:val="24"/>
        </w:rPr>
        <w:t>ε</w:t>
      </w:r>
      <w:r w:rsidRPr="00DB6087">
        <w:rPr>
          <w:rFonts w:asciiTheme="majorBidi" w:hAnsiTheme="majorBidi" w:cstheme="majorBidi"/>
          <w:i/>
          <w:sz w:val="24"/>
          <w:szCs w:val="24"/>
          <w:vertAlign w:val="subscript"/>
        </w:rPr>
        <w:t>t</w:t>
      </w:r>
      <w:proofErr w:type="spellEnd"/>
      <w:r w:rsidRPr="00DB6087">
        <w:rPr>
          <w:rFonts w:asciiTheme="majorBidi" w:hAnsiTheme="majorBidi" w:cstheme="majorBidi"/>
          <w:sz w:val="24"/>
          <w:szCs w:val="24"/>
        </w:rPr>
        <w:t xml:space="preserve"> to składnik losowy. Ujemna i istotna statystycznie wartość parametru </w:t>
      </w:r>
      <w:r w:rsidRPr="00DB6087">
        <w:rPr>
          <w:rFonts w:asciiTheme="majorBidi" w:hAnsiTheme="majorBidi" w:cstheme="majorBidi"/>
          <w:i/>
          <w:sz w:val="24"/>
          <w:szCs w:val="24"/>
        </w:rPr>
        <w:t>α</w:t>
      </w:r>
      <w:r w:rsidRPr="00DB6087">
        <w:rPr>
          <w:rFonts w:asciiTheme="majorBidi" w:hAnsiTheme="majorBidi" w:cstheme="majorBidi"/>
          <w:i/>
          <w:sz w:val="24"/>
          <w:szCs w:val="24"/>
          <w:vertAlign w:val="subscript"/>
        </w:rPr>
        <w:t>1</w:t>
      </w:r>
      <w:r w:rsidRPr="00DB6087">
        <w:rPr>
          <w:rFonts w:asciiTheme="majorBidi" w:hAnsiTheme="majorBidi" w:cstheme="majorBidi"/>
          <w:sz w:val="24"/>
          <w:szCs w:val="24"/>
        </w:rPr>
        <w:t xml:space="preserve"> oznacza występowanie konwergencji typu </w:t>
      </w:r>
      <w:r w:rsidRPr="00DB6087">
        <w:rPr>
          <w:rFonts w:asciiTheme="majorBidi" w:hAnsiTheme="majorBidi" w:cstheme="majorBidi"/>
          <w:i/>
          <w:sz w:val="24"/>
          <w:szCs w:val="24"/>
        </w:rPr>
        <w:t>β</w:t>
      </w:r>
      <w:r w:rsidRPr="00DB6087">
        <w:rPr>
          <w:rFonts w:asciiTheme="majorBidi" w:hAnsiTheme="majorBidi" w:cstheme="majorBidi"/>
          <w:sz w:val="24"/>
          <w:szCs w:val="24"/>
        </w:rPr>
        <w:t xml:space="preserve">. W takim przypadku wartość współczynnika </w:t>
      </w:r>
      <w:r w:rsidRPr="00DB6087">
        <w:rPr>
          <w:rFonts w:asciiTheme="majorBidi" w:hAnsiTheme="majorBidi" w:cstheme="majorBidi"/>
          <w:i/>
          <w:sz w:val="24"/>
          <w:szCs w:val="24"/>
        </w:rPr>
        <w:t>β</w:t>
      </w:r>
      <w:r w:rsidRPr="00DB6087">
        <w:rPr>
          <w:rFonts w:asciiTheme="majorBidi" w:hAnsiTheme="majorBidi" w:cstheme="majorBidi"/>
          <w:sz w:val="24"/>
          <w:szCs w:val="24"/>
        </w:rPr>
        <w:t xml:space="preserve">, mierzącego szybkość konwergencji, można obliczyć ze wzoru (zob. np. </w:t>
      </w:r>
      <w:proofErr w:type="spellStart"/>
      <w:r w:rsidRPr="00DB6087">
        <w:rPr>
          <w:rFonts w:asciiTheme="majorBidi" w:hAnsiTheme="majorBidi" w:cstheme="majorBidi"/>
          <w:sz w:val="24"/>
          <w:szCs w:val="24"/>
        </w:rPr>
        <w:t>Barro</w:t>
      </w:r>
      <w:proofErr w:type="spellEnd"/>
      <w:r w:rsidRPr="00DB6087">
        <w:rPr>
          <w:rFonts w:asciiTheme="majorBidi" w:hAnsiTheme="majorBidi" w:cstheme="majorBidi"/>
          <w:sz w:val="24"/>
          <w:szCs w:val="24"/>
        </w:rPr>
        <w:t xml:space="preserve"> i Sala-i-Martin, 2003, s. 467):</w:t>
      </w:r>
    </w:p>
    <w:p w14:paraId="39D0DB91" w14:textId="77777777" w:rsidR="006431C8" w:rsidRPr="00DB6087" w:rsidRDefault="00253ACB" w:rsidP="00D84A3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β</m:t>
        </m:r>
        <m:r>
          <w:rPr>
            <w:rFonts w:ascii="Cambria Math" w:hAnsiTheme="majorBidi" w:cstheme="majorBidi"/>
            <w:sz w:val="24"/>
            <w:szCs w:val="24"/>
          </w:rPr>
          <m:t>=</m:t>
        </m:r>
        <m:r>
          <w:rPr>
            <w:rFonts w:ascii="Cambria Math" w:hAnsiTheme="majorBidi" w:cstheme="majorBidi"/>
            <w:sz w:val="24"/>
            <w:szCs w:val="24"/>
          </w:rPr>
          <m:t>-</m:t>
        </m:r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den>
        </m:f>
        <m:r>
          <m:rPr>
            <m:sty m:val="p"/>
          </m:rPr>
          <w:rPr>
            <w:rFonts w:ascii="Cambria Math" w:hAnsiTheme="majorBidi" w:cstheme="majorBidi"/>
            <w:sz w:val="24"/>
            <w:szCs w:val="24"/>
          </w:rPr>
          <m:t>ln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⁡</m:t>
        </m:r>
        <m:r>
          <w:rPr>
            <w:rFonts w:ascii="Cambria Math" w:hAnsiTheme="majorBidi" w:cstheme="majorBidi"/>
            <w:sz w:val="24"/>
            <w:szCs w:val="24"/>
          </w:rPr>
          <m:t>(1+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α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T</m:t>
        </m:r>
        <m:r>
          <w:rPr>
            <w:rFonts w:ascii="Cambria Math" w:hAnsiTheme="majorBidi" w:cstheme="majorBidi"/>
            <w:sz w:val="24"/>
            <w:szCs w:val="24"/>
          </w:rPr>
          <m:t>)</m:t>
        </m:r>
      </m:oMath>
      <w:r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A54B4F" w:rsidRPr="00DB6087">
        <w:rPr>
          <w:rFonts w:asciiTheme="majorBidi" w:hAnsiTheme="majorBidi" w:cstheme="majorBidi"/>
          <w:sz w:val="24"/>
          <w:szCs w:val="24"/>
        </w:rPr>
        <w:tab/>
      </w:r>
      <w:r w:rsidR="00A54B4F" w:rsidRPr="00DB6087">
        <w:rPr>
          <w:rFonts w:asciiTheme="majorBidi" w:hAnsiTheme="majorBidi" w:cstheme="majorBidi"/>
          <w:sz w:val="24"/>
          <w:szCs w:val="24"/>
        </w:rPr>
        <w:tab/>
      </w:r>
      <w:r w:rsidR="00A54B4F" w:rsidRPr="00DB6087">
        <w:rPr>
          <w:rFonts w:asciiTheme="majorBidi" w:hAnsiTheme="majorBidi" w:cstheme="majorBidi"/>
          <w:sz w:val="24"/>
          <w:szCs w:val="24"/>
        </w:rPr>
        <w:tab/>
      </w:r>
      <w:r w:rsidR="00A54B4F" w:rsidRPr="00DB6087">
        <w:rPr>
          <w:rFonts w:asciiTheme="majorBidi" w:hAnsiTheme="majorBidi" w:cstheme="majorBidi"/>
          <w:sz w:val="24"/>
          <w:szCs w:val="24"/>
        </w:rPr>
        <w:tab/>
      </w:r>
      <w:r w:rsidR="00A54B4F" w:rsidRPr="00DB6087">
        <w:rPr>
          <w:rFonts w:asciiTheme="majorBidi" w:hAnsiTheme="majorBidi" w:cstheme="majorBidi"/>
          <w:sz w:val="24"/>
          <w:szCs w:val="24"/>
        </w:rPr>
        <w:tab/>
      </w:r>
      <w:r w:rsidR="00A54B4F" w:rsidRPr="00DB6087">
        <w:rPr>
          <w:rFonts w:asciiTheme="majorBidi" w:hAnsiTheme="majorBidi" w:cstheme="majorBidi"/>
          <w:sz w:val="24"/>
          <w:szCs w:val="24"/>
        </w:rPr>
        <w:tab/>
      </w:r>
      <w:r w:rsidR="00A54B4F" w:rsidRPr="00DB6087">
        <w:rPr>
          <w:rFonts w:asciiTheme="majorBidi" w:hAnsiTheme="majorBidi" w:cstheme="majorBidi"/>
          <w:sz w:val="24"/>
          <w:szCs w:val="24"/>
        </w:rPr>
        <w:tab/>
      </w:r>
      <w:r w:rsidR="00A54B4F" w:rsidRPr="00DB6087">
        <w:rPr>
          <w:rFonts w:asciiTheme="majorBidi" w:hAnsiTheme="majorBidi" w:cstheme="majorBidi"/>
          <w:sz w:val="24"/>
          <w:szCs w:val="24"/>
        </w:rPr>
        <w:tab/>
        <w:t>(II)</w:t>
      </w:r>
    </w:p>
    <w:p w14:paraId="1C842AB6" w14:textId="77777777" w:rsidR="006431C8" w:rsidRPr="00DB6087" w:rsidRDefault="007316AC" w:rsidP="00D84A34">
      <w:pPr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>Dodatkowo</w:t>
      </w:r>
      <w:r w:rsidR="006431C8" w:rsidRPr="00DB6087">
        <w:rPr>
          <w:rFonts w:asciiTheme="majorBidi" w:hAnsiTheme="majorBidi" w:cstheme="majorBidi"/>
          <w:sz w:val="24"/>
          <w:szCs w:val="24"/>
        </w:rPr>
        <w:t xml:space="preserve"> zweryfikow</w:t>
      </w:r>
      <w:r w:rsidRPr="00DB6087">
        <w:rPr>
          <w:rFonts w:asciiTheme="majorBidi" w:hAnsiTheme="majorBidi" w:cstheme="majorBidi"/>
          <w:sz w:val="24"/>
          <w:szCs w:val="24"/>
        </w:rPr>
        <w:t>ano</w:t>
      </w:r>
      <w:r w:rsidR="006431C8" w:rsidRPr="00DB6087">
        <w:rPr>
          <w:rFonts w:asciiTheme="majorBidi" w:hAnsiTheme="majorBidi" w:cstheme="majorBidi"/>
          <w:sz w:val="24"/>
          <w:szCs w:val="24"/>
        </w:rPr>
        <w:t xml:space="preserve"> hipotezę o występowaniu konwergencji typu σ, </w:t>
      </w:r>
      <w:r w:rsidRPr="00DB6087">
        <w:rPr>
          <w:rFonts w:asciiTheme="majorBidi" w:hAnsiTheme="majorBidi" w:cstheme="majorBidi"/>
          <w:sz w:val="24"/>
          <w:szCs w:val="24"/>
        </w:rPr>
        <w:t>czyli zmniejszani</w:t>
      </w:r>
      <w:r w:rsidR="00D5442E" w:rsidRPr="00DB6087">
        <w:rPr>
          <w:rFonts w:asciiTheme="majorBidi" w:hAnsiTheme="majorBidi" w:cstheme="majorBidi"/>
          <w:sz w:val="24"/>
          <w:szCs w:val="24"/>
        </w:rPr>
        <w:t>u</w:t>
      </w:r>
      <w:r w:rsidRPr="00DB6087">
        <w:rPr>
          <w:rFonts w:asciiTheme="majorBidi" w:hAnsiTheme="majorBidi" w:cstheme="majorBidi"/>
          <w:sz w:val="24"/>
          <w:szCs w:val="24"/>
        </w:rPr>
        <w:t xml:space="preserve"> się rozproszenia (dyspersji) PKB per capi</w:t>
      </w:r>
      <w:r w:rsidR="004A4E3D">
        <w:rPr>
          <w:rFonts w:asciiTheme="majorBidi" w:hAnsiTheme="majorBidi" w:cstheme="majorBidi"/>
          <w:sz w:val="24"/>
          <w:szCs w:val="24"/>
        </w:rPr>
        <w:t>ta pomiędzy badanymi krajami. W </w:t>
      </w:r>
      <w:r w:rsidRPr="00DB6087">
        <w:rPr>
          <w:rFonts w:asciiTheme="majorBidi" w:hAnsiTheme="majorBidi" w:cstheme="majorBidi"/>
          <w:sz w:val="24"/>
          <w:szCs w:val="24"/>
        </w:rPr>
        <w:t xml:space="preserve">tym celu oszacowano linię trendu </w:t>
      </w:r>
      <w:r w:rsidR="006431C8" w:rsidRPr="00DB6087">
        <w:rPr>
          <w:rFonts w:asciiTheme="majorBidi" w:hAnsiTheme="majorBidi" w:cstheme="majorBidi"/>
          <w:sz w:val="24"/>
          <w:szCs w:val="24"/>
        </w:rPr>
        <w:t>dla poziomów zróżnicowania dochodów między krajami:</w:t>
      </w:r>
    </w:p>
    <w:p w14:paraId="15674436" w14:textId="77777777" w:rsidR="00DD78D2" w:rsidRPr="00DB6087" w:rsidRDefault="001B682C" w:rsidP="00D84A3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σ</m:t>
        </m:r>
        <m:d>
          <m:d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ln</m:t>
            </m:r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PKB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sub>
            </m:sSub>
          </m:e>
        </m:d>
        <m:r>
          <w:rPr>
            <w:rFonts w:ascii="Cambria Math" w:hAnsiTheme="majorBidi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α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α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t</m:t>
        </m:r>
        <m:r>
          <w:rPr>
            <w:rFonts w:ascii="Cambria Math" w:hAnsiTheme="majorBidi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sub>
        </m:sSub>
      </m:oMath>
      <w:r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A54B4F" w:rsidRPr="00DB6087">
        <w:rPr>
          <w:rFonts w:asciiTheme="majorBidi" w:hAnsiTheme="majorBidi" w:cstheme="majorBidi"/>
          <w:sz w:val="24"/>
          <w:szCs w:val="24"/>
        </w:rPr>
        <w:tab/>
      </w:r>
      <w:r w:rsidR="00A54B4F" w:rsidRPr="00DB6087">
        <w:rPr>
          <w:rFonts w:asciiTheme="majorBidi" w:hAnsiTheme="majorBidi" w:cstheme="majorBidi"/>
          <w:sz w:val="24"/>
          <w:szCs w:val="24"/>
        </w:rPr>
        <w:tab/>
      </w:r>
      <w:r w:rsidR="00A54B4F" w:rsidRPr="00DB6087">
        <w:rPr>
          <w:rFonts w:asciiTheme="majorBidi" w:hAnsiTheme="majorBidi" w:cstheme="majorBidi"/>
          <w:sz w:val="24"/>
          <w:szCs w:val="24"/>
        </w:rPr>
        <w:tab/>
      </w:r>
      <w:r w:rsidR="00A54B4F" w:rsidRPr="00DB6087">
        <w:rPr>
          <w:rFonts w:asciiTheme="majorBidi" w:hAnsiTheme="majorBidi" w:cstheme="majorBidi"/>
          <w:sz w:val="24"/>
          <w:szCs w:val="24"/>
        </w:rPr>
        <w:tab/>
      </w:r>
      <w:r w:rsidR="00A54B4F" w:rsidRPr="00DB6087">
        <w:rPr>
          <w:rFonts w:asciiTheme="majorBidi" w:hAnsiTheme="majorBidi" w:cstheme="majorBidi"/>
          <w:sz w:val="24"/>
          <w:szCs w:val="24"/>
        </w:rPr>
        <w:tab/>
      </w:r>
      <w:r w:rsidR="00A54B4F" w:rsidRPr="00DB6087">
        <w:rPr>
          <w:rFonts w:asciiTheme="majorBidi" w:hAnsiTheme="majorBidi" w:cstheme="majorBidi"/>
          <w:sz w:val="24"/>
          <w:szCs w:val="24"/>
        </w:rPr>
        <w:tab/>
      </w:r>
      <w:r w:rsidR="00A54B4F" w:rsidRPr="00DB6087">
        <w:rPr>
          <w:rFonts w:asciiTheme="majorBidi" w:hAnsiTheme="majorBidi" w:cstheme="majorBidi"/>
          <w:sz w:val="24"/>
          <w:szCs w:val="24"/>
        </w:rPr>
        <w:tab/>
        <w:t>(III)</w:t>
      </w:r>
    </w:p>
    <w:p w14:paraId="35B09905" w14:textId="77777777" w:rsidR="00253ACB" w:rsidRPr="00DB6087" w:rsidRDefault="00253ACB" w:rsidP="00241D80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>Zmienną objaśnianą jest odchylenie standard</w:t>
      </w:r>
      <w:r w:rsidR="004A4E3D">
        <w:rPr>
          <w:rFonts w:asciiTheme="majorBidi" w:hAnsiTheme="majorBidi" w:cstheme="majorBidi"/>
          <w:sz w:val="24"/>
          <w:szCs w:val="24"/>
        </w:rPr>
        <w:t>owe logarytmów PKB per capita w </w:t>
      </w:r>
      <w:r w:rsidRPr="00DB6087">
        <w:rPr>
          <w:rFonts w:asciiTheme="majorBidi" w:hAnsiTheme="majorBidi" w:cstheme="majorBidi"/>
          <w:sz w:val="24"/>
          <w:szCs w:val="24"/>
        </w:rPr>
        <w:t xml:space="preserve">poszczególnych krajach, zmienną objaśniającą jest czas (t = 1,…, </w:t>
      </w:r>
      <w:r w:rsidR="00D4373E" w:rsidRPr="00DB6087">
        <w:rPr>
          <w:rFonts w:asciiTheme="majorBidi" w:hAnsiTheme="majorBidi" w:cstheme="majorBidi"/>
          <w:sz w:val="24"/>
          <w:szCs w:val="24"/>
        </w:rPr>
        <w:t>12</w:t>
      </w:r>
      <w:r w:rsidRPr="00DB6087">
        <w:rPr>
          <w:rFonts w:asciiTheme="majorBidi" w:hAnsiTheme="majorBidi" w:cstheme="majorBidi"/>
          <w:sz w:val="24"/>
          <w:szCs w:val="24"/>
        </w:rPr>
        <w:t xml:space="preserve"> dla okresu </w:t>
      </w:r>
      <w:r w:rsidR="00D4373E" w:rsidRPr="00DB6087">
        <w:rPr>
          <w:rFonts w:asciiTheme="majorBidi" w:hAnsiTheme="majorBidi" w:cstheme="majorBidi"/>
          <w:sz w:val="24"/>
          <w:szCs w:val="24"/>
        </w:rPr>
        <w:t>2004</w:t>
      </w:r>
      <w:r w:rsidRPr="00DB6087">
        <w:rPr>
          <w:rFonts w:asciiTheme="majorBidi" w:hAnsiTheme="majorBidi" w:cstheme="majorBidi"/>
          <w:sz w:val="24"/>
          <w:szCs w:val="24"/>
        </w:rPr>
        <w:t>‒201</w:t>
      </w:r>
      <w:r w:rsidR="00D4373E" w:rsidRPr="00DB6087">
        <w:rPr>
          <w:rFonts w:asciiTheme="majorBidi" w:hAnsiTheme="majorBidi" w:cstheme="majorBidi"/>
          <w:sz w:val="24"/>
          <w:szCs w:val="24"/>
        </w:rPr>
        <w:t>5</w:t>
      </w:r>
      <w:r w:rsidRPr="00DB6087">
        <w:rPr>
          <w:rFonts w:asciiTheme="majorBidi" w:hAnsiTheme="majorBidi" w:cstheme="majorBidi"/>
          <w:sz w:val="24"/>
          <w:szCs w:val="24"/>
        </w:rPr>
        <w:t xml:space="preserve">), zaś </w:t>
      </w:r>
      <w:proofErr w:type="spellStart"/>
      <w:r w:rsidR="00D4373E" w:rsidRPr="00DB6087">
        <w:rPr>
          <w:rFonts w:asciiTheme="majorBidi" w:hAnsiTheme="majorBidi" w:cstheme="majorBidi"/>
          <w:i/>
          <w:sz w:val="24"/>
          <w:szCs w:val="24"/>
        </w:rPr>
        <w:t>ε</w:t>
      </w:r>
      <w:r w:rsidR="00D4373E" w:rsidRPr="00DB6087">
        <w:rPr>
          <w:rFonts w:asciiTheme="majorBidi" w:hAnsiTheme="majorBidi" w:cstheme="majorBidi"/>
          <w:i/>
          <w:sz w:val="24"/>
          <w:szCs w:val="24"/>
          <w:vertAlign w:val="subscript"/>
        </w:rPr>
        <w:t>t</w:t>
      </w:r>
      <w:proofErr w:type="spellEnd"/>
      <w:r w:rsidRPr="00DB6087">
        <w:rPr>
          <w:rFonts w:asciiTheme="majorBidi" w:hAnsiTheme="majorBidi" w:cstheme="majorBidi"/>
          <w:sz w:val="24"/>
          <w:szCs w:val="24"/>
        </w:rPr>
        <w:t xml:space="preserve"> – tak jak poprzednio – to składnik losowy. Ujemna i istotna statystycznie wartość parametru </w:t>
      </w:r>
      <w:r w:rsidR="00D4373E" w:rsidRPr="00DB6087">
        <w:rPr>
          <w:rFonts w:asciiTheme="majorBidi" w:hAnsiTheme="majorBidi" w:cstheme="majorBidi"/>
          <w:i/>
          <w:sz w:val="24"/>
          <w:szCs w:val="24"/>
        </w:rPr>
        <w:t>α</w:t>
      </w:r>
      <w:r w:rsidR="00D4373E" w:rsidRPr="00DB6087">
        <w:rPr>
          <w:rFonts w:asciiTheme="majorBidi" w:hAnsiTheme="majorBidi" w:cstheme="majorBidi"/>
          <w:i/>
          <w:sz w:val="24"/>
          <w:szCs w:val="24"/>
          <w:vertAlign w:val="subscript"/>
        </w:rPr>
        <w:t>1</w:t>
      </w:r>
      <w:r w:rsidRPr="00DB6087">
        <w:rPr>
          <w:rFonts w:asciiTheme="majorBidi" w:hAnsiTheme="majorBidi" w:cstheme="majorBidi"/>
          <w:sz w:val="24"/>
          <w:szCs w:val="24"/>
        </w:rPr>
        <w:t xml:space="preserve"> oznacza występowanie </w:t>
      </w:r>
      <w:r w:rsidR="00D4373E" w:rsidRPr="00DB6087">
        <w:rPr>
          <w:rFonts w:asciiTheme="majorBidi" w:hAnsiTheme="majorBidi" w:cstheme="majorBidi"/>
          <w:sz w:val="24"/>
          <w:szCs w:val="24"/>
        </w:rPr>
        <w:t>konwergencji typu σ</w:t>
      </w:r>
      <w:r w:rsidRPr="00DB6087">
        <w:rPr>
          <w:rFonts w:asciiTheme="majorBidi" w:hAnsiTheme="majorBidi" w:cstheme="majorBidi"/>
          <w:sz w:val="24"/>
          <w:szCs w:val="24"/>
        </w:rPr>
        <w:t>.</w:t>
      </w:r>
    </w:p>
    <w:p w14:paraId="52EB20A5" w14:textId="77777777" w:rsidR="006431C8" w:rsidRPr="00DB6087" w:rsidRDefault="00253ACB" w:rsidP="00241D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 xml:space="preserve">W obliczeniach zostały wykorzystane szeregi czasowe PKB per capita uzyskane z danych </w:t>
      </w:r>
      <w:r w:rsidR="00D4373E" w:rsidRPr="00DB6087">
        <w:rPr>
          <w:rFonts w:asciiTheme="majorBidi" w:hAnsiTheme="majorBidi" w:cstheme="majorBidi"/>
          <w:sz w:val="24"/>
          <w:szCs w:val="24"/>
        </w:rPr>
        <w:t>Eurostatu</w:t>
      </w:r>
      <w:r w:rsidRPr="00DB6087">
        <w:rPr>
          <w:rFonts w:asciiTheme="majorBidi" w:hAnsiTheme="majorBidi" w:cstheme="majorBidi"/>
          <w:sz w:val="24"/>
          <w:szCs w:val="24"/>
        </w:rPr>
        <w:t xml:space="preserve">. </w:t>
      </w:r>
    </w:p>
    <w:p w14:paraId="21502CE4" w14:textId="77777777" w:rsidR="00AF3A30" w:rsidRDefault="00D5442E" w:rsidP="00241D80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>W tabeli</w:t>
      </w:r>
      <w:r w:rsidR="00A54B4F"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Pr="00DB6087">
        <w:rPr>
          <w:rFonts w:asciiTheme="majorBidi" w:hAnsiTheme="majorBidi" w:cstheme="majorBidi"/>
          <w:sz w:val="24"/>
          <w:szCs w:val="24"/>
        </w:rPr>
        <w:t>5</w:t>
      </w:r>
      <w:r w:rsidR="00A54B4F"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Pr="00DB6087">
        <w:rPr>
          <w:rFonts w:asciiTheme="majorBidi" w:hAnsiTheme="majorBidi" w:cstheme="majorBidi"/>
          <w:sz w:val="24"/>
          <w:szCs w:val="24"/>
        </w:rPr>
        <w:t>zostały przedstawione</w:t>
      </w:r>
      <w:r w:rsidR="00A54B4F" w:rsidRPr="00DB6087">
        <w:rPr>
          <w:rFonts w:asciiTheme="majorBidi" w:hAnsiTheme="majorBidi" w:cstheme="majorBidi"/>
          <w:sz w:val="24"/>
          <w:szCs w:val="24"/>
        </w:rPr>
        <w:t xml:space="preserve"> wyniki analizy konwergencji typu </w:t>
      </w:r>
      <w:r w:rsidR="00A54B4F" w:rsidRPr="00DB6087">
        <w:rPr>
          <w:rFonts w:asciiTheme="majorBidi" w:hAnsiTheme="majorBidi" w:cstheme="majorBidi"/>
          <w:i/>
          <w:sz w:val="24"/>
          <w:szCs w:val="24"/>
        </w:rPr>
        <w:t>β</w:t>
      </w:r>
      <w:r w:rsidR="00A54B4F" w:rsidRPr="00DB6087">
        <w:rPr>
          <w:rFonts w:asciiTheme="majorBidi" w:hAnsiTheme="majorBidi" w:cstheme="majorBidi"/>
          <w:sz w:val="24"/>
          <w:szCs w:val="24"/>
        </w:rPr>
        <w:t xml:space="preserve"> badanych </w:t>
      </w:r>
      <w:r w:rsidR="00B004D2" w:rsidRPr="00DB6087">
        <w:rPr>
          <w:rFonts w:asciiTheme="majorBidi" w:hAnsiTheme="majorBidi" w:cstheme="majorBidi"/>
          <w:sz w:val="24"/>
          <w:szCs w:val="24"/>
        </w:rPr>
        <w:t xml:space="preserve">nowych </w:t>
      </w:r>
      <w:r w:rsidR="00A54B4F" w:rsidRPr="00DB6087">
        <w:rPr>
          <w:rFonts w:asciiTheme="majorBidi" w:hAnsiTheme="majorBidi" w:cstheme="majorBidi"/>
          <w:sz w:val="24"/>
          <w:szCs w:val="24"/>
        </w:rPr>
        <w:t>krajów</w:t>
      </w:r>
      <w:r w:rsidR="00B004D2" w:rsidRPr="00DB6087">
        <w:rPr>
          <w:rFonts w:asciiTheme="majorBidi" w:hAnsiTheme="majorBidi" w:cstheme="majorBidi"/>
          <w:sz w:val="24"/>
          <w:szCs w:val="24"/>
        </w:rPr>
        <w:t xml:space="preserve"> strefy euro</w:t>
      </w:r>
      <w:r w:rsidR="002802AF" w:rsidRPr="00DB6087">
        <w:rPr>
          <w:rFonts w:asciiTheme="majorBidi" w:hAnsiTheme="majorBidi" w:cstheme="majorBidi"/>
          <w:sz w:val="24"/>
          <w:szCs w:val="24"/>
        </w:rPr>
        <w:t xml:space="preserve"> (Słowenia, Cypr, Malta, Słowacja, Estonia, Łotwa)</w:t>
      </w:r>
      <w:r w:rsidR="00A54B4F" w:rsidRPr="00DB6087">
        <w:rPr>
          <w:rFonts w:asciiTheme="majorBidi" w:hAnsiTheme="majorBidi" w:cstheme="majorBidi"/>
          <w:sz w:val="24"/>
          <w:szCs w:val="24"/>
        </w:rPr>
        <w:t xml:space="preserve"> w stosunku do </w:t>
      </w:r>
      <w:r w:rsidR="00420A27" w:rsidRPr="00DB6087">
        <w:rPr>
          <w:rFonts w:asciiTheme="majorBidi" w:hAnsiTheme="majorBidi" w:cstheme="majorBidi"/>
          <w:sz w:val="24"/>
          <w:szCs w:val="24"/>
        </w:rPr>
        <w:t>12</w:t>
      </w:r>
      <w:r w:rsidR="00A54B4F" w:rsidRPr="00DB6087">
        <w:rPr>
          <w:rFonts w:asciiTheme="majorBidi" w:hAnsiTheme="majorBidi" w:cstheme="majorBidi"/>
          <w:sz w:val="24"/>
          <w:szCs w:val="24"/>
        </w:rPr>
        <w:t xml:space="preserve"> krajów</w:t>
      </w:r>
      <w:r w:rsidR="00420A27" w:rsidRPr="00DB6087">
        <w:rPr>
          <w:rFonts w:asciiTheme="majorBidi" w:hAnsiTheme="majorBidi" w:cstheme="majorBidi"/>
          <w:sz w:val="24"/>
          <w:szCs w:val="24"/>
        </w:rPr>
        <w:t>,</w:t>
      </w:r>
      <w:r w:rsidR="00A54B4F"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420A27" w:rsidRPr="00DB6087">
        <w:rPr>
          <w:rFonts w:asciiTheme="majorBidi" w:hAnsiTheme="majorBidi" w:cstheme="majorBidi"/>
          <w:sz w:val="24"/>
          <w:szCs w:val="24"/>
        </w:rPr>
        <w:t>założycieli strefy euro</w:t>
      </w:r>
      <w:r w:rsidR="00A54B4F" w:rsidRPr="00DB6087">
        <w:rPr>
          <w:rFonts w:asciiTheme="majorBidi" w:hAnsiTheme="majorBidi" w:cstheme="majorBidi"/>
          <w:sz w:val="24"/>
          <w:szCs w:val="24"/>
        </w:rPr>
        <w:t>. Zbieżność analizowan</w:t>
      </w:r>
      <w:r w:rsidR="002802AF" w:rsidRPr="00DB6087">
        <w:rPr>
          <w:rFonts w:asciiTheme="majorBidi" w:hAnsiTheme="majorBidi" w:cstheme="majorBidi"/>
          <w:sz w:val="24"/>
          <w:szCs w:val="24"/>
        </w:rPr>
        <w:t>o</w:t>
      </w:r>
      <w:r w:rsidR="00A54B4F" w:rsidRPr="00DB6087">
        <w:rPr>
          <w:rFonts w:asciiTheme="majorBidi" w:hAnsiTheme="majorBidi" w:cstheme="majorBidi"/>
          <w:sz w:val="24"/>
          <w:szCs w:val="24"/>
        </w:rPr>
        <w:t xml:space="preserve"> między </w:t>
      </w:r>
      <w:r w:rsidR="00420A27" w:rsidRPr="00DB6087">
        <w:rPr>
          <w:rFonts w:asciiTheme="majorBidi" w:hAnsiTheme="majorBidi" w:cstheme="majorBidi"/>
          <w:sz w:val="24"/>
          <w:szCs w:val="24"/>
        </w:rPr>
        <w:t>18</w:t>
      </w:r>
      <w:r w:rsidR="00A54B4F" w:rsidRPr="00DB6087">
        <w:rPr>
          <w:rFonts w:asciiTheme="majorBidi" w:hAnsiTheme="majorBidi" w:cstheme="majorBidi"/>
          <w:sz w:val="24"/>
          <w:szCs w:val="24"/>
        </w:rPr>
        <w:t xml:space="preserve"> (6 + 1</w:t>
      </w:r>
      <w:r w:rsidR="00420A27" w:rsidRPr="00DB6087">
        <w:rPr>
          <w:rFonts w:asciiTheme="majorBidi" w:hAnsiTheme="majorBidi" w:cstheme="majorBidi"/>
          <w:sz w:val="24"/>
          <w:szCs w:val="24"/>
        </w:rPr>
        <w:t>2</w:t>
      </w:r>
      <w:r w:rsidR="00A54B4F" w:rsidRPr="00DB6087">
        <w:rPr>
          <w:rFonts w:asciiTheme="majorBidi" w:hAnsiTheme="majorBidi" w:cstheme="majorBidi"/>
          <w:sz w:val="24"/>
          <w:szCs w:val="24"/>
        </w:rPr>
        <w:t>) krajami</w:t>
      </w:r>
      <w:r w:rsidR="00B004D2" w:rsidRPr="00DB6087">
        <w:rPr>
          <w:rFonts w:asciiTheme="majorBidi" w:hAnsiTheme="majorBidi" w:cstheme="majorBidi"/>
          <w:sz w:val="24"/>
          <w:szCs w:val="24"/>
        </w:rPr>
        <w:t>.</w:t>
      </w:r>
      <w:r w:rsidR="00A54B4F" w:rsidRPr="00DB6087">
        <w:rPr>
          <w:rFonts w:asciiTheme="majorBidi" w:hAnsiTheme="majorBidi" w:cstheme="majorBidi"/>
          <w:sz w:val="24"/>
          <w:szCs w:val="24"/>
        </w:rPr>
        <w:t xml:space="preserve"> W tabeli pokazane są wyniki estymacji równania regresji (I) wraz z szacunkami współczynników szybkości procesu zbieżności obliczonymi według wzoru (II). Konwergencja </w:t>
      </w:r>
      <w:r w:rsidR="00A54B4F" w:rsidRPr="00DB6087">
        <w:rPr>
          <w:rFonts w:asciiTheme="majorBidi" w:hAnsiTheme="majorBidi" w:cstheme="majorBidi"/>
          <w:i/>
          <w:sz w:val="24"/>
          <w:szCs w:val="24"/>
        </w:rPr>
        <w:t>β</w:t>
      </w:r>
      <w:r w:rsidR="00A54B4F" w:rsidRPr="00DB6087">
        <w:rPr>
          <w:rFonts w:asciiTheme="majorBidi" w:hAnsiTheme="majorBidi" w:cstheme="majorBidi"/>
          <w:sz w:val="24"/>
          <w:szCs w:val="24"/>
        </w:rPr>
        <w:t xml:space="preserve"> występuje, jeżeli tempo wzrostu gospodarczego jest ujemnie i istotnie statystycznie zależne od początkowego poziomu dochodu. Dzieje się tak, gdy ocena parametru </w:t>
      </w:r>
      <w:r w:rsidR="00A54B4F" w:rsidRPr="00DB6087">
        <w:rPr>
          <w:rFonts w:asciiTheme="majorBidi" w:hAnsiTheme="majorBidi" w:cstheme="majorBidi"/>
          <w:i/>
          <w:sz w:val="24"/>
          <w:szCs w:val="24"/>
        </w:rPr>
        <w:t>α</w:t>
      </w:r>
      <w:r w:rsidR="00A54B4F" w:rsidRPr="00DB6087">
        <w:rPr>
          <w:rFonts w:asciiTheme="majorBidi" w:hAnsiTheme="majorBidi" w:cstheme="majorBidi"/>
          <w:i/>
          <w:sz w:val="24"/>
          <w:szCs w:val="24"/>
          <w:vertAlign w:val="subscript"/>
        </w:rPr>
        <w:t>1</w:t>
      </w:r>
      <w:r w:rsidR="004A4E3D">
        <w:rPr>
          <w:rFonts w:asciiTheme="majorBidi" w:hAnsiTheme="majorBidi" w:cstheme="majorBidi"/>
          <w:sz w:val="24"/>
          <w:szCs w:val="24"/>
        </w:rPr>
        <w:t xml:space="preserve"> jest ujemna, a </w:t>
      </w:r>
      <w:r w:rsidR="00A54B4F" w:rsidRPr="00DB6087">
        <w:rPr>
          <w:rFonts w:asciiTheme="majorBidi" w:hAnsiTheme="majorBidi" w:cstheme="majorBidi"/>
          <w:sz w:val="24"/>
          <w:szCs w:val="24"/>
        </w:rPr>
        <w:t xml:space="preserve">odpowiadająca jej wartość </w:t>
      </w:r>
      <w:r w:rsidR="00A54B4F" w:rsidRPr="00DB6087">
        <w:rPr>
          <w:rFonts w:asciiTheme="majorBidi" w:hAnsiTheme="majorBidi" w:cstheme="majorBidi"/>
          <w:i/>
          <w:sz w:val="24"/>
          <w:szCs w:val="24"/>
        </w:rPr>
        <w:t>p</w:t>
      </w:r>
      <w:r w:rsidR="00A54B4F" w:rsidRPr="00DB6087">
        <w:rPr>
          <w:rFonts w:asciiTheme="majorBidi" w:hAnsiTheme="majorBidi" w:cstheme="majorBidi"/>
          <w:sz w:val="24"/>
          <w:szCs w:val="24"/>
        </w:rPr>
        <w:t xml:space="preserve"> wynosi mniej niż 0,1 (przy przyjęciu 10-procentowego poziomu istotności).</w:t>
      </w:r>
    </w:p>
    <w:p w14:paraId="1BD6DD3B" w14:textId="77777777" w:rsidR="00241D80" w:rsidRPr="00241D80" w:rsidRDefault="00241D80" w:rsidP="00241D80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1CF1CEF7" w14:textId="77777777" w:rsidR="00AF3A30" w:rsidRPr="00405762" w:rsidRDefault="00D5442E" w:rsidP="0074660C">
      <w:pPr>
        <w:spacing w:line="240" w:lineRule="auto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405762">
        <w:rPr>
          <w:rFonts w:asciiTheme="majorBidi" w:hAnsiTheme="majorBidi" w:cstheme="majorBidi"/>
          <w:bCs/>
          <w:sz w:val="20"/>
          <w:szCs w:val="20"/>
        </w:rPr>
        <w:t>Tab</w:t>
      </w:r>
      <w:r w:rsidR="0074660C" w:rsidRPr="00405762">
        <w:rPr>
          <w:rFonts w:asciiTheme="majorBidi" w:hAnsiTheme="majorBidi" w:cstheme="majorBidi"/>
          <w:bCs/>
          <w:sz w:val="20"/>
          <w:szCs w:val="20"/>
        </w:rPr>
        <w:t>.</w:t>
      </w:r>
      <w:r w:rsidRPr="00405762">
        <w:rPr>
          <w:rFonts w:asciiTheme="majorBidi" w:hAnsiTheme="majorBidi" w:cstheme="majorBidi"/>
          <w:bCs/>
          <w:sz w:val="20"/>
          <w:szCs w:val="20"/>
        </w:rPr>
        <w:t xml:space="preserve"> 5</w:t>
      </w:r>
      <w:r w:rsidR="0074660C" w:rsidRPr="00405762">
        <w:rPr>
          <w:rFonts w:asciiTheme="majorBidi" w:hAnsiTheme="majorBidi" w:cstheme="majorBidi"/>
          <w:bCs/>
          <w:sz w:val="20"/>
          <w:szCs w:val="20"/>
        </w:rPr>
        <w:t>.</w:t>
      </w:r>
      <w:r w:rsidR="00C75B08" w:rsidRPr="00405762">
        <w:rPr>
          <w:rFonts w:asciiTheme="majorBidi" w:hAnsiTheme="majorBidi" w:cstheme="majorBidi"/>
          <w:bCs/>
          <w:sz w:val="20"/>
          <w:szCs w:val="20"/>
        </w:rPr>
        <w:t xml:space="preserve"> Wyniki estymacji parametrów równania regresji w odniesieniu do konwergencji β, dla 12 krajów strefy euro w latach 2004 –</w:t>
      </w:r>
      <w:r w:rsidR="00CF4BCC" w:rsidRPr="00405762">
        <w:rPr>
          <w:rFonts w:asciiTheme="majorBidi" w:hAnsiTheme="majorBidi" w:cstheme="majorBidi"/>
          <w:bCs/>
          <w:sz w:val="20"/>
          <w:szCs w:val="20"/>
        </w:rPr>
        <w:t xml:space="preserve"> 2015</w:t>
      </w:r>
    </w:p>
    <w:tbl>
      <w:tblPr>
        <w:tblStyle w:val="Siatkatabeli"/>
        <w:tblW w:w="5000" w:type="pct"/>
        <w:tblLook w:val="04A0" w:firstRow="1" w:lastRow="0" w:firstColumn="1" w:lastColumn="0" w:noHBand="0" w:noVBand="1"/>
      </w:tblPr>
      <w:tblGrid>
        <w:gridCol w:w="6895"/>
        <w:gridCol w:w="2393"/>
      </w:tblGrid>
      <w:tr w:rsidR="001B682C" w:rsidRPr="00DB6087" w14:paraId="0FD2B9C6" w14:textId="77777777" w:rsidTr="00077BA8">
        <w:trPr>
          <w:trHeight w:val="20"/>
        </w:trPr>
        <w:tc>
          <w:tcPr>
            <w:tcW w:w="3712" w:type="pct"/>
            <w:vAlign w:val="center"/>
          </w:tcPr>
          <w:p w14:paraId="039DABDB" w14:textId="77777777" w:rsidR="001B682C" w:rsidRPr="00405762" w:rsidRDefault="00D5442E" w:rsidP="00077BA8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b/>
                <w:sz w:val="18"/>
                <w:szCs w:val="18"/>
              </w:rPr>
              <w:t>Wyszczególnienie</w:t>
            </w:r>
          </w:p>
        </w:tc>
        <w:tc>
          <w:tcPr>
            <w:tcW w:w="1288" w:type="pct"/>
            <w:vAlign w:val="center"/>
          </w:tcPr>
          <w:p w14:paraId="52D6A708" w14:textId="77777777" w:rsidR="001B682C" w:rsidRPr="00405762" w:rsidRDefault="00D5442E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b/>
                <w:sz w:val="18"/>
                <w:szCs w:val="18"/>
              </w:rPr>
              <w:t>Wartości</w:t>
            </w:r>
          </w:p>
        </w:tc>
      </w:tr>
      <w:tr w:rsidR="001B682C" w:rsidRPr="00DB6087" w14:paraId="04517FCF" w14:textId="77777777" w:rsidTr="00077BA8">
        <w:trPr>
          <w:trHeight w:val="20"/>
        </w:trPr>
        <w:tc>
          <w:tcPr>
            <w:tcW w:w="3712" w:type="pct"/>
            <w:vAlign w:val="center"/>
          </w:tcPr>
          <w:p w14:paraId="222D8892" w14:textId="77777777" w:rsidR="001B682C" w:rsidRPr="00405762" w:rsidRDefault="0042591F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i/>
                <w:sz w:val="18"/>
                <w:szCs w:val="18"/>
              </w:rPr>
              <w:t>α</w:t>
            </w:r>
            <w:r w:rsidRPr="00405762">
              <w:rPr>
                <w:rFonts w:asciiTheme="majorBidi" w:hAnsiTheme="majorBidi" w:cstheme="majorBidi"/>
                <w:i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288" w:type="pct"/>
            <w:vAlign w:val="center"/>
          </w:tcPr>
          <w:p w14:paraId="47DCFFE3" w14:textId="77777777" w:rsidR="001B682C" w:rsidRPr="00405762" w:rsidRDefault="001B682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–0,02</w:t>
            </w:r>
            <w:r w:rsidR="00C75B08" w:rsidRPr="00405762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</w:tr>
      <w:tr w:rsidR="001B682C" w:rsidRPr="00DB6087" w14:paraId="121D6E12" w14:textId="77777777" w:rsidTr="00077BA8">
        <w:trPr>
          <w:trHeight w:val="20"/>
        </w:trPr>
        <w:tc>
          <w:tcPr>
            <w:tcW w:w="3712" w:type="pct"/>
            <w:vAlign w:val="center"/>
          </w:tcPr>
          <w:p w14:paraId="45A0E198" w14:textId="77777777" w:rsidR="001B682C" w:rsidRPr="00405762" w:rsidRDefault="001B682C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Statystyka t</w:t>
            </w:r>
            <w:r w:rsidR="00A54B4F" w:rsidRPr="00405762">
              <w:rPr>
                <w:rFonts w:asciiTheme="majorBidi" w:hAnsiTheme="majorBidi" w:cstheme="majorBidi"/>
                <w:sz w:val="18"/>
                <w:szCs w:val="18"/>
              </w:rPr>
              <w:t>-studenta</w:t>
            </w:r>
          </w:p>
        </w:tc>
        <w:tc>
          <w:tcPr>
            <w:tcW w:w="1288" w:type="pct"/>
            <w:vAlign w:val="center"/>
          </w:tcPr>
          <w:p w14:paraId="47FB634D" w14:textId="77777777" w:rsidR="001B682C" w:rsidRPr="00405762" w:rsidRDefault="001B682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="00C75B08" w:rsidRPr="00405762">
              <w:rPr>
                <w:rFonts w:asciiTheme="majorBidi" w:hAnsiTheme="majorBidi" w:cstheme="majorBidi"/>
                <w:sz w:val="18"/>
                <w:szCs w:val="18"/>
              </w:rPr>
              <w:t>5</w:t>
            </w:r>
            <w:r w:rsidRPr="00405762">
              <w:rPr>
                <w:rFonts w:asciiTheme="majorBidi" w:hAnsiTheme="majorBidi" w:cstheme="majorBidi"/>
                <w:sz w:val="18"/>
                <w:szCs w:val="18"/>
              </w:rPr>
              <w:t>,</w:t>
            </w:r>
            <w:r w:rsidR="00C75B08" w:rsidRPr="00405762"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</w:tr>
      <w:tr w:rsidR="001B682C" w:rsidRPr="00DB6087" w14:paraId="08BF05C7" w14:textId="77777777" w:rsidTr="00077BA8">
        <w:trPr>
          <w:trHeight w:val="20"/>
        </w:trPr>
        <w:tc>
          <w:tcPr>
            <w:tcW w:w="3712" w:type="pct"/>
            <w:vAlign w:val="center"/>
          </w:tcPr>
          <w:p w14:paraId="0E146E00" w14:textId="77777777" w:rsidR="001B682C" w:rsidRPr="00405762" w:rsidRDefault="001B682C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Wartość p</w:t>
            </w:r>
          </w:p>
        </w:tc>
        <w:tc>
          <w:tcPr>
            <w:tcW w:w="1288" w:type="pct"/>
            <w:vAlign w:val="center"/>
          </w:tcPr>
          <w:p w14:paraId="40CCB816" w14:textId="77777777" w:rsidR="001B682C" w:rsidRPr="00405762" w:rsidRDefault="001B682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0,000</w:t>
            </w:r>
          </w:p>
        </w:tc>
      </w:tr>
      <w:tr w:rsidR="001B682C" w:rsidRPr="00DB6087" w14:paraId="485ECE41" w14:textId="77777777" w:rsidTr="00077BA8">
        <w:trPr>
          <w:trHeight w:val="20"/>
        </w:trPr>
        <w:tc>
          <w:tcPr>
            <w:tcW w:w="3712" w:type="pct"/>
            <w:vAlign w:val="center"/>
          </w:tcPr>
          <w:p w14:paraId="234D5858" w14:textId="77777777" w:rsidR="001B682C" w:rsidRPr="00405762" w:rsidRDefault="0042591F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i/>
                <w:sz w:val="18"/>
                <w:szCs w:val="18"/>
              </w:rPr>
              <w:t>α</w:t>
            </w:r>
            <w:r w:rsidRPr="00405762">
              <w:rPr>
                <w:rFonts w:asciiTheme="majorBidi" w:hAnsiTheme="majorBidi" w:cstheme="majorBidi"/>
                <w:i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288" w:type="pct"/>
            <w:vAlign w:val="center"/>
          </w:tcPr>
          <w:p w14:paraId="6942F285" w14:textId="77777777" w:rsidR="001B682C" w:rsidRPr="00405762" w:rsidRDefault="001B682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0,26</w:t>
            </w:r>
            <w:r w:rsidR="00C75B08" w:rsidRPr="00405762"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</w:tr>
      <w:tr w:rsidR="001B682C" w:rsidRPr="00DB6087" w14:paraId="46F7726B" w14:textId="77777777" w:rsidTr="00077BA8">
        <w:trPr>
          <w:trHeight w:val="20"/>
        </w:trPr>
        <w:tc>
          <w:tcPr>
            <w:tcW w:w="3712" w:type="pct"/>
            <w:vAlign w:val="center"/>
          </w:tcPr>
          <w:p w14:paraId="781B69B4" w14:textId="77777777" w:rsidR="001B682C" w:rsidRPr="00405762" w:rsidRDefault="001B682C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Statystyka t</w:t>
            </w:r>
            <w:r w:rsidR="002802AF" w:rsidRPr="00405762">
              <w:rPr>
                <w:rFonts w:asciiTheme="majorBidi" w:hAnsiTheme="majorBidi" w:cstheme="majorBidi"/>
                <w:sz w:val="18"/>
                <w:szCs w:val="18"/>
              </w:rPr>
              <w:t>-studenta</w:t>
            </w:r>
          </w:p>
        </w:tc>
        <w:tc>
          <w:tcPr>
            <w:tcW w:w="1288" w:type="pct"/>
            <w:vAlign w:val="center"/>
          </w:tcPr>
          <w:p w14:paraId="4EB31347" w14:textId="77777777" w:rsidR="001B682C" w:rsidRPr="00405762" w:rsidRDefault="001B682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5,</w:t>
            </w:r>
            <w:r w:rsidR="00C75B08" w:rsidRPr="00405762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</w:tr>
      <w:tr w:rsidR="001B682C" w:rsidRPr="00DB6087" w14:paraId="68006812" w14:textId="77777777" w:rsidTr="00077BA8">
        <w:trPr>
          <w:trHeight w:val="20"/>
        </w:trPr>
        <w:tc>
          <w:tcPr>
            <w:tcW w:w="3712" w:type="pct"/>
            <w:vAlign w:val="center"/>
          </w:tcPr>
          <w:p w14:paraId="1DED54BB" w14:textId="77777777" w:rsidR="001B682C" w:rsidRPr="00405762" w:rsidRDefault="001B682C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Wartość p</w:t>
            </w:r>
          </w:p>
        </w:tc>
        <w:tc>
          <w:tcPr>
            <w:tcW w:w="1288" w:type="pct"/>
            <w:vAlign w:val="center"/>
          </w:tcPr>
          <w:p w14:paraId="34D845F4" w14:textId="77777777" w:rsidR="001B682C" w:rsidRPr="00405762" w:rsidRDefault="001B682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0,000</w:t>
            </w:r>
          </w:p>
        </w:tc>
      </w:tr>
      <w:tr w:rsidR="001B682C" w:rsidRPr="00DB6087" w14:paraId="72D398A2" w14:textId="77777777" w:rsidTr="00077BA8">
        <w:trPr>
          <w:trHeight w:val="20"/>
        </w:trPr>
        <w:tc>
          <w:tcPr>
            <w:tcW w:w="3712" w:type="pct"/>
            <w:vAlign w:val="center"/>
          </w:tcPr>
          <w:p w14:paraId="72A570D9" w14:textId="77777777" w:rsidR="001B682C" w:rsidRPr="00405762" w:rsidRDefault="001B682C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N</w:t>
            </w:r>
          </w:p>
        </w:tc>
        <w:tc>
          <w:tcPr>
            <w:tcW w:w="1288" w:type="pct"/>
            <w:vAlign w:val="center"/>
          </w:tcPr>
          <w:p w14:paraId="4FE72DC4" w14:textId="77777777" w:rsidR="001B682C" w:rsidRPr="00405762" w:rsidRDefault="00C75B08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</w:tr>
      <w:tr w:rsidR="001B682C" w:rsidRPr="00DB6087" w14:paraId="63B9FF66" w14:textId="77777777" w:rsidTr="00077BA8">
        <w:trPr>
          <w:trHeight w:val="20"/>
        </w:trPr>
        <w:tc>
          <w:tcPr>
            <w:tcW w:w="3712" w:type="pct"/>
            <w:vAlign w:val="center"/>
          </w:tcPr>
          <w:p w14:paraId="3A93764A" w14:textId="77777777" w:rsidR="001B682C" w:rsidRPr="00405762" w:rsidRDefault="001B682C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R</w:t>
            </w:r>
            <w:r w:rsidRPr="00405762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88" w:type="pct"/>
            <w:vAlign w:val="center"/>
          </w:tcPr>
          <w:p w14:paraId="462DBD0A" w14:textId="77777777" w:rsidR="001B682C" w:rsidRPr="00405762" w:rsidRDefault="001B682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5</w:t>
            </w:r>
            <w:r w:rsidR="00C75B08" w:rsidRPr="00405762">
              <w:rPr>
                <w:rFonts w:asciiTheme="majorBidi" w:hAnsiTheme="majorBidi" w:cstheme="majorBidi"/>
                <w:sz w:val="18"/>
                <w:szCs w:val="18"/>
              </w:rPr>
              <w:t>3</w:t>
            </w:r>
            <w:r w:rsidRPr="00405762">
              <w:rPr>
                <w:rFonts w:asciiTheme="majorBidi" w:hAnsiTheme="majorBidi" w:cstheme="majorBidi"/>
                <w:sz w:val="18"/>
                <w:szCs w:val="18"/>
              </w:rPr>
              <w:t>%</w:t>
            </w:r>
          </w:p>
        </w:tc>
      </w:tr>
      <w:tr w:rsidR="001B682C" w:rsidRPr="00DB6087" w14:paraId="493FF7A6" w14:textId="77777777" w:rsidTr="00077BA8">
        <w:trPr>
          <w:trHeight w:val="20"/>
        </w:trPr>
        <w:tc>
          <w:tcPr>
            <w:tcW w:w="3712" w:type="pct"/>
            <w:vAlign w:val="center"/>
          </w:tcPr>
          <w:p w14:paraId="7187D2EE" w14:textId="77777777" w:rsidR="001B682C" w:rsidRPr="00405762" w:rsidRDefault="001B682C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Konwergencja β</w:t>
            </w:r>
          </w:p>
        </w:tc>
        <w:tc>
          <w:tcPr>
            <w:tcW w:w="1288" w:type="pct"/>
            <w:vAlign w:val="center"/>
          </w:tcPr>
          <w:p w14:paraId="02B3DD5D" w14:textId="77777777" w:rsidR="001B682C" w:rsidRPr="00405762" w:rsidRDefault="001B682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tak</w:t>
            </w:r>
          </w:p>
        </w:tc>
      </w:tr>
      <w:tr w:rsidR="001B682C" w:rsidRPr="00DB6087" w14:paraId="0CFC4808" w14:textId="77777777" w:rsidTr="00077BA8">
        <w:trPr>
          <w:trHeight w:val="20"/>
        </w:trPr>
        <w:tc>
          <w:tcPr>
            <w:tcW w:w="3712" w:type="pct"/>
            <w:vAlign w:val="center"/>
          </w:tcPr>
          <w:p w14:paraId="360C845C" w14:textId="77777777" w:rsidR="001B682C" w:rsidRPr="00405762" w:rsidRDefault="001B682C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Współczynnik β</w:t>
            </w:r>
          </w:p>
        </w:tc>
        <w:tc>
          <w:tcPr>
            <w:tcW w:w="1288" w:type="pct"/>
            <w:vAlign w:val="center"/>
          </w:tcPr>
          <w:p w14:paraId="193E7ADE" w14:textId="77777777" w:rsidR="001B682C" w:rsidRPr="00405762" w:rsidRDefault="001B682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2,</w:t>
            </w:r>
            <w:r w:rsidR="00C75B08" w:rsidRPr="00405762">
              <w:rPr>
                <w:rFonts w:asciiTheme="majorBidi" w:hAnsiTheme="majorBidi" w:cstheme="majorBidi"/>
                <w:sz w:val="18"/>
                <w:szCs w:val="18"/>
              </w:rPr>
              <w:t>95</w:t>
            </w:r>
            <w:r w:rsidRPr="00405762">
              <w:rPr>
                <w:rFonts w:asciiTheme="majorBidi" w:hAnsiTheme="majorBidi" w:cstheme="majorBidi"/>
                <w:sz w:val="18"/>
                <w:szCs w:val="18"/>
              </w:rPr>
              <w:t>%</w:t>
            </w:r>
          </w:p>
        </w:tc>
      </w:tr>
    </w:tbl>
    <w:p w14:paraId="456402EB" w14:textId="77777777" w:rsidR="006431C8" w:rsidRPr="00405762" w:rsidRDefault="00C75B08" w:rsidP="00405762">
      <w:pPr>
        <w:spacing w:before="240" w:after="0" w:line="240" w:lineRule="auto"/>
        <w:ind w:firstLine="567"/>
        <w:rPr>
          <w:rFonts w:asciiTheme="majorBidi" w:hAnsiTheme="majorBidi" w:cstheme="majorBidi"/>
          <w:iCs/>
          <w:sz w:val="20"/>
          <w:szCs w:val="20"/>
        </w:rPr>
      </w:pPr>
      <w:r w:rsidRPr="00405762">
        <w:rPr>
          <w:rFonts w:asciiTheme="majorBidi" w:hAnsiTheme="majorBidi" w:cstheme="majorBidi"/>
          <w:iCs/>
          <w:sz w:val="20"/>
          <w:szCs w:val="20"/>
        </w:rPr>
        <w:t>Źródło: Opracowanie własne na podstawie danych EUROSTAT.</w:t>
      </w:r>
    </w:p>
    <w:p w14:paraId="28D0CB10" w14:textId="77777777" w:rsidR="00241D80" w:rsidRPr="00042C06" w:rsidRDefault="00241D80" w:rsidP="00241D80">
      <w:pPr>
        <w:spacing w:after="0" w:line="240" w:lineRule="auto"/>
        <w:rPr>
          <w:rFonts w:asciiTheme="majorBidi" w:hAnsiTheme="majorBidi" w:cstheme="majorBidi"/>
          <w:iCs/>
          <w:sz w:val="24"/>
          <w:szCs w:val="24"/>
        </w:rPr>
      </w:pPr>
    </w:p>
    <w:p w14:paraId="6D0AE88C" w14:textId="77777777" w:rsidR="002802AF" w:rsidRPr="00DB6087" w:rsidRDefault="00B004D2" w:rsidP="00042C0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 xml:space="preserve">Uzyskane wyniki potwierdzają występowanie wyraźnej konwergencji dochodowej wśród </w:t>
      </w:r>
      <w:r w:rsidR="00CF4BCC" w:rsidRPr="00DB6087">
        <w:rPr>
          <w:rFonts w:asciiTheme="majorBidi" w:hAnsiTheme="majorBidi" w:cstheme="majorBidi"/>
          <w:sz w:val="24"/>
          <w:szCs w:val="24"/>
        </w:rPr>
        <w:t>18</w:t>
      </w:r>
      <w:r w:rsidRPr="00DB6087">
        <w:rPr>
          <w:rFonts w:asciiTheme="majorBidi" w:hAnsiTheme="majorBidi" w:cstheme="majorBidi"/>
          <w:sz w:val="24"/>
          <w:szCs w:val="24"/>
        </w:rPr>
        <w:t xml:space="preserve"> krajów badanej grupy. Nachylenie linii regresji jest ujemne z wartością statystyki t-studenta na poziomie –</w:t>
      </w:r>
      <w:r w:rsidR="00CF4BCC" w:rsidRPr="00DB6087">
        <w:rPr>
          <w:rFonts w:asciiTheme="majorBidi" w:hAnsiTheme="majorBidi" w:cstheme="majorBidi"/>
          <w:sz w:val="24"/>
          <w:szCs w:val="24"/>
        </w:rPr>
        <w:t>5,88</w:t>
      </w:r>
      <w:r w:rsidRPr="00DB6087">
        <w:rPr>
          <w:rFonts w:asciiTheme="majorBidi" w:hAnsiTheme="majorBidi" w:cstheme="majorBidi"/>
          <w:sz w:val="24"/>
          <w:szCs w:val="24"/>
        </w:rPr>
        <w:t xml:space="preserve">, wartością </w:t>
      </w:r>
      <w:r w:rsidRPr="00DB6087">
        <w:rPr>
          <w:rFonts w:asciiTheme="majorBidi" w:hAnsiTheme="majorBidi" w:cstheme="majorBidi"/>
          <w:i/>
          <w:sz w:val="24"/>
          <w:szCs w:val="24"/>
        </w:rPr>
        <w:t>p</w:t>
      </w:r>
      <w:r w:rsidRPr="00DB6087">
        <w:rPr>
          <w:rFonts w:asciiTheme="majorBidi" w:hAnsiTheme="majorBidi" w:cstheme="majorBidi"/>
          <w:sz w:val="24"/>
          <w:szCs w:val="24"/>
        </w:rPr>
        <w:t xml:space="preserve"> równą 0,000 oraz współczynnikiem determinacji 5</w:t>
      </w:r>
      <w:r w:rsidR="00CF4BCC" w:rsidRPr="00DB6087">
        <w:rPr>
          <w:rFonts w:asciiTheme="majorBidi" w:hAnsiTheme="majorBidi" w:cstheme="majorBidi"/>
          <w:sz w:val="24"/>
          <w:szCs w:val="24"/>
        </w:rPr>
        <w:t>3</w:t>
      </w:r>
      <w:r w:rsidRPr="00DB6087">
        <w:rPr>
          <w:rFonts w:asciiTheme="majorBidi" w:hAnsiTheme="majorBidi" w:cstheme="majorBidi"/>
          <w:sz w:val="24"/>
          <w:szCs w:val="24"/>
        </w:rPr>
        <w:t>%. Oznacza to, że kraje wchodzące do strefy euro w 2004 r</w:t>
      </w:r>
      <w:r w:rsidR="00CF4BCC" w:rsidRPr="00DB6087">
        <w:rPr>
          <w:rFonts w:asciiTheme="majorBidi" w:hAnsiTheme="majorBidi" w:cstheme="majorBidi"/>
          <w:sz w:val="24"/>
          <w:szCs w:val="24"/>
        </w:rPr>
        <w:t>oku</w:t>
      </w:r>
      <w:r w:rsidRPr="00DB6087">
        <w:rPr>
          <w:rFonts w:asciiTheme="majorBidi" w:hAnsiTheme="majorBidi" w:cstheme="majorBidi"/>
          <w:sz w:val="24"/>
          <w:szCs w:val="24"/>
        </w:rPr>
        <w:t xml:space="preserve"> wykazywały – przeciętnie biorąc – szybsze tempo wzrostu gospodarczego w latach 2004-2015 niż </w:t>
      </w:r>
      <w:r w:rsidR="00420A27" w:rsidRPr="00DB6087">
        <w:rPr>
          <w:rFonts w:asciiTheme="majorBidi" w:hAnsiTheme="majorBidi" w:cstheme="majorBidi"/>
          <w:sz w:val="24"/>
          <w:szCs w:val="24"/>
        </w:rPr>
        <w:t>12 krajów, które utworzyły pierwotnie strefę euro</w:t>
      </w:r>
      <w:r w:rsidRPr="00DB6087">
        <w:rPr>
          <w:rFonts w:asciiTheme="majorBidi" w:hAnsiTheme="majorBidi" w:cstheme="majorBidi"/>
          <w:sz w:val="24"/>
          <w:szCs w:val="24"/>
        </w:rPr>
        <w:t>.</w:t>
      </w:r>
    </w:p>
    <w:p w14:paraId="5688247D" w14:textId="77777777" w:rsidR="00CF4BCC" w:rsidRDefault="00B004D2" w:rsidP="00241D80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color w:val="231F20"/>
          <w:sz w:val="24"/>
          <w:szCs w:val="24"/>
        </w:rPr>
        <w:t>Konwergencj</w:t>
      </w:r>
      <w:r w:rsidR="00CF4BCC" w:rsidRPr="00DB6087">
        <w:rPr>
          <w:rFonts w:asciiTheme="majorBidi" w:hAnsiTheme="majorBidi" w:cstheme="majorBidi"/>
          <w:color w:val="231F20"/>
          <w:sz w:val="24"/>
          <w:szCs w:val="24"/>
        </w:rPr>
        <w:t>a</w:t>
      </w:r>
      <w:r w:rsidRPr="00DB6087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CF4BCC" w:rsidRPr="00DB6087">
        <w:rPr>
          <w:rFonts w:asciiTheme="majorBidi" w:hAnsiTheme="majorBidi" w:cstheme="majorBidi"/>
          <w:sz w:val="24"/>
          <w:szCs w:val="24"/>
        </w:rPr>
        <w:t>σ</w:t>
      </w:r>
      <w:r w:rsidRPr="00DB6087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CF4BCC" w:rsidRPr="00DB6087">
        <w:rPr>
          <w:rFonts w:asciiTheme="majorBidi" w:hAnsiTheme="majorBidi" w:cstheme="majorBidi"/>
          <w:color w:val="231F20"/>
          <w:sz w:val="24"/>
          <w:szCs w:val="24"/>
        </w:rPr>
        <w:t>jest mierzona</w:t>
      </w:r>
      <w:r w:rsidRPr="00DB6087">
        <w:rPr>
          <w:rFonts w:asciiTheme="majorBidi" w:hAnsiTheme="majorBidi" w:cstheme="majorBidi"/>
          <w:color w:val="231F20"/>
          <w:sz w:val="24"/>
          <w:szCs w:val="24"/>
        </w:rPr>
        <w:t xml:space="preserve"> zmianami odchylenia standardowego logarytmów naturalnych</w:t>
      </w:r>
      <w:r w:rsidRPr="00DB6087">
        <w:rPr>
          <w:rFonts w:asciiTheme="majorBidi" w:hAnsiTheme="majorBidi" w:cstheme="majorBidi"/>
          <w:color w:val="231F20"/>
          <w:spacing w:val="-8"/>
          <w:sz w:val="24"/>
          <w:szCs w:val="24"/>
        </w:rPr>
        <w:t xml:space="preserve"> </w:t>
      </w:r>
      <w:r w:rsidRPr="00DB6087">
        <w:rPr>
          <w:rFonts w:asciiTheme="majorBidi" w:hAnsiTheme="majorBidi" w:cstheme="majorBidi"/>
          <w:color w:val="231F20"/>
          <w:sz w:val="24"/>
          <w:szCs w:val="24"/>
        </w:rPr>
        <w:t>PKB</w:t>
      </w:r>
      <w:r w:rsidRPr="00DB6087">
        <w:rPr>
          <w:rFonts w:asciiTheme="majorBidi" w:hAnsiTheme="majorBidi" w:cstheme="majorBidi"/>
          <w:color w:val="231F20"/>
          <w:spacing w:val="-8"/>
          <w:sz w:val="24"/>
          <w:szCs w:val="24"/>
        </w:rPr>
        <w:t xml:space="preserve"> </w:t>
      </w:r>
      <w:r w:rsidRPr="00DB6087">
        <w:rPr>
          <w:rFonts w:asciiTheme="majorBidi" w:hAnsiTheme="majorBidi" w:cstheme="majorBidi"/>
          <w:i/>
          <w:color w:val="231F20"/>
          <w:sz w:val="24"/>
          <w:szCs w:val="24"/>
        </w:rPr>
        <w:t>per</w:t>
      </w:r>
      <w:r w:rsidRPr="00DB6087">
        <w:rPr>
          <w:rFonts w:asciiTheme="majorBidi" w:hAnsiTheme="majorBidi" w:cstheme="majorBidi"/>
          <w:i/>
          <w:color w:val="231F20"/>
          <w:spacing w:val="-8"/>
          <w:sz w:val="24"/>
          <w:szCs w:val="24"/>
        </w:rPr>
        <w:t xml:space="preserve"> </w:t>
      </w:r>
      <w:r w:rsidRPr="00DB6087">
        <w:rPr>
          <w:rFonts w:asciiTheme="majorBidi" w:hAnsiTheme="majorBidi" w:cstheme="majorBidi"/>
          <w:i/>
          <w:color w:val="231F20"/>
          <w:sz w:val="24"/>
          <w:szCs w:val="24"/>
        </w:rPr>
        <w:t>capita</w:t>
      </w:r>
      <w:r w:rsidRPr="00DB6087">
        <w:rPr>
          <w:rFonts w:asciiTheme="majorBidi" w:hAnsiTheme="majorBidi" w:cstheme="majorBidi"/>
          <w:i/>
          <w:color w:val="231F20"/>
          <w:spacing w:val="-8"/>
          <w:sz w:val="24"/>
          <w:szCs w:val="24"/>
        </w:rPr>
        <w:t xml:space="preserve"> </w:t>
      </w:r>
      <w:r w:rsidRPr="00DB6087">
        <w:rPr>
          <w:rFonts w:asciiTheme="majorBidi" w:hAnsiTheme="majorBidi" w:cstheme="majorBidi"/>
          <w:color w:val="231F20"/>
          <w:sz w:val="24"/>
          <w:szCs w:val="24"/>
        </w:rPr>
        <w:t>między</w:t>
      </w:r>
      <w:r w:rsidRPr="00DB6087">
        <w:rPr>
          <w:rFonts w:asciiTheme="majorBidi" w:hAnsiTheme="majorBidi" w:cstheme="majorBidi"/>
          <w:color w:val="231F20"/>
          <w:spacing w:val="-8"/>
          <w:sz w:val="24"/>
          <w:szCs w:val="24"/>
        </w:rPr>
        <w:t xml:space="preserve"> </w:t>
      </w:r>
      <w:r w:rsidR="00420A27" w:rsidRPr="00DB6087">
        <w:rPr>
          <w:rFonts w:asciiTheme="majorBidi" w:hAnsiTheme="majorBidi" w:cstheme="majorBidi"/>
          <w:color w:val="231F20"/>
          <w:sz w:val="24"/>
          <w:szCs w:val="24"/>
        </w:rPr>
        <w:t>18</w:t>
      </w:r>
      <w:r w:rsidRPr="00DB6087">
        <w:rPr>
          <w:rFonts w:asciiTheme="majorBidi" w:hAnsiTheme="majorBidi" w:cstheme="majorBidi"/>
          <w:color w:val="231F20"/>
          <w:spacing w:val="-8"/>
          <w:sz w:val="24"/>
          <w:szCs w:val="24"/>
        </w:rPr>
        <w:t xml:space="preserve"> </w:t>
      </w:r>
      <w:r w:rsidRPr="00DB6087">
        <w:rPr>
          <w:rFonts w:asciiTheme="majorBidi" w:hAnsiTheme="majorBidi" w:cstheme="majorBidi"/>
          <w:color w:val="231F20"/>
          <w:sz w:val="24"/>
          <w:szCs w:val="24"/>
        </w:rPr>
        <w:t>krajami</w:t>
      </w:r>
      <w:r w:rsidRPr="00DB6087">
        <w:rPr>
          <w:rFonts w:asciiTheme="majorBidi" w:hAnsiTheme="majorBidi" w:cstheme="majorBidi"/>
          <w:color w:val="231F20"/>
          <w:spacing w:val="-8"/>
          <w:sz w:val="24"/>
          <w:szCs w:val="24"/>
        </w:rPr>
        <w:t xml:space="preserve"> </w:t>
      </w:r>
      <w:r w:rsidRPr="00DB6087">
        <w:rPr>
          <w:rFonts w:asciiTheme="majorBidi" w:hAnsiTheme="majorBidi" w:cstheme="majorBidi"/>
          <w:color w:val="231F20"/>
          <w:sz w:val="24"/>
          <w:szCs w:val="24"/>
        </w:rPr>
        <w:t>UE należącymi do strefy euro.</w:t>
      </w:r>
      <w:r w:rsidR="008A50EE" w:rsidRPr="00DB6087">
        <w:rPr>
          <w:rFonts w:asciiTheme="majorBidi" w:hAnsiTheme="majorBidi" w:cstheme="majorBidi"/>
          <w:color w:val="231F20"/>
          <w:sz w:val="24"/>
          <w:szCs w:val="24"/>
        </w:rPr>
        <w:t xml:space="preserve"> Wykorzystano do tego równanie regresji (III).</w:t>
      </w:r>
      <w:r w:rsidR="00EC142A" w:rsidRPr="00DB6087">
        <w:rPr>
          <w:rFonts w:asciiTheme="majorBidi" w:hAnsiTheme="majorBidi" w:cstheme="majorBidi"/>
          <w:color w:val="231F20"/>
          <w:sz w:val="24"/>
          <w:szCs w:val="24"/>
        </w:rPr>
        <w:t xml:space="preserve"> Wyniki estymacji linii trendu dla odchyleń standardowych są </w:t>
      </w:r>
      <w:r w:rsidR="00EC142A" w:rsidRPr="00DB6087">
        <w:rPr>
          <w:rFonts w:asciiTheme="majorBidi" w:hAnsiTheme="majorBidi" w:cstheme="majorBidi"/>
          <w:sz w:val="24"/>
          <w:szCs w:val="24"/>
        </w:rPr>
        <w:t xml:space="preserve">przedstawione w tabeli </w:t>
      </w:r>
      <w:r w:rsidR="00CF4BCC" w:rsidRPr="00DB6087">
        <w:rPr>
          <w:rFonts w:asciiTheme="majorBidi" w:hAnsiTheme="majorBidi" w:cstheme="majorBidi"/>
          <w:sz w:val="24"/>
          <w:szCs w:val="24"/>
        </w:rPr>
        <w:t>6</w:t>
      </w:r>
      <w:r w:rsidR="00AF3A30" w:rsidRPr="00DB6087">
        <w:rPr>
          <w:rFonts w:asciiTheme="majorBidi" w:hAnsiTheme="majorBidi" w:cstheme="majorBidi"/>
          <w:sz w:val="24"/>
          <w:szCs w:val="24"/>
        </w:rPr>
        <w:t>.</w:t>
      </w:r>
    </w:p>
    <w:p w14:paraId="3FECC353" w14:textId="77777777" w:rsidR="00241D80" w:rsidRPr="00DB6087" w:rsidRDefault="00241D80" w:rsidP="00241D80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790E20EA" w14:textId="77777777" w:rsidR="00AF3A30" w:rsidRPr="00405762" w:rsidRDefault="0074660C" w:rsidP="0074660C">
      <w:pPr>
        <w:spacing w:line="240" w:lineRule="auto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405762">
        <w:rPr>
          <w:rFonts w:asciiTheme="majorBidi" w:hAnsiTheme="majorBidi" w:cstheme="majorBidi"/>
          <w:bCs/>
          <w:sz w:val="20"/>
          <w:szCs w:val="20"/>
        </w:rPr>
        <w:t>Tab.</w:t>
      </w:r>
      <w:r w:rsidR="00CF4BCC" w:rsidRPr="00405762">
        <w:rPr>
          <w:rFonts w:asciiTheme="majorBidi" w:hAnsiTheme="majorBidi" w:cstheme="majorBidi"/>
          <w:bCs/>
          <w:sz w:val="20"/>
          <w:szCs w:val="20"/>
        </w:rPr>
        <w:t xml:space="preserve"> 6</w:t>
      </w:r>
      <w:r w:rsidRPr="00405762">
        <w:rPr>
          <w:rFonts w:asciiTheme="majorBidi" w:hAnsiTheme="majorBidi" w:cstheme="majorBidi"/>
          <w:bCs/>
          <w:sz w:val="20"/>
          <w:szCs w:val="20"/>
        </w:rPr>
        <w:t>.</w:t>
      </w:r>
      <w:r w:rsidR="00AF3A30" w:rsidRPr="00405762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="00CF4BCC" w:rsidRPr="00405762">
        <w:rPr>
          <w:rFonts w:asciiTheme="majorBidi" w:hAnsiTheme="majorBidi" w:cstheme="majorBidi"/>
          <w:bCs/>
          <w:sz w:val="20"/>
          <w:szCs w:val="20"/>
        </w:rPr>
        <w:t>Wyniki estymacji linii trendu dla odchyleń standardowych przy określaniu konwergencji σ</w:t>
      </w:r>
      <w:r w:rsidR="00405762" w:rsidRPr="00405762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="00CF4BCC" w:rsidRPr="00405762">
        <w:rPr>
          <w:rFonts w:asciiTheme="majorBidi" w:hAnsiTheme="majorBidi" w:cstheme="majorBidi"/>
          <w:bCs/>
          <w:sz w:val="20"/>
          <w:szCs w:val="20"/>
        </w:rPr>
        <w:t>dla 12 krajów strefy euro w latach 2004 – 2015</w:t>
      </w:r>
    </w:p>
    <w:tbl>
      <w:tblPr>
        <w:tblStyle w:val="Siatkatabeli"/>
        <w:tblW w:w="5000" w:type="pct"/>
        <w:tblLook w:val="04A0" w:firstRow="1" w:lastRow="0" w:firstColumn="1" w:lastColumn="0" w:noHBand="0" w:noVBand="1"/>
      </w:tblPr>
      <w:tblGrid>
        <w:gridCol w:w="6895"/>
        <w:gridCol w:w="2393"/>
      </w:tblGrid>
      <w:tr w:rsidR="007D53BB" w:rsidRPr="00DB6087" w14:paraId="534AE03A" w14:textId="77777777" w:rsidTr="00077BA8">
        <w:trPr>
          <w:trHeight w:val="227"/>
        </w:trPr>
        <w:tc>
          <w:tcPr>
            <w:tcW w:w="3712" w:type="pct"/>
            <w:vAlign w:val="center"/>
          </w:tcPr>
          <w:p w14:paraId="2E11A213" w14:textId="77777777" w:rsidR="007D53BB" w:rsidRPr="00405762" w:rsidRDefault="00EC142A" w:rsidP="00077BA8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b/>
                <w:sz w:val="18"/>
                <w:szCs w:val="18"/>
              </w:rPr>
              <w:t>Parametry</w:t>
            </w:r>
          </w:p>
        </w:tc>
        <w:tc>
          <w:tcPr>
            <w:tcW w:w="1288" w:type="pct"/>
            <w:vAlign w:val="center"/>
          </w:tcPr>
          <w:p w14:paraId="7583907C" w14:textId="77777777" w:rsidR="007D53BB" w:rsidRPr="00405762" w:rsidRDefault="00EC142A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Okres </w:t>
            </w:r>
            <w:r w:rsidR="007D53BB" w:rsidRPr="00405762">
              <w:rPr>
                <w:rFonts w:asciiTheme="majorBidi" w:hAnsiTheme="majorBidi" w:cstheme="majorBidi"/>
                <w:b/>
                <w:sz w:val="18"/>
                <w:szCs w:val="18"/>
              </w:rPr>
              <w:t>2004-201</w:t>
            </w:r>
            <w:r w:rsidR="003A505C" w:rsidRPr="00405762">
              <w:rPr>
                <w:rFonts w:asciiTheme="majorBidi" w:hAnsiTheme="majorBidi" w:cstheme="majorBidi"/>
                <w:b/>
                <w:sz w:val="18"/>
                <w:szCs w:val="18"/>
              </w:rPr>
              <w:t>5</w:t>
            </w:r>
          </w:p>
        </w:tc>
      </w:tr>
      <w:tr w:rsidR="007D53BB" w:rsidRPr="00DB6087" w14:paraId="1084B86B" w14:textId="77777777" w:rsidTr="00077BA8">
        <w:trPr>
          <w:trHeight w:val="227"/>
        </w:trPr>
        <w:tc>
          <w:tcPr>
            <w:tcW w:w="3712" w:type="pct"/>
            <w:vAlign w:val="center"/>
          </w:tcPr>
          <w:p w14:paraId="7A890295" w14:textId="77777777" w:rsidR="007D53BB" w:rsidRPr="00405762" w:rsidRDefault="008A50EE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i/>
                <w:sz w:val="18"/>
                <w:szCs w:val="18"/>
              </w:rPr>
              <w:t>α</w:t>
            </w:r>
            <w:r w:rsidRPr="00405762">
              <w:rPr>
                <w:rFonts w:asciiTheme="majorBidi" w:hAnsiTheme="majorBidi" w:cstheme="majorBidi"/>
                <w:i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288" w:type="pct"/>
            <w:vAlign w:val="center"/>
          </w:tcPr>
          <w:p w14:paraId="75351572" w14:textId="77777777" w:rsidR="007D53BB" w:rsidRPr="00405762" w:rsidRDefault="007D53BB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–0,00</w:t>
            </w:r>
            <w:r w:rsidR="00CF4BCC" w:rsidRPr="00405762"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</w:tr>
      <w:tr w:rsidR="007D53BB" w:rsidRPr="00DB6087" w14:paraId="01182B73" w14:textId="77777777" w:rsidTr="00077BA8">
        <w:trPr>
          <w:trHeight w:val="227"/>
        </w:trPr>
        <w:tc>
          <w:tcPr>
            <w:tcW w:w="3712" w:type="pct"/>
            <w:vAlign w:val="center"/>
          </w:tcPr>
          <w:p w14:paraId="4EA39A0A" w14:textId="77777777" w:rsidR="007D53BB" w:rsidRPr="00405762" w:rsidRDefault="007D53BB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Statystyka t</w:t>
            </w:r>
            <w:r w:rsidR="008A50EE" w:rsidRPr="00405762">
              <w:rPr>
                <w:rFonts w:asciiTheme="majorBidi" w:hAnsiTheme="majorBidi" w:cstheme="majorBidi"/>
                <w:sz w:val="18"/>
                <w:szCs w:val="18"/>
              </w:rPr>
              <w:t>-studenta</w:t>
            </w:r>
          </w:p>
        </w:tc>
        <w:tc>
          <w:tcPr>
            <w:tcW w:w="1288" w:type="pct"/>
            <w:vAlign w:val="center"/>
          </w:tcPr>
          <w:p w14:paraId="7559622C" w14:textId="77777777" w:rsidR="007D53BB" w:rsidRPr="00405762" w:rsidRDefault="007D53BB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="00CF4BCC" w:rsidRPr="00405762">
              <w:rPr>
                <w:rFonts w:asciiTheme="majorBidi" w:hAnsiTheme="majorBidi" w:cstheme="majorBidi"/>
                <w:sz w:val="18"/>
                <w:szCs w:val="18"/>
              </w:rPr>
              <w:t>8</w:t>
            </w:r>
            <w:r w:rsidRPr="00405762">
              <w:rPr>
                <w:rFonts w:asciiTheme="majorBidi" w:hAnsiTheme="majorBidi" w:cstheme="majorBidi"/>
                <w:sz w:val="18"/>
                <w:szCs w:val="18"/>
              </w:rPr>
              <w:t>,</w:t>
            </w:r>
            <w:r w:rsidR="00CF4BCC" w:rsidRPr="00405762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</w:tr>
      <w:tr w:rsidR="007D53BB" w:rsidRPr="00DB6087" w14:paraId="25DDF9AF" w14:textId="77777777" w:rsidTr="00077BA8">
        <w:trPr>
          <w:trHeight w:val="227"/>
        </w:trPr>
        <w:tc>
          <w:tcPr>
            <w:tcW w:w="3712" w:type="pct"/>
            <w:vAlign w:val="center"/>
          </w:tcPr>
          <w:p w14:paraId="174778D4" w14:textId="77777777" w:rsidR="007D53BB" w:rsidRPr="00405762" w:rsidRDefault="007D53BB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 xml:space="preserve">Wartość </w:t>
            </w:r>
            <w:r w:rsidRPr="00405762">
              <w:rPr>
                <w:rFonts w:asciiTheme="majorBidi" w:hAnsiTheme="majorBidi" w:cstheme="majorBidi"/>
                <w:i/>
                <w:sz w:val="18"/>
                <w:szCs w:val="18"/>
              </w:rPr>
              <w:t>p</w:t>
            </w:r>
          </w:p>
        </w:tc>
        <w:tc>
          <w:tcPr>
            <w:tcW w:w="1288" w:type="pct"/>
            <w:vAlign w:val="center"/>
          </w:tcPr>
          <w:p w14:paraId="2BF30A46" w14:textId="77777777" w:rsidR="007D53BB" w:rsidRPr="00405762" w:rsidRDefault="007D53BB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0,000</w:t>
            </w:r>
          </w:p>
        </w:tc>
      </w:tr>
      <w:tr w:rsidR="007D53BB" w:rsidRPr="00DB6087" w14:paraId="0043BB1B" w14:textId="77777777" w:rsidTr="00077BA8">
        <w:trPr>
          <w:trHeight w:val="227"/>
        </w:trPr>
        <w:tc>
          <w:tcPr>
            <w:tcW w:w="3712" w:type="pct"/>
            <w:vAlign w:val="center"/>
          </w:tcPr>
          <w:p w14:paraId="4FC06D07" w14:textId="77777777" w:rsidR="007D53BB" w:rsidRPr="00405762" w:rsidRDefault="008A50EE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i/>
                <w:sz w:val="18"/>
                <w:szCs w:val="18"/>
              </w:rPr>
              <w:t>α</w:t>
            </w:r>
            <w:r w:rsidRPr="00405762">
              <w:rPr>
                <w:rFonts w:asciiTheme="majorBidi" w:hAnsiTheme="majorBidi" w:cstheme="majorBidi"/>
                <w:i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288" w:type="pct"/>
            <w:vAlign w:val="center"/>
          </w:tcPr>
          <w:p w14:paraId="24237B73" w14:textId="77777777" w:rsidR="007D53BB" w:rsidRPr="00405762" w:rsidRDefault="007D53BB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0,4</w:t>
            </w:r>
            <w:r w:rsidR="00CF4BCC" w:rsidRPr="00405762">
              <w:rPr>
                <w:rFonts w:asciiTheme="majorBidi" w:hAnsiTheme="majorBidi" w:cstheme="majorBidi"/>
                <w:sz w:val="18"/>
                <w:szCs w:val="18"/>
              </w:rPr>
              <w:t>834</w:t>
            </w:r>
          </w:p>
        </w:tc>
      </w:tr>
      <w:tr w:rsidR="007D53BB" w:rsidRPr="00DB6087" w14:paraId="1C79C753" w14:textId="77777777" w:rsidTr="00077BA8">
        <w:trPr>
          <w:trHeight w:val="227"/>
        </w:trPr>
        <w:tc>
          <w:tcPr>
            <w:tcW w:w="3712" w:type="pct"/>
            <w:vAlign w:val="center"/>
          </w:tcPr>
          <w:p w14:paraId="416DA37F" w14:textId="77777777" w:rsidR="007D53BB" w:rsidRPr="00405762" w:rsidRDefault="007D53BB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Statystyka t</w:t>
            </w:r>
            <w:r w:rsidR="008A50EE" w:rsidRPr="00405762">
              <w:rPr>
                <w:rFonts w:asciiTheme="majorBidi" w:hAnsiTheme="majorBidi" w:cstheme="majorBidi"/>
                <w:sz w:val="18"/>
                <w:szCs w:val="18"/>
              </w:rPr>
              <w:t>-studenta</w:t>
            </w:r>
          </w:p>
        </w:tc>
        <w:tc>
          <w:tcPr>
            <w:tcW w:w="1288" w:type="pct"/>
            <w:vAlign w:val="center"/>
          </w:tcPr>
          <w:p w14:paraId="26260AD1" w14:textId="77777777" w:rsidR="007D53BB" w:rsidRPr="00405762" w:rsidRDefault="007D53BB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6</w:t>
            </w:r>
            <w:r w:rsidR="00CF4BCC" w:rsidRPr="00405762">
              <w:rPr>
                <w:rFonts w:asciiTheme="majorBidi" w:hAnsiTheme="majorBidi" w:cstheme="majorBidi"/>
                <w:sz w:val="18"/>
                <w:szCs w:val="18"/>
              </w:rPr>
              <w:t>3</w:t>
            </w:r>
            <w:r w:rsidRPr="00405762">
              <w:rPr>
                <w:rFonts w:asciiTheme="majorBidi" w:hAnsiTheme="majorBidi" w:cstheme="majorBidi"/>
                <w:sz w:val="18"/>
                <w:szCs w:val="18"/>
              </w:rPr>
              <w:t>,</w:t>
            </w:r>
            <w:r w:rsidR="00CF4BCC" w:rsidRPr="00405762"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</w:tr>
      <w:tr w:rsidR="007D53BB" w:rsidRPr="00DB6087" w14:paraId="3A386EFE" w14:textId="77777777" w:rsidTr="00077BA8">
        <w:trPr>
          <w:trHeight w:val="227"/>
        </w:trPr>
        <w:tc>
          <w:tcPr>
            <w:tcW w:w="3712" w:type="pct"/>
            <w:vAlign w:val="center"/>
          </w:tcPr>
          <w:p w14:paraId="06E07500" w14:textId="77777777" w:rsidR="007D53BB" w:rsidRPr="00405762" w:rsidRDefault="007D53BB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Wartość p</w:t>
            </w:r>
          </w:p>
        </w:tc>
        <w:tc>
          <w:tcPr>
            <w:tcW w:w="1288" w:type="pct"/>
            <w:vAlign w:val="center"/>
          </w:tcPr>
          <w:p w14:paraId="6BF53D2A" w14:textId="77777777" w:rsidR="007D53BB" w:rsidRPr="00405762" w:rsidRDefault="007D53BB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0,000</w:t>
            </w:r>
          </w:p>
        </w:tc>
      </w:tr>
      <w:tr w:rsidR="007D53BB" w:rsidRPr="00DB6087" w14:paraId="054FA6E3" w14:textId="77777777" w:rsidTr="00077BA8">
        <w:trPr>
          <w:trHeight w:val="227"/>
        </w:trPr>
        <w:tc>
          <w:tcPr>
            <w:tcW w:w="3712" w:type="pct"/>
            <w:vAlign w:val="center"/>
          </w:tcPr>
          <w:p w14:paraId="2206CE22" w14:textId="77777777" w:rsidR="007D53BB" w:rsidRPr="00405762" w:rsidRDefault="007D53BB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N</w:t>
            </w:r>
          </w:p>
        </w:tc>
        <w:tc>
          <w:tcPr>
            <w:tcW w:w="1288" w:type="pct"/>
            <w:vAlign w:val="center"/>
          </w:tcPr>
          <w:p w14:paraId="7A1EA93E" w14:textId="77777777" w:rsidR="007D53BB" w:rsidRPr="00405762" w:rsidRDefault="00CF4BC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</w:tr>
      <w:tr w:rsidR="007D53BB" w:rsidRPr="00DB6087" w14:paraId="296C6C33" w14:textId="77777777" w:rsidTr="00077BA8">
        <w:trPr>
          <w:trHeight w:val="227"/>
        </w:trPr>
        <w:tc>
          <w:tcPr>
            <w:tcW w:w="3712" w:type="pct"/>
            <w:vAlign w:val="center"/>
          </w:tcPr>
          <w:p w14:paraId="5BC21393" w14:textId="77777777" w:rsidR="007D53BB" w:rsidRPr="00405762" w:rsidRDefault="007D53BB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R</w:t>
            </w:r>
            <w:r w:rsidRPr="00405762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88" w:type="pct"/>
            <w:vAlign w:val="center"/>
          </w:tcPr>
          <w:p w14:paraId="3F75E8B0" w14:textId="77777777" w:rsidR="007D53BB" w:rsidRPr="00405762" w:rsidRDefault="00CF4BCC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78</w:t>
            </w:r>
            <w:r w:rsidR="007D53BB" w:rsidRPr="00405762">
              <w:rPr>
                <w:rFonts w:asciiTheme="majorBidi" w:hAnsiTheme="majorBidi" w:cstheme="majorBidi"/>
                <w:sz w:val="18"/>
                <w:szCs w:val="18"/>
              </w:rPr>
              <w:t>%</w:t>
            </w:r>
          </w:p>
        </w:tc>
      </w:tr>
      <w:tr w:rsidR="007D53BB" w:rsidRPr="00DB6087" w14:paraId="7FDA0216" w14:textId="77777777" w:rsidTr="00077BA8">
        <w:trPr>
          <w:trHeight w:val="227"/>
        </w:trPr>
        <w:tc>
          <w:tcPr>
            <w:tcW w:w="3712" w:type="pct"/>
            <w:vAlign w:val="center"/>
          </w:tcPr>
          <w:p w14:paraId="3F7FA636" w14:textId="77777777" w:rsidR="007D53BB" w:rsidRPr="00405762" w:rsidRDefault="007D53BB" w:rsidP="00077B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Konwergencja σ</w:t>
            </w:r>
          </w:p>
        </w:tc>
        <w:tc>
          <w:tcPr>
            <w:tcW w:w="1288" w:type="pct"/>
            <w:vAlign w:val="center"/>
          </w:tcPr>
          <w:p w14:paraId="1F183C9C" w14:textId="77777777" w:rsidR="007D53BB" w:rsidRPr="00405762" w:rsidRDefault="007D53BB" w:rsidP="00405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05762">
              <w:rPr>
                <w:rFonts w:asciiTheme="majorBidi" w:hAnsiTheme="majorBidi" w:cstheme="majorBidi"/>
                <w:sz w:val="18"/>
                <w:szCs w:val="18"/>
              </w:rPr>
              <w:t>tak</w:t>
            </w:r>
          </w:p>
        </w:tc>
      </w:tr>
    </w:tbl>
    <w:p w14:paraId="698F08E4" w14:textId="77777777" w:rsidR="00F30458" w:rsidRPr="00405762" w:rsidRDefault="00CF4BCC" w:rsidP="00241D80">
      <w:pPr>
        <w:spacing w:before="240" w:after="0" w:line="240" w:lineRule="auto"/>
        <w:rPr>
          <w:rFonts w:asciiTheme="majorBidi" w:hAnsiTheme="majorBidi" w:cstheme="majorBidi"/>
          <w:iCs/>
          <w:sz w:val="20"/>
          <w:szCs w:val="20"/>
        </w:rPr>
      </w:pPr>
      <w:r w:rsidRPr="00405762">
        <w:rPr>
          <w:rFonts w:asciiTheme="majorBidi" w:hAnsiTheme="majorBidi" w:cstheme="majorBidi"/>
          <w:iCs/>
          <w:sz w:val="20"/>
          <w:szCs w:val="20"/>
        </w:rPr>
        <w:t>Źródło: Opracowanie własne na podstawie danych EUROSTAT.</w:t>
      </w:r>
    </w:p>
    <w:p w14:paraId="2F54F942" w14:textId="77777777" w:rsidR="00241D80" w:rsidRPr="00241D80" w:rsidRDefault="00241D80" w:rsidP="00241D80">
      <w:pPr>
        <w:spacing w:after="0" w:line="240" w:lineRule="auto"/>
        <w:rPr>
          <w:rFonts w:asciiTheme="majorBidi" w:hAnsiTheme="majorBidi" w:cstheme="majorBidi"/>
          <w:iCs/>
          <w:sz w:val="24"/>
          <w:szCs w:val="24"/>
        </w:rPr>
      </w:pPr>
    </w:p>
    <w:p w14:paraId="69EB1810" w14:textId="77777777" w:rsidR="00405762" w:rsidRPr="00DB6087" w:rsidRDefault="00EC142A" w:rsidP="001E0C7B">
      <w:pPr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 xml:space="preserve">Wyniki pokazują, </w:t>
      </w:r>
      <w:r w:rsidR="00CF4BCC" w:rsidRPr="00DB6087">
        <w:rPr>
          <w:rFonts w:asciiTheme="majorBidi" w:hAnsiTheme="majorBidi" w:cstheme="majorBidi"/>
          <w:sz w:val="24"/>
          <w:szCs w:val="24"/>
        </w:rPr>
        <w:t>że w</w:t>
      </w:r>
      <w:r w:rsidRPr="00DB6087">
        <w:rPr>
          <w:rFonts w:asciiTheme="majorBidi" w:hAnsiTheme="majorBidi" w:cstheme="majorBidi"/>
          <w:sz w:val="24"/>
          <w:szCs w:val="24"/>
        </w:rPr>
        <w:t xml:space="preserve"> badany</w:t>
      </w:r>
      <w:r w:rsidR="00CF4BCC" w:rsidRPr="00DB6087">
        <w:rPr>
          <w:rFonts w:asciiTheme="majorBidi" w:hAnsiTheme="majorBidi" w:cstheme="majorBidi"/>
          <w:sz w:val="24"/>
          <w:szCs w:val="24"/>
        </w:rPr>
        <w:t>m</w:t>
      </w:r>
      <w:r w:rsidRPr="00DB6087">
        <w:rPr>
          <w:rFonts w:asciiTheme="majorBidi" w:hAnsiTheme="majorBidi" w:cstheme="majorBidi"/>
          <w:sz w:val="24"/>
          <w:szCs w:val="24"/>
        </w:rPr>
        <w:t xml:space="preserve"> przedzia</w:t>
      </w:r>
      <w:r w:rsidR="00CF4BCC" w:rsidRPr="00DB6087">
        <w:rPr>
          <w:rFonts w:asciiTheme="majorBidi" w:hAnsiTheme="majorBidi" w:cstheme="majorBidi"/>
          <w:sz w:val="24"/>
          <w:szCs w:val="24"/>
        </w:rPr>
        <w:t>le</w:t>
      </w:r>
      <w:r w:rsidRPr="00DB6087">
        <w:rPr>
          <w:rFonts w:asciiTheme="majorBidi" w:hAnsiTheme="majorBidi" w:cstheme="majorBidi"/>
          <w:sz w:val="24"/>
          <w:szCs w:val="24"/>
        </w:rPr>
        <w:t xml:space="preserve"> czasowy</w:t>
      </w:r>
      <w:r w:rsidR="00CF4BCC" w:rsidRPr="00DB6087">
        <w:rPr>
          <w:rFonts w:asciiTheme="majorBidi" w:hAnsiTheme="majorBidi" w:cstheme="majorBidi"/>
          <w:sz w:val="24"/>
          <w:szCs w:val="24"/>
        </w:rPr>
        <w:t>m</w:t>
      </w:r>
      <w:r w:rsidRPr="00DB6087">
        <w:rPr>
          <w:rFonts w:asciiTheme="majorBidi" w:hAnsiTheme="majorBidi" w:cstheme="majorBidi"/>
          <w:sz w:val="24"/>
          <w:szCs w:val="24"/>
        </w:rPr>
        <w:t xml:space="preserve"> występowała zbieżność typu σ. Nachyleni</w:t>
      </w:r>
      <w:r w:rsidR="00CF4BCC" w:rsidRPr="00DB6087">
        <w:rPr>
          <w:rFonts w:asciiTheme="majorBidi" w:hAnsiTheme="majorBidi" w:cstheme="majorBidi"/>
          <w:sz w:val="24"/>
          <w:szCs w:val="24"/>
        </w:rPr>
        <w:t>e</w:t>
      </w:r>
      <w:r w:rsidRPr="00DB6087">
        <w:rPr>
          <w:rFonts w:asciiTheme="majorBidi" w:hAnsiTheme="majorBidi" w:cstheme="majorBidi"/>
          <w:sz w:val="24"/>
          <w:szCs w:val="24"/>
        </w:rPr>
        <w:t xml:space="preserve"> szacowan</w:t>
      </w:r>
      <w:r w:rsidR="00CF4BCC" w:rsidRPr="00DB6087">
        <w:rPr>
          <w:rFonts w:asciiTheme="majorBidi" w:hAnsiTheme="majorBidi" w:cstheme="majorBidi"/>
          <w:sz w:val="24"/>
          <w:szCs w:val="24"/>
        </w:rPr>
        <w:t>ej</w:t>
      </w:r>
      <w:r w:rsidRPr="00DB6087">
        <w:rPr>
          <w:rFonts w:asciiTheme="majorBidi" w:hAnsiTheme="majorBidi" w:cstheme="majorBidi"/>
          <w:sz w:val="24"/>
          <w:szCs w:val="24"/>
        </w:rPr>
        <w:t xml:space="preserve"> linii trendu </w:t>
      </w:r>
      <w:r w:rsidR="00CF4BCC" w:rsidRPr="00DB6087">
        <w:rPr>
          <w:rFonts w:asciiTheme="majorBidi" w:hAnsiTheme="majorBidi" w:cstheme="majorBidi"/>
          <w:sz w:val="24"/>
          <w:szCs w:val="24"/>
        </w:rPr>
        <w:t>jest</w:t>
      </w:r>
      <w:r w:rsidRPr="00DB6087">
        <w:rPr>
          <w:rFonts w:asciiTheme="majorBidi" w:hAnsiTheme="majorBidi" w:cstheme="majorBidi"/>
          <w:sz w:val="24"/>
          <w:szCs w:val="24"/>
        </w:rPr>
        <w:t xml:space="preserve"> ujemne i istotne statystycznie przy bardzo wysokim poziomie istotności. Wysokie wartości współczynników determinacji pokazują bardzo dobre dopasowanie punktów empirycznych do linii trendu.</w:t>
      </w:r>
    </w:p>
    <w:p w14:paraId="7B071BC4" w14:textId="77777777" w:rsidR="00EC142A" w:rsidRPr="00DB6087" w:rsidRDefault="00EC142A" w:rsidP="001E0C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AC11501" w14:textId="77777777" w:rsidR="007F401E" w:rsidRDefault="001A6E9B" w:rsidP="00241D80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DB6087">
        <w:rPr>
          <w:rFonts w:asciiTheme="majorBidi" w:hAnsiTheme="majorBidi" w:cstheme="majorBidi"/>
          <w:b/>
          <w:sz w:val="24"/>
          <w:szCs w:val="24"/>
        </w:rPr>
        <w:t xml:space="preserve">Podsumowanie </w:t>
      </w:r>
    </w:p>
    <w:p w14:paraId="3C4FA94C" w14:textId="77777777" w:rsidR="00241D80" w:rsidRPr="00DB6087" w:rsidRDefault="00241D80" w:rsidP="00241D80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571E8B98" w14:textId="77777777" w:rsidR="001D44FA" w:rsidRPr="00DB6087" w:rsidRDefault="001A6E9B" w:rsidP="00CF460D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 xml:space="preserve">W myśl teorii </w:t>
      </w:r>
      <w:r w:rsidR="0054380E" w:rsidRPr="00DB6087">
        <w:rPr>
          <w:rFonts w:asciiTheme="majorBidi" w:hAnsiTheme="majorBidi" w:cstheme="majorBidi"/>
          <w:sz w:val="24"/>
          <w:szCs w:val="24"/>
        </w:rPr>
        <w:t xml:space="preserve">optymalnego obszaru walutowego </w:t>
      </w:r>
      <w:r w:rsidRPr="00DB6087">
        <w:rPr>
          <w:rFonts w:asciiTheme="majorBidi" w:hAnsiTheme="majorBidi" w:cstheme="majorBidi"/>
          <w:sz w:val="24"/>
          <w:szCs w:val="24"/>
        </w:rPr>
        <w:t>dany kraj może zrezygnować z własnej waluty, gdy korzyści w postaci eliminacji kosz</w:t>
      </w:r>
      <w:r w:rsidR="004A4E3D">
        <w:rPr>
          <w:rFonts w:asciiTheme="majorBidi" w:hAnsiTheme="majorBidi" w:cstheme="majorBidi"/>
          <w:sz w:val="24"/>
          <w:szCs w:val="24"/>
        </w:rPr>
        <w:t>tów transakcyjnych związanych z </w:t>
      </w:r>
      <w:r w:rsidRPr="00DB6087">
        <w:rPr>
          <w:rFonts w:asciiTheme="majorBidi" w:hAnsiTheme="majorBidi" w:cstheme="majorBidi"/>
          <w:sz w:val="24"/>
          <w:szCs w:val="24"/>
        </w:rPr>
        <w:t xml:space="preserve">koniecznością wymiany walut w transakcjach międzynarodowych są większe niż koszty </w:t>
      </w:r>
      <w:r w:rsidRPr="00DB6087">
        <w:rPr>
          <w:rFonts w:asciiTheme="majorBidi" w:hAnsiTheme="majorBidi" w:cstheme="majorBidi"/>
          <w:sz w:val="24"/>
          <w:szCs w:val="24"/>
        </w:rPr>
        <w:lastRenderedPageBreak/>
        <w:t>wynikające z utraty samodzielności w polityce pieni</w:t>
      </w:r>
      <w:r w:rsidR="0054380E" w:rsidRPr="00DB6087">
        <w:rPr>
          <w:rFonts w:asciiTheme="majorBidi" w:hAnsiTheme="majorBidi" w:cstheme="majorBidi"/>
          <w:sz w:val="24"/>
          <w:szCs w:val="24"/>
        </w:rPr>
        <w:t xml:space="preserve">ężnej i kursowej [R. </w:t>
      </w:r>
      <w:proofErr w:type="spellStart"/>
      <w:r w:rsidR="0054380E" w:rsidRPr="00DB6087">
        <w:rPr>
          <w:rFonts w:asciiTheme="majorBidi" w:hAnsiTheme="majorBidi" w:cstheme="majorBidi"/>
          <w:sz w:val="24"/>
          <w:szCs w:val="24"/>
        </w:rPr>
        <w:t>Mundell</w:t>
      </w:r>
      <w:proofErr w:type="spellEnd"/>
      <w:r w:rsidR="0054380E" w:rsidRPr="00DB6087">
        <w:rPr>
          <w:rFonts w:asciiTheme="majorBidi" w:hAnsiTheme="majorBidi" w:cstheme="majorBidi"/>
          <w:sz w:val="24"/>
          <w:szCs w:val="24"/>
        </w:rPr>
        <w:t xml:space="preserve"> z </w:t>
      </w:r>
      <w:r w:rsidRPr="00DB6087">
        <w:rPr>
          <w:rFonts w:asciiTheme="majorBidi" w:hAnsiTheme="majorBidi" w:cstheme="majorBidi"/>
          <w:sz w:val="24"/>
          <w:szCs w:val="24"/>
        </w:rPr>
        <w:t xml:space="preserve">1961, 1973]. Współcześnie rozbudowana teoria optymalnego obszaru walutowego dostarcza nowych argumentów na rzecz integracji walutowej, takich jak: spadek stóp procentowych, dostęp do większych zasobów kapitału i wzrost płynności rynku w wyniku połączenia krajowych rynków kapitałowych, oraz wzmocnienie stabilności makroekonomicznej krajów mniej rozwiniętych dzięki wejściu do obszaru stabilnej i wiarygodnej waluty [De </w:t>
      </w:r>
      <w:proofErr w:type="spellStart"/>
      <w:r w:rsidRPr="00DB6087">
        <w:rPr>
          <w:rFonts w:asciiTheme="majorBidi" w:hAnsiTheme="majorBidi" w:cstheme="majorBidi"/>
          <w:sz w:val="24"/>
          <w:szCs w:val="24"/>
        </w:rPr>
        <w:t>Grauwe</w:t>
      </w:r>
      <w:proofErr w:type="spellEnd"/>
      <w:r w:rsidRPr="00DB6087">
        <w:rPr>
          <w:rFonts w:asciiTheme="majorBidi" w:hAnsiTheme="majorBidi" w:cstheme="majorBidi"/>
          <w:sz w:val="24"/>
          <w:szCs w:val="24"/>
        </w:rPr>
        <w:t>, 2000].</w:t>
      </w:r>
    </w:p>
    <w:p w14:paraId="49DE2EE5" w14:textId="77777777" w:rsidR="001E7645" w:rsidRPr="00DB6087" w:rsidRDefault="001E7645" w:rsidP="00CF460D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>Na tym tle ocena efektów ekonomicznych wstąpienia badanych krajów do strefy euro prowadzi do następujących wniosków:</w:t>
      </w:r>
    </w:p>
    <w:p w14:paraId="6BB9D783" w14:textId="77777777" w:rsidR="001E7645" w:rsidRPr="00DB6087" w:rsidRDefault="001E7645" w:rsidP="00D84A3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>obecność w strefie euro w przypadku badanych krajów, nie dawała absolutnej ochrony przed bezpośrednimi skutkami szoków kryzysowych, natomiast ograniczała zmienność dynamiki PKB, zarówno po stronie ujemnej, ale również dodatniej,</w:t>
      </w:r>
    </w:p>
    <w:p w14:paraId="538DB200" w14:textId="77777777" w:rsidR="001E7645" w:rsidRPr="00DB6087" w:rsidRDefault="001E7645" w:rsidP="00D84A3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>stabilizacja poziomu inflacji miała w anal</w:t>
      </w:r>
      <w:r w:rsidR="004A4E3D">
        <w:rPr>
          <w:rFonts w:asciiTheme="majorBidi" w:hAnsiTheme="majorBidi" w:cstheme="majorBidi"/>
          <w:sz w:val="24"/>
          <w:szCs w:val="24"/>
        </w:rPr>
        <w:t>izowanych przypadkach związek z </w:t>
      </w:r>
      <w:r w:rsidRPr="00DB6087">
        <w:rPr>
          <w:rFonts w:asciiTheme="majorBidi" w:hAnsiTheme="majorBidi" w:cstheme="majorBidi"/>
          <w:sz w:val="24"/>
          <w:szCs w:val="24"/>
        </w:rPr>
        <w:t>obecnością danego kraju w strefie euro,</w:t>
      </w:r>
    </w:p>
    <w:p w14:paraId="7DF29C1D" w14:textId="77777777" w:rsidR="00C84882" w:rsidRPr="00DB6087" w:rsidRDefault="001E7645" w:rsidP="00CF460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>z punktu widzenia kształtowania się sytuacji na rynku pracy kluczowe znaczenie posiadał wybór momentu wejścia do strefy euro.</w:t>
      </w:r>
    </w:p>
    <w:p w14:paraId="5F5BF6E0" w14:textId="77777777" w:rsidR="007F401E" w:rsidRPr="00DB6087" w:rsidRDefault="001E7645" w:rsidP="00CF460D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>Ponadto w</w:t>
      </w:r>
      <w:r w:rsidR="001D44FA" w:rsidRPr="00DB6087">
        <w:rPr>
          <w:rFonts w:asciiTheme="majorBidi" w:hAnsiTheme="majorBidi" w:cstheme="majorBidi"/>
          <w:sz w:val="24"/>
          <w:szCs w:val="24"/>
        </w:rPr>
        <w:t>ystępowanie konwergencji β oznacza</w:t>
      </w:r>
      <w:r w:rsidRPr="00DB6087">
        <w:rPr>
          <w:rFonts w:asciiTheme="majorBidi" w:hAnsiTheme="majorBidi" w:cstheme="majorBidi"/>
          <w:sz w:val="24"/>
          <w:szCs w:val="24"/>
        </w:rPr>
        <w:t>,</w:t>
      </w:r>
      <w:r w:rsidR="001D44FA" w:rsidRPr="00DB6087">
        <w:rPr>
          <w:rFonts w:asciiTheme="majorBidi" w:hAnsiTheme="majorBidi" w:cstheme="majorBidi"/>
          <w:sz w:val="24"/>
          <w:szCs w:val="24"/>
        </w:rPr>
        <w:t xml:space="preserve"> że 6 badanych nowych krajów</w:t>
      </w:r>
      <w:r w:rsidRPr="00DB6087">
        <w:rPr>
          <w:rFonts w:asciiTheme="majorBidi" w:hAnsiTheme="majorBidi" w:cstheme="majorBidi"/>
          <w:sz w:val="24"/>
          <w:szCs w:val="24"/>
        </w:rPr>
        <w:t xml:space="preserve"> strefy euro</w:t>
      </w:r>
      <w:r w:rsidR="001D44FA" w:rsidRPr="00DB6087">
        <w:rPr>
          <w:rFonts w:asciiTheme="majorBidi" w:hAnsiTheme="majorBidi" w:cstheme="majorBidi"/>
          <w:sz w:val="24"/>
          <w:szCs w:val="24"/>
        </w:rPr>
        <w:t xml:space="preserve">, wykazały szybsze tempo wzrostu gospodarczego w latach 2004-2015 przy początkowym niższym poziomie dochodu niż </w:t>
      </w:r>
      <w:r w:rsidRPr="00DB6087">
        <w:rPr>
          <w:rFonts w:asciiTheme="majorBidi" w:hAnsiTheme="majorBidi" w:cstheme="majorBidi"/>
          <w:sz w:val="24"/>
          <w:szCs w:val="24"/>
        </w:rPr>
        <w:t>12</w:t>
      </w:r>
      <w:r w:rsidR="001D44FA"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18501E" w:rsidRPr="00DB6087">
        <w:rPr>
          <w:rFonts w:asciiTheme="majorBidi" w:hAnsiTheme="majorBidi" w:cstheme="majorBidi"/>
          <w:sz w:val="24"/>
          <w:szCs w:val="24"/>
        </w:rPr>
        <w:t xml:space="preserve">krajów założycieli </w:t>
      </w:r>
      <w:proofErr w:type="spellStart"/>
      <w:r w:rsidR="0018501E" w:rsidRPr="00DB6087">
        <w:rPr>
          <w:rFonts w:asciiTheme="majorBidi" w:hAnsiTheme="majorBidi" w:cstheme="majorBidi"/>
          <w:sz w:val="24"/>
          <w:szCs w:val="24"/>
        </w:rPr>
        <w:t>eurostrefy</w:t>
      </w:r>
      <w:proofErr w:type="spellEnd"/>
      <w:r w:rsidR="001D44FA" w:rsidRPr="00DB6087">
        <w:rPr>
          <w:rFonts w:asciiTheme="majorBidi" w:hAnsiTheme="majorBidi" w:cstheme="majorBidi"/>
          <w:sz w:val="24"/>
          <w:szCs w:val="24"/>
        </w:rPr>
        <w:t>.</w:t>
      </w:r>
    </w:p>
    <w:p w14:paraId="661AD068" w14:textId="77777777" w:rsidR="007F401E" w:rsidRPr="00DB6087" w:rsidRDefault="001D44FA" w:rsidP="00CF460D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>Oceniając dynamikę zmniejszania</w:t>
      </w:r>
      <w:r w:rsidR="0018501E" w:rsidRPr="00DB6087">
        <w:rPr>
          <w:rFonts w:asciiTheme="majorBidi" w:hAnsiTheme="majorBidi" w:cstheme="majorBidi"/>
          <w:sz w:val="24"/>
          <w:szCs w:val="24"/>
        </w:rPr>
        <w:t xml:space="preserve"> się</w:t>
      </w:r>
      <w:r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18501E" w:rsidRPr="00DB6087">
        <w:rPr>
          <w:rFonts w:asciiTheme="majorBidi" w:hAnsiTheme="majorBidi" w:cstheme="majorBidi"/>
          <w:sz w:val="24"/>
          <w:szCs w:val="24"/>
        </w:rPr>
        <w:t>rozproszenia</w:t>
      </w:r>
      <w:r w:rsidRPr="00DB6087">
        <w:rPr>
          <w:rFonts w:asciiTheme="majorBidi" w:hAnsiTheme="majorBidi" w:cstheme="majorBidi"/>
          <w:sz w:val="24"/>
          <w:szCs w:val="24"/>
        </w:rPr>
        <w:t xml:space="preserve"> </w:t>
      </w:r>
      <w:r w:rsidR="0018501E" w:rsidRPr="00DB6087">
        <w:rPr>
          <w:rFonts w:asciiTheme="majorBidi" w:hAnsiTheme="majorBidi" w:cstheme="majorBidi"/>
          <w:sz w:val="24"/>
          <w:szCs w:val="24"/>
        </w:rPr>
        <w:t>PKB per capita,</w:t>
      </w:r>
      <w:r w:rsidRPr="00DB6087">
        <w:rPr>
          <w:rFonts w:asciiTheme="majorBidi" w:hAnsiTheme="majorBidi" w:cstheme="majorBidi"/>
          <w:sz w:val="24"/>
          <w:szCs w:val="24"/>
        </w:rPr>
        <w:t xml:space="preserve"> w kategoriach skutków integracji w ramach </w:t>
      </w:r>
      <w:r w:rsidR="0018501E" w:rsidRPr="00DB6087">
        <w:rPr>
          <w:rFonts w:asciiTheme="majorBidi" w:hAnsiTheme="majorBidi" w:cstheme="majorBidi"/>
          <w:sz w:val="24"/>
          <w:szCs w:val="24"/>
        </w:rPr>
        <w:t>strefy euro,</w:t>
      </w:r>
      <w:r w:rsidRPr="00DB6087">
        <w:rPr>
          <w:rFonts w:asciiTheme="majorBidi" w:hAnsiTheme="majorBidi" w:cstheme="majorBidi"/>
          <w:sz w:val="24"/>
          <w:szCs w:val="24"/>
        </w:rPr>
        <w:t xml:space="preserve"> moż</w:t>
      </w:r>
      <w:r w:rsidR="0018501E" w:rsidRPr="00DB6087">
        <w:rPr>
          <w:rFonts w:asciiTheme="majorBidi" w:hAnsiTheme="majorBidi" w:cstheme="majorBidi"/>
          <w:sz w:val="24"/>
          <w:szCs w:val="24"/>
        </w:rPr>
        <w:t xml:space="preserve">na </w:t>
      </w:r>
      <w:r w:rsidRPr="00DB6087">
        <w:rPr>
          <w:rFonts w:asciiTheme="majorBidi" w:hAnsiTheme="majorBidi" w:cstheme="majorBidi"/>
          <w:sz w:val="24"/>
          <w:szCs w:val="24"/>
        </w:rPr>
        <w:t xml:space="preserve">stwierdzić, </w:t>
      </w:r>
      <w:r w:rsidR="0018501E" w:rsidRPr="00DB6087">
        <w:rPr>
          <w:rFonts w:asciiTheme="majorBidi" w:hAnsiTheme="majorBidi" w:cstheme="majorBidi"/>
          <w:sz w:val="24"/>
          <w:szCs w:val="24"/>
        </w:rPr>
        <w:t>że przyjęcie waluty euro</w:t>
      </w:r>
      <w:r w:rsidRPr="00DB6087">
        <w:rPr>
          <w:rFonts w:asciiTheme="majorBidi" w:hAnsiTheme="majorBidi" w:cstheme="majorBidi"/>
          <w:sz w:val="24"/>
          <w:szCs w:val="24"/>
        </w:rPr>
        <w:t xml:space="preserve"> przyczyniło się do </w:t>
      </w:r>
      <w:r w:rsidR="0018501E" w:rsidRPr="00DB6087">
        <w:rPr>
          <w:rFonts w:asciiTheme="majorBidi" w:hAnsiTheme="majorBidi" w:cstheme="majorBidi"/>
          <w:sz w:val="24"/>
          <w:szCs w:val="24"/>
        </w:rPr>
        <w:t>ograniczania</w:t>
      </w:r>
      <w:r w:rsidRPr="00DB6087">
        <w:rPr>
          <w:rFonts w:asciiTheme="majorBidi" w:hAnsiTheme="majorBidi" w:cstheme="majorBidi"/>
          <w:sz w:val="24"/>
          <w:szCs w:val="24"/>
        </w:rPr>
        <w:t xml:space="preserve"> różnic w poziomie dochodów między </w:t>
      </w:r>
      <w:r w:rsidR="0018501E" w:rsidRPr="00DB6087">
        <w:rPr>
          <w:rFonts w:asciiTheme="majorBidi" w:hAnsiTheme="majorBidi" w:cstheme="majorBidi"/>
          <w:sz w:val="24"/>
          <w:szCs w:val="24"/>
        </w:rPr>
        <w:t xml:space="preserve">tymi </w:t>
      </w:r>
      <w:r w:rsidRPr="00DB6087">
        <w:rPr>
          <w:rFonts w:asciiTheme="majorBidi" w:hAnsiTheme="majorBidi" w:cstheme="majorBidi"/>
          <w:sz w:val="24"/>
          <w:szCs w:val="24"/>
        </w:rPr>
        <w:t>krajami.</w:t>
      </w:r>
    </w:p>
    <w:p w14:paraId="2DBA083D" w14:textId="77777777" w:rsidR="00CF460D" w:rsidRDefault="001A6E9B" w:rsidP="00241D80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DB6087">
        <w:rPr>
          <w:rFonts w:asciiTheme="majorBidi" w:hAnsiTheme="majorBidi" w:cstheme="majorBidi"/>
          <w:sz w:val="24"/>
          <w:szCs w:val="24"/>
        </w:rPr>
        <w:t xml:space="preserve">Z punktu widzenia długofalowego rozwoju gospodarczego Polski większe znaczenie mogą mieć długookresowe efekty i szanse dla polskiej gospodarki z wprowadzenia euro. </w:t>
      </w:r>
    </w:p>
    <w:p w14:paraId="54DAD98F" w14:textId="77777777" w:rsidR="00241D80" w:rsidRPr="00DB6087" w:rsidRDefault="00241D80" w:rsidP="00241D80">
      <w:pPr>
        <w:spacing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</w:p>
    <w:p w14:paraId="6AD93523" w14:textId="77777777" w:rsidR="00CF460D" w:rsidRPr="00E746C1" w:rsidRDefault="00CF460D" w:rsidP="00241D80">
      <w:pPr>
        <w:spacing w:after="0" w:line="240" w:lineRule="auto"/>
        <w:jc w:val="both"/>
        <w:rPr>
          <w:rFonts w:asciiTheme="majorBidi" w:hAnsiTheme="majorBidi" w:cstheme="majorBidi"/>
          <w:b/>
          <w:sz w:val="20"/>
          <w:szCs w:val="20"/>
        </w:rPr>
      </w:pPr>
      <w:r w:rsidRPr="00E746C1">
        <w:rPr>
          <w:rFonts w:asciiTheme="majorBidi" w:hAnsiTheme="majorBidi" w:cstheme="majorBidi"/>
          <w:b/>
          <w:sz w:val="20"/>
          <w:szCs w:val="20"/>
        </w:rPr>
        <w:t>Bibliografia</w:t>
      </w:r>
    </w:p>
    <w:p w14:paraId="29D87907" w14:textId="77777777" w:rsidR="00241D80" w:rsidRDefault="00241D80" w:rsidP="00241D80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0A7B803" w14:textId="77777777" w:rsidR="004B5640" w:rsidRPr="00D90EB9" w:rsidRDefault="004B5640" w:rsidP="004B5640">
      <w:pPr>
        <w:spacing w:after="0" w:line="240" w:lineRule="auto"/>
        <w:jc w:val="both"/>
        <w:rPr>
          <w:rStyle w:val="Hipercze"/>
          <w:rFonts w:asciiTheme="majorBidi" w:hAnsiTheme="majorBidi" w:cstheme="majorBidi"/>
          <w:color w:val="auto"/>
          <w:sz w:val="20"/>
          <w:szCs w:val="20"/>
          <w:u w:val="none"/>
          <w:lang w:val="en-US"/>
        </w:rPr>
      </w:pPr>
      <w:proofErr w:type="spellStart"/>
      <w:r w:rsidRPr="00D90EB9">
        <w:rPr>
          <w:rStyle w:val="Hipercze"/>
          <w:rFonts w:asciiTheme="majorBidi" w:hAnsiTheme="majorBidi" w:cstheme="majorBidi"/>
          <w:color w:val="auto"/>
          <w:sz w:val="20"/>
          <w:szCs w:val="20"/>
          <w:u w:val="none"/>
          <w:lang w:val="en-US"/>
        </w:rPr>
        <w:t>Barro</w:t>
      </w:r>
      <w:proofErr w:type="spellEnd"/>
      <w:r w:rsidRPr="00D90EB9">
        <w:rPr>
          <w:rStyle w:val="Hipercze"/>
          <w:rFonts w:asciiTheme="majorBidi" w:hAnsiTheme="majorBidi" w:cstheme="majorBidi"/>
          <w:color w:val="auto"/>
          <w:sz w:val="20"/>
          <w:szCs w:val="20"/>
          <w:u w:val="none"/>
          <w:lang w:val="en-US"/>
        </w:rPr>
        <w:t xml:space="preserve"> R.J., </w:t>
      </w:r>
      <w:proofErr w:type="spellStart"/>
      <w:r w:rsidRPr="00D90EB9">
        <w:rPr>
          <w:rStyle w:val="Hipercze"/>
          <w:rFonts w:asciiTheme="majorBidi" w:hAnsiTheme="majorBidi" w:cstheme="majorBidi"/>
          <w:color w:val="auto"/>
          <w:sz w:val="20"/>
          <w:szCs w:val="20"/>
          <w:u w:val="none"/>
          <w:lang w:val="en-US"/>
        </w:rPr>
        <w:t>Sala</w:t>
      </w:r>
      <w:proofErr w:type="spellEnd"/>
      <w:r w:rsidRPr="00D90EB9">
        <w:rPr>
          <w:rStyle w:val="Hipercze"/>
          <w:rFonts w:asciiTheme="majorBidi" w:hAnsiTheme="majorBidi" w:cstheme="majorBidi"/>
          <w:color w:val="auto"/>
          <w:sz w:val="20"/>
          <w:szCs w:val="20"/>
          <w:u w:val="none"/>
          <w:lang w:val="en-US"/>
        </w:rPr>
        <w:t>-</w:t>
      </w:r>
      <w:proofErr w:type="spellStart"/>
      <w:r w:rsidRPr="00D90EB9">
        <w:rPr>
          <w:rStyle w:val="Hipercze"/>
          <w:rFonts w:asciiTheme="majorBidi" w:hAnsiTheme="majorBidi" w:cstheme="majorBidi"/>
          <w:color w:val="auto"/>
          <w:sz w:val="20"/>
          <w:szCs w:val="20"/>
          <w:u w:val="none"/>
          <w:lang w:val="en-US"/>
        </w:rPr>
        <w:t>i</w:t>
      </w:r>
      <w:proofErr w:type="spellEnd"/>
      <w:r w:rsidRPr="00D90EB9">
        <w:rPr>
          <w:rStyle w:val="Hipercze"/>
          <w:rFonts w:asciiTheme="majorBidi" w:hAnsiTheme="majorBidi" w:cstheme="majorBidi"/>
          <w:color w:val="auto"/>
          <w:sz w:val="20"/>
          <w:szCs w:val="20"/>
          <w:u w:val="none"/>
          <w:lang w:val="en-US"/>
        </w:rPr>
        <w:t xml:space="preserve">-Martin X., </w:t>
      </w:r>
      <w:r w:rsidRPr="00D90EB9">
        <w:rPr>
          <w:rStyle w:val="Hipercze"/>
          <w:rFonts w:asciiTheme="majorBidi" w:hAnsiTheme="majorBidi" w:cstheme="majorBidi"/>
          <w:i/>
          <w:iCs/>
          <w:color w:val="auto"/>
          <w:sz w:val="20"/>
          <w:szCs w:val="20"/>
          <w:u w:val="none"/>
          <w:lang w:val="en-US"/>
        </w:rPr>
        <w:t>Economic Growth, The MIT Press</w:t>
      </w:r>
      <w:r w:rsidRPr="00D90EB9">
        <w:rPr>
          <w:rStyle w:val="Hipercze"/>
          <w:rFonts w:asciiTheme="majorBidi" w:hAnsiTheme="majorBidi" w:cstheme="majorBidi"/>
          <w:color w:val="auto"/>
          <w:sz w:val="20"/>
          <w:szCs w:val="20"/>
          <w:u w:val="none"/>
          <w:lang w:val="en-US"/>
        </w:rPr>
        <w:t>, Cambridge – London 2003.</w:t>
      </w:r>
    </w:p>
    <w:p w14:paraId="6D4B4D50" w14:textId="77777777" w:rsidR="004B5640" w:rsidRPr="00D90EB9" w:rsidRDefault="004B5640" w:rsidP="004B5640">
      <w:pPr>
        <w:spacing w:after="0" w:line="240" w:lineRule="auto"/>
        <w:jc w:val="both"/>
        <w:rPr>
          <w:rStyle w:val="Hipercze"/>
          <w:rFonts w:asciiTheme="majorBidi" w:hAnsiTheme="majorBidi" w:cstheme="majorBidi"/>
          <w:color w:val="auto"/>
          <w:sz w:val="20"/>
          <w:szCs w:val="20"/>
          <w:u w:val="none"/>
        </w:rPr>
      </w:pPr>
      <w:r w:rsidRPr="00D90EB9">
        <w:rPr>
          <w:rFonts w:asciiTheme="majorBidi" w:hAnsiTheme="majorBidi" w:cstheme="majorBidi"/>
          <w:bCs/>
          <w:sz w:val="20"/>
          <w:szCs w:val="20"/>
        </w:rPr>
        <w:t xml:space="preserve">EUROSTAT, </w:t>
      </w:r>
      <w:hyperlink r:id="rId10" w:history="1">
        <w:r w:rsidRPr="00D90EB9">
          <w:rPr>
            <w:rStyle w:val="Hipercze"/>
            <w:rFonts w:asciiTheme="majorBidi" w:hAnsiTheme="majorBidi" w:cstheme="majorBidi"/>
            <w:color w:val="auto"/>
            <w:sz w:val="20"/>
            <w:szCs w:val="20"/>
            <w:u w:val="none"/>
          </w:rPr>
          <w:t>http://epp.eurostat.ec.europa.eu/</w:t>
        </w:r>
      </w:hyperlink>
      <w:r w:rsidRPr="00D90EB9">
        <w:rPr>
          <w:rStyle w:val="Hipercze"/>
          <w:rFonts w:asciiTheme="majorBidi" w:hAnsiTheme="majorBidi" w:cstheme="majorBidi"/>
          <w:color w:val="auto"/>
          <w:sz w:val="20"/>
          <w:szCs w:val="20"/>
          <w:u w:val="none"/>
        </w:rPr>
        <w:t xml:space="preserve"> [data dostępu: 20.03.2016].</w:t>
      </w:r>
    </w:p>
    <w:p w14:paraId="7CE1EA93" w14:textId="77777777" w:rsidR="004B5640" w:rsidRPr="00D90EB9" w:rsidRDefault="004B5640" w:rsidP="00963FE9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D90EB9">
        <w:rPr>
          <w:rFonts w:asciiTheme="majorBidi" w:hAnsiTheme="majorBidi" w:cstheme="majorBidi"/>
          <w:sz w:val="20"/>
          <w:szCs w:val="20"/>
          <w:lang w:val="en-US"/>
        </w:rPr>
        <w:t xml:space="preserve">De </w:t>
      </w:r>
      <w:proofErr w:type="spellStart"/>
      <w:r w:rsidRPr="00D90EB9">
        <w:rPr>
          <w:rFonts w:asciiTheme="majorBidi" w:hAnsiTheme="majorBidi" w:cstheme="majorBidi"/>
          <w:sz w:val="20"/>
          <w:szCs w:val="20"/>
          <w:lang w:val="en-US"/>
        </w:rPr>
        <w:t>Grauwe</w:t>
      </w:r>
      <w:proofErr w:type="spellEnd"/>
      <w:r w:rsidRPr="00D90EB9">
        <w:rPr>
          <w:rFonts w:asciiTheme="majorBidi" w:hAnsiTheme="majorBidi" w:cstheme="majorBidi"/>
          <w:sz w:val="20"/>
          <w:szCs w:val="20"/>
          <w:lang w:val="en-US"/>
        </w:rPr>
        <w:t xml:space="preserve"> P., </w:t>
      </w:r>
      <w:r w:rsidRPr="00D90EB9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Challenge of Enlargement of </w:t>
      </w:r>
      <w:proofErr w:type="spellStart"/>
      <w:r w:rsidRPr="00D90EB9">
        <w:rPr>
          <w:rFonts w:asciiTheme="majorBidi" w:hAnsiTheme="majorBidi" w:cstheme="majorBidi"/>
          <w:i/>
          <w:iCs/>
          <w:sz w:val="20"/>
          <w:szCs w:val="20"/>
          <w:lang w:val="en-US"/>
        </w:rPr>
        <w:t>Euroland</w:t>
      </w:r>
      <w:proofErr w:type="spellEnd"/>
      <w:r w:rsidRPr="00D90EB9">
        <w:rPr>
          <w:rFonts w:asciiTheme="majorBidi" w:hAnsiTheme="majorBidi" w:cstheme="majorBidi"/>
          <w:i/>
          <w:iCs/>
          <w:sz w:val="20"/>
          <w:szCs w:val="20"/>
          <w:lang w:val="en-US"/>
        </w:rPr>
        <w:t>, Workshop on EMU: Current State and Future Prospects</w:t>
      </w:r>
      <w:r w:rsidRPr="00D90EB9">
        <w:rPr>
          <w:rFonts w:asciiTheme="majorBidi" w:hAnsiTheme="majorBidi" w:cstheme="majorBidi"/>
          <w:sz w:val="20"/>
          <w:szCs w:val="20"/>
          <w:lang w:val="en-US"/>
        </w:rPr>
        <w:t xml:space="preserve">, University of Crete, </w:t>
      </w:r>
      <w:proofErr w:type="spellStart"/>
      <w:r w:rsidRPr="00D90EB9">
        <w:rPr>
          <w:rFonts w:asciiTheme="majorBidi" w:hAnsiTheme="majorBidi" w:cstheme="majorBidi"/>
          <w:sz w:val="20"/>
          <w:szCs w:val="20"/>
          <w:lang w:val="en-US"/>
        </w:rPr>
        <w:t>Rethymno</w:t>
      </w:r>
      <w:proofErr w:type="spellEnd"/>
      <w:r w:rsidRPr="00D90EB9">
        <w:rPr>
          <w:rFonts w:asciiTheme="majorBidi" w:hAnsiTheme="majorBidi" w:cstheme="majorBidi"/>
          <w:sz w:val="20"/>
          <w:szCs w:val="20"/>
          <w:lang w:val="en-US"/>
        </w:rPr>
        <w:t>, Greece</w:t>
      </w:r>
      <w:r w:rsidR="00963FE9" w:rsidRPr="00D90EB9">
        <w:rPr>
          <w:rFonts w:asciiTheme="majorBidi" w:hAnsiTheme="majorBidi" w:cstheme="majorBidi"/>
          <w:sz w:val="20"/>
          <w:szCs w:val="20"/>
          <w:lang w:val="en-US"/>
        </w:rPr>
        <w:t xml:space="preserve"> 2003</w:t>
      </w:r>
      <w:r w:rsidRPr="00D90EB9">
        <w:rPr>
          <w:rFonts w:asciiTheme="majorBidi" w:hAnsiTheme="majorBidi" w:cstheme="majorBidi"/>
          <w:sz w:val="20"/>
          <w:szCs w:val="20"/>
          <w:lang w:val="en-US"/>
        </w:rPr>
        <w:t>.</w:t>
      </w:r>
    </w:p>
    <w:p w14:paraId="01F0F4A1" w14:textId="77777777" w:rsidR="004B5640" w:rsidRPr="00D90EB9" w:rsidRDefault="004B5640" w:rsidP="004B5640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0"/>
          <w:szCs w:val="20"/>
        </w:rPr>
      </w:pPr>
      <w:r w:rsidRPr="00D90EB9">
        <w:rPr>
          <w:rFonts w:asciiTheme="majorBidi" w:hAnsiTheme="majorBidi" w:cstheme="majorBidi"/>
          <w:sz w:val="20"/>
          <w:szCs w:val="20"/>
        </w:rPr>
        <w:t xml:space="preserve">Domański S.R., Kazimierczak A., Żyżyński J., </w:t>
      </w:r>
      <w:r w:rsidRPr="00D90EB9">
        <w:rPr>
          <w:rFonts w:asciiTheme="majorBidi" w:hAnsiTheme="majorBidi" w:cstheme="majorBidi"/>
          <w:i/>
          <w:iCs/>
          <w:sz w:val="20"/>
          <w:szCs w:val="20"/>
        </w:rPr>
        <w:t xml:space="preserve">Polska wobec perspektywy </w:t>
      </w:r>
      <w:r w:rsidR="00DA3E7A">
        <w:rPr>
          <w:rFonts w:asciiTheme="majorBidi" w:hAnsiTheme="majorBidi" w:cstheme="majorBidi"/>
          <w:i/>
          <w:iCs/>
          <w:sz w:val="20"/>
          <w:szCs w:val="20"/>
        </w:rPr>
        <w:t>wstąpienia do strefy euro. Za i </w:t>
      </w:r>
      <w:r w:rsidRPr="00D90EB9">
        <w:rPr>
          <w:rFonts w:asciiTheme="majorBidi" w:hAnsiTheme="majorBidi" w:cstheme="majorBidi"/>
          <w:i/>
          <w:iCs/>
          <w:sz w:val="20"/>
          <w:szCs w:val="20"/>
        </w:rPr>
        <w:t>przeciw szybkiej integracji walutowej</w:t>
      </w:r>
      <w:r w:rsidRPr="00D90EB9">
        <w:rPr>
          <w:rFonts w:asciiTheme="majorBidi" w:hAnsiTheme="majorBidi" w:cstheme="majorBidi"/>
          <w:sz w:val="20"/>
          <w:szCs w:val="20"/>
        </w:rPr>
        <w:t>, ekspertyza wykonana dla Kancelarii Prezydenta RP, maszynopis, Warszawa 2008.</w:t>
      </w:r>
    </w:p>
    <w:p w14:paraId="13E57545" w14:textId="77777777" w:rsidR="004B5640" w:rsidRPr="00D90EB9" w:rsidRDefault="004B5640" w:rsidP="004B5640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0"/>
          <w:szCs w:val="20"/>
          <w:lang w:val="en-US"/>
        </w:rPr>
      </w:pPr>
      <w:proofErr w:type="spellStart"/>
      <w:r w:rsidRPr="00D90EB9">
        <w:rPr>
          <w:rFonts w:asciiTheme="majorBidi" w:hAnsiTheme="majorBidi" w:cstheme="majorBidi"/>
          <w:sz w:val="20"/>
          <w:szCs w:val="20"/>
          <w:lang w:val="en-US"/>
        </w:rPr>
        <w:t>Mundell</w:t>
      </w:r>
      <w:proofErr w:type="spellEnd"/>
      <w:r w:rsidRPr="00D90EB9">
        <w:rPr>
          <w:rFonts w:asciiTheme="majorBidi" w:hAnsiTheme="majorBidi" w:cstheme="majorBidi"/>
          <w:sz w:val="20"/>
          <w:szCs w:val="20"/>
          <w:lang w:val="en-US"/>
        </w:rPr>
        <w:t xml:space="preserve"> R.A., </w:t>
      </w:r>
      <w:r w:rsidRPr="00D90EB9">
        <w:rPr>
          <w:rFonts w:asciiTheme="majorBidi" w:hAnsiTheme="majorBidi" w:cstheme="majorBidi"/>
          <w:i/>
          <w:iCs/>
          <w:sz w:val="20"/>
          <w:szCs w:val="20"/>
          <w:lang w:val="en-US"/>
        </w:rPr>
        <w:t>A Theory of Optimum Currency Areas</w:t>
      </w:r>
      <w:r w:rsidRPr="00D90EB9">
        <w:rPr>
          <w:rFonts w:asciiTheme="majorBidi" w:hAnsiTheme="majorBidi" w:cstheme="majorBidi"/>
          <w:sz w:val="20"/>
          <w:szCs w:val="20"/>
          <w:lang w:val="en-US"/>
        </w:rPr>
        <w:t>, „American Economic Review”, 51, pp. 509-17. 1961.</w:t>
      </w:r>
    </w:p>
    <w:p w14:paraId="64D0950F" w14:textId="77777777" w:rsidR="004B5640" w:rsidRPr="00D90EB9" w:rsidRDefault="004B5640" w:rsidP="004B564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proofErr w:type="spellStart"/>
      <w:r w:rsidRPr="00D90EB9">
        <w:rPr>
          <w:rFonts w:asciiTheme="majorBidi" w:hAnsiTheme="majorBidi" w:cstheme="majorBidi"/>
          <w:sz w:val="20"/>
          <w:szCs w:val="20"/>
          <w:lang w:val="en-US"/>
        </w:rPr>
        <w:t>Mundell</w:t>
      </w:r>
      <w:proofErr w:type="spellEnd"/>
      <w:r w:rsidRPr="00D90EB9">
        <w:rPr>
          <w:rFonts w:asciiTheme="majorBidi" w:hAnsiTheme="majorBidi" w:cstheme="majorBidi"/>
          <w:sz w:val="20"/>
          <w:szCs w:val="20"/>
          <w:lang w:val="en-US"/>
        </w:rPr>
        <w:t xml:space="preserve"> R.A., </w:t>
      </w:r>
      <w:r w:rsidRPr="00D90EB9">
        <w:rPr>
          <w:rFonts w:asciiTheme="majorBidi" w:hAnsiTheme="majorBidi" w:cstheme="majorBidi"/>
          <w:i/>
          <w:iCs/>
          <w:sz w:val="20"/>
          <w:szCs w:val="20"/>
          <w:lang w:val="en-US"/>
        </w:rPr>
        <w:t>Uncommon Arguments for Common Currencies</w:t>
      </w:r>
      <w:r w:rsidRPr="00D90EB9">
        <w:rPr>
          <w:rFonts w:asciiTheme="majorBidi" w:hAnsiTheme="majorBidi" w:cstheme="majorBidi"/>
          <w:sz w:val="20"/>
          <w:szCs w:val="20"/>
          <w:lang w:val="en-US"/>
        </w:rPr>
        <w:t>, [in:] H.G. Johnson, 1973 r.</w:t>
      </w:r>
    </w:p>
    <w:p w14:paraId="30F34BBF" w14:textId="77777777" w:rsidR="004B5640" w:rsidRPr="00D90EB9" w:rsidRDefault="004B5640" w:rsidP="00DA3E7A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Cs/>
          <w:sz w:val="20"/>
          <w:szCs w:val="20"/>
        </w:rPr>
      </w:pPr>
      <w:r w:rsidRPr="00D90EB9">
        <w:rPr>
          <w:rFonts w:asciiTheme="majorBidi" w:hAnsiTheme="majorBidi" w:cstheme="majorBidi"/>
          <w:bCs/>
          <w:sz w:val="20"/>
          <w:szCs w:val="20"/>
        </w:rPr>
        <w:t xml:space="preserve">NBP, </w:t>
      </w:r>
      <w:r w:rsidRPr="00D90EB9">
        <w:rPr>
          <w:rStyle w:val="Hipercze"/>
          <w:rFonts w:asciiTheme="majorBidi" w:hAnsiTheme="majorBidi" w:cstheme="majorBidi"/>
          <w:i/>
          <w:iCs/>
          <w:color w:val="auto"/>
          <w:sz w:val="20"/>
          <w:szCs w:val="20"/>
          <w:u w:val="none"/>
        </w:rPr>
        <w:t>Raport na temat pełnego uczestnictwa Rzeczpospolitej Polskiej w trz</w:t>
      </w:r>
      <w:r w:rsidR="00DA3E7A">
        <w:rPr>
          <w:rStyle w:val="Hipercze"/>
          <w:rFonts w:asciiTheme="majorBidi" w:hAnsiTheme="majorBidi" w:cstheme="majorBidi"/>
          <w:i/>
          <w:iCs/>
          <w:color w:val="auto"/>
          <w:sz w:val="20"/>
          <w:szCs w:val="20"/>
          <w:u w:val="none"/>
        </w:rPr>
        <w:t>ecim etapie Unii Gospodarczej i </w:t>
      </w:r>
      <w:r w:rsidRPr="00D90EB9">
        <w:rPr>
          <w:rStyle w:val="Hipercze"/>
          <w:rFonts w:asciiTheme="majorBidi" w:hAnsiTheme="majorBidi" w:cstheme="majorBidi"/>
          <w:i/>
          <w:iCs/>
          <w:color w:val="auto"/>
          <w:sz w:val="20"/>
          <w:szCs w:val="20"/>
          <w:u w:val="none"/>
        </w:rPr>
        <w:t>Walutowej</w:t>
      </w:r>
      <w:r w:rsidRPr="00D90EB9">
        <w:rPr>
          <w:rStyle w:val="Hipercze"/>
          <w:rFonts w:asciiTheme="majorBidi" w:hAnsiTheme="majorBidi" w:cstheme="majorBidi"/>
          <w:color w:val="auto"/>
          <w:sz w:val="20"/>
          <w:szCs w:val="20"/>
          <w:u w:val="none"/>
        </w:rPr>
        <w:t>, Warszawa 2009.</w:t>
      </w:r>
    </w:p>
    <w:p w14:paraId="00ADBC6D" w14:textId="77777777" w:rsidR="002326B2" w:rsidRPr="00D90EB9" w:rsidRDefault="002326B2" w:rsidP="00DA3E7A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0"/>
          <w:szCs w:val="20"/>
        </w:rPr>
      </w:pPr>
      <w:r w:rsidRPr="00D90EB9">
        <w:rPr>
          <w:rFonts w:asciiTheme="majorBidi" w:hAnsiTheme="majorBidi" w:cstheme="majorBidi"/>
          <w:bCs/>
          <w:sz w:val="20"/>
          <w:szCs w:val="20"/>
        </w:rPr>
        <w:t xml:space="preserve">NBP, </w:t>
      </w:r>
      <w:r w:rsidRPr="00D90EB9">
        <w:rPr>
          <w:rFonts w:asciiTheme="majorBidi" w:hAnsiTheme="majorBidi" w:cstheme="majorBidi"/>
          <w:i/>
          <w:iCs/>
          <w:sz w:val="20"/>
          <w:szCs w:val="20"/>
        </w:rPr>
        <w:t>Wyzwania organizacyjne związane z wprowadzeniem w Polsce banknotów i monet euro w kontekście pełnego członkostwa w Unii Gospodarczej i Walutowej</w:t>
      </w:r>
      <w:r w:rsidRPr="00D90EB9">
        <w:rPr>
          <w:rFonts w:asciiTheme="majorBidi" w:hAnsiTheme="majorBidi" w:cstheme="majorBidi"/>
          <w:sz w:val="20"/>
          <w:szCs w:val="20"/>
        </w:rPr>
        <w:t>, Warszawa 2008.</w:t>
      </w:r>
    </w:p>
    <w:p w14:paraId="24225380" w14:textId="77777777" w:rsidR="004B5640" w:rsidRPr="00D90EB9" w:rsidRDefault="004B5640" w:rsidP="004B5640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D90EB9">
        <w:rPr>
          <w:rFonts w:asciiTheme="majorBidi" w:hAnsiTheme="majorBidi" w:cstheme="majorBidi"/>
          <w:sz w:val="20"/>
          <w:szCs w:val="20"/>
        </w:rPr>
        <w:t xml:space="preserve">Osiatyński J., </w:t>
      </w:r>
      <w:r w:rsidRPr="00D90EB9">
        <w:rPr>
          <w:rFonts w:asciiTheme="majorBidi" w:hAnsiTheme="majorBidi" w:cstheme="majorBidi"/>
          <w:i/>
          <w:iCs/>
          <w:sz w:val="20"/>
          <w:szCs w:val="20"/>
        </w:rPr>
        <w:t>Warunki gotowości Polski do wejścia do strefy euro</w:t>
      </w:r>
      <w:r w:rsidRPr="00D90EB9">
        <w:rPr>
          <w:rFonts w:asciiTheme="majorBidi" w:hAnsiTheme="majorBidi" w:cstheme="majorBidi"/>
          <w:sz w:val="20"/>
          <w:szCs w:val="20"/>
        </w:rPr>
        <w:t>, „Ekonomista”, nr 5, Warszawa 2011.</w:t>
      </w:r>
    </w:p>
    <w:p w14:paraId="53EA2E4A" w14:textId="77777777" w:rsidR="002326B2" w:rsidRPr="00D90EB9" w:rsidRDefault="002326B2" w:rsidP="004B564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90EB9">
        <w:rPr>
          <w:rFonts w:asciiTheme="majorBidi" w:hAnsiTheme="majorBidi" w:cstheme="majorBidi"/>
          <w:sz w:val="20"/>
          <w:szCs w:val="20"/>
        </w:rPr>
        <w:t xml:space="preserve">Urząd Publikacji UE, </w:t>
      </w:r>
      <w:r w:rsidRPr="00D90EB9">
        <w:rPr>
          <w:rFonts w:asciiTheme="majorBidi" w:hAnsiTheme="majorBidi" w:cstheme="majorBidi"/>
          <w:i/>
          <w:iCs/>
          <w:sz w:val="20"/>
          <w:szCs w:val="20"/>
        </w:rPr>
        <w:t>Jedna waluta dla jednej Europy – Droga do Euro</w:t>
      </w:r>
      <w:r w:rsidRPr="00D90EB9">
        <w:rPr>
          <w:rFonts w:asciiTheme="majorBidi" w:hAnsiTheme="majorBidi" w:cstheme="majorBidi"/>
          <w:sz w:val="20"/>
          <w:szCs w:val="20"/>
        </w:rPr>
        <w:t xml:space="preserve">, </w:t>
      </w:r>
      <w:r w:rsidR="004B5640" w:rsidRPr="00D90EB9">
        <w:rPr>
          <w:rFonts w:asciiTheme="majorBidi" w:hAnsiTheme="majorBidi" w:cstheme="majorBidi"/>
          <w:sz w:val="20"/>
          <w:szCs w:val="20"/>
        </w:rPr>
        <w:t>Luksemburg 2014.</w:t>
      </w:r>
    </w:p>
    <w:p w14:paraId="59FEBB97" w14:textId="77777777" w:rsidR="002326B2" w:rsidRDefault="002326B2" w:rsidP="00CF460D">
      <w:pPr>
        <w:spacing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C6F64D4" w14:textId="77777777" w:rsidR="002326B2" w:rsidRDefault="000E233A" w:rsidP="000E233A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  <w:r w:rsidRPr="00966E9B">
        <w:rPr>
          <w:rFonts w:asciiTheme="majorBidi" w:hAnsiTheme="majorBidi" w:cstheme="majorBidi"/>
          <w:b/>
          <w:sz w:val="20"/>
          <w:szCs w:val="20"/>
        </w:rPr>
        <w:t>Makroekonomiczne skutki wprowadzenia waluty euro w wybranych krajach członkowskich Unii Europejskiej</w:t>
      </w:r>
    </w:p>
    <w:p w14:paraId="787BCBBD" w14:textId="77777777" w:rsidR="00966E9B" w:rsidRPr="00966E9B" w:rsidRDefault="00966E9B" w:rsidP="000E233A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404410BD" w14:textId="04692B11" w:rsidR="001A6E9B" w:rsidRDefault="001A6E9B" w:rsidP="00966E9B">
      <w:pPr>
        <w:spacing w:line="240" w:lineRule="auto"/>
        <w:ind w:firstLine="360"/>
        <w:jc w:val="both"/>
        <w:rPr>
          <w:rFonts w:asciiTheme="majorBidi" w:hAnsiTheme="majorBidi" w:cstheme="majorBidi"/>
          <w:sz w:val="20"/>
          <w:szCs w:val="20"/>
        </w:rPr>
      </w:pPr>
      <w:r w:rsidRPr="00966E9B">
        <w:rPr>
          <w:rFonts w:asciiTheme="majorBidi" w:hAnsiTheme="majorBidi" w:cstheme="majorBidi"/>
          <w:sz w:val="20"/>
          <w:szCs w:val="20"/>
        </w:rPr>
        <w:t>Przystępując do UE kraje członkowskie w tym także Polska zobowiązały się do przyjęcia waluty euro. Zastąpienie waluty krajowej walutą europejską jest ogromnym wyzwaniem dl</w:t>
      </w:r>
      <w:r w:rsidR="006D0F1B">
        <w:rPr>
          <w:rFonts w:asciiTheme="majorBidi" w:hAnsiTheme="majorBidi" w:cstheme="majorBidi"/>
          <w:sz w:val="20"/>
          <w:szCs w:val="20"/>
        </w:rPr>
        <w:t>a danej gospodarki i procesem</w:t>
      </w:r>
      <w:r w:rsidR="002E75A4">
        <w:rPr>
          <w:rFonts w:asciiTheme="majorBidi" w:hAnsiTheme="majorBidi" w:cstheme="majorBidi"/>
          <w:sz w:val="20"/>
          <w:szCs w:val="20"/>
        </w:rPr>
        <w:t>,</w:t>
      </w:r>
      <w:r w:rsidR="006D0F1B">
        <w:rPr>
          <w:rFonts w:asciiTheme="majorBidi" w:hAnsiTheme="majorBidi" w:cstheme="majorBidi"/>
          <w:sz w:val="20"/>
          <w:szCs w:val="20"/>
        </w:rPr>
        <w:t xml:space="preserve"> w </w:t>
      </w:r>
      <w:r w:rsidR="002E75A4">
        <w:rPr>
          <w:rFonts w:asciiTheme="majorBidi" w:hAnsiTheme="majorBidi" w:cstheme="majorBidi"/>
          <w:sz w:val="20"/>
          <w:szCs w:val="20"/>
        </w:rPr>
        <w:t>ramach</w:t>
      </w:r>
      <w:r w:rsidRPr="00966E9B">
        <w:rPr>
          <w:rFonts w:asciiTheme="majorBidi" w:hAnsiTheme="majorBidi" w:cstheme="majorBidi"/>
          <w:sz w:val="20"/>
          <w:szCs w:val="20"/>
        </w:rPr>
        <w:t xml:space="preserve"> którego należ</w:t>
      </w:r>
      <w:r w:rsidR="0025409F" w:rsidRPr="00966E9B">
        <w:rPr>
          <w:rFonts w:asciiTheme="majorBidi" w:hAnsiTheme="majorBidi" w:cstheme="majorBidi"/>
          <w:sz w:val="20"/>
          <w:szCs w:val="20"/>
        </w:rPr>
        <w:t xml:space="preserve">y spełnić kryteria konwergencji </w:t>
      </w:r>
      <w:r w:rsidRPr="00966E9B">
        <w:rPr>
          <w:rFonts w:asciiTheme="majorBidi" w:hAnsiTheme="majorBidi" w:cstheme="majorBidi"/>
          <w:sz w:val="20"/>
          <w:szCs w:val="20"/>
        </w:rPr>
        <w:t>gospodarczej i prawnej. Przystąpieniem do grupy najbardzi</w:t>
      </w:r>
      <w:r w:rsidR="0025409F" w:rsidRPr="00966E9B">
        <w:rPr>
          <w:rFonts w:asciiTheme="majorBidi" w:hAnsiTheme="majorBidi" w:cstheme="majorBidi"/>
          <w:sz w:val="20"/>
          <w:szCs w:val="20"/>
        </w:rPr>
        <w:t>ej rozwiniętych państw Europy w </w:t>
      </w:r>
      <w:r w:rsidRPr="00966E9B">
        <w:rPr>
          <w:rFonts w:asciiTheme="majorBidi" w:hAnsiTheme="majorBidi" w:cstheme="majorBidi"/>
          <w:sz w:val="20"/>
          <w:szCs w:val="20"/>
        </w:rPr>
        <w:t xml:space="preserve">długim okresie prowadzi do </w:t>
      </w:r>
      <w:r w:rsidRPr="00966E9B">
        <w:rPr>
          <w:rFonts w:asciiTheme="majorBidi" w:hAnsiTheme="majorBidi" w:cstheme="majorBidi"/>
          <w:bCs/>
          <w:sz w:val="20"/>
          <w:szCs w:val="20"/>
        </w:rPr>
        <w:t>zbliżenia poziomu gospod</w:t>
      </w:r>
      <w:r w:rsidR="0025409F" w:rsidRPr="00966E9B">
        <w:rPr>
          <w:rFonts w:asciiTheme="majorBidi" w:hAnsiTheme="majorBidi" w:cstheme="majorBidi"/>
          <w:bCs/>
          <w:sz w:val="20"/>
          <w:szCs w:val="20"/>
        </w:rPr>
        <w:t>arczego państw członkowskich. W </w:t>
      </w:r>
      <w:r w:rsidRPr="00966E9B">
        <w:rPr>
          <w:rFonts w:asciiTheme="majorBidi" w:hAnsiTheme="majorBidi" w:cstheme="majorBidi"/>
          <w:bCs/>
          <w:sz w:val="20"/>
          <w:szCs w:val="20"/>
        </w:rPr>
        <w:t>praktyce, w dobie światowych kryzysów finansow</w:t>
      </w:r>
      <w:r w:rsidR="006D0F1B">
        <w:rPr>
          <w:rFonts w:asciiTheme="majorBidi" w:hAnsiTheme="majorBidi" w:cstheme="majorBidi"/>
          <w:bCs/>
          <w:sz w:val="20"/>
          <w:szCs w:val="20"/>
        </w:rPr>
        <w:t>ych i gospodarczy</w:t>
      </w:r>
      <w:r w:rsidR="002E75A4">
        <w:rPr>
          <w:rFonts w:asciiTheme="majorBidi" w:hAnsiTheme="majorBidi" w:cstheme="majorBidi"/>
          <w:bCs/>
          <w:sz w:val="20"/>
          <w:szCs w:val="20"/>
        </w:rPr>
        <w:t>ch</w:t>
      </w:r>
      <w:r w:rsidR="006D0F1B">
        <w:rPr>
          <w:rFonts w:asciiTheme="majorBidi" w:hAnsiTheme="majorBidi" w:cstheme="majorBidi"/>
          <w:bCs/>
          <w:sz w:val="20"/>
          <w:szCs w:val="20"/>
        </w:rPr>
        <w:t xml:space="preserve"> pytanie czy i </w:t>
      </w:r>
      <w:r w:rsidRPr="00966E9B">
        <w:rPr>
          <w:rFonts w:asciiTheme="majorBidi" w:hAnsiTheme="majorBidi" w:cstheme="majorBidi"/>
          <w:bCs/>
          <w:sz w:val="20"/>
          <w:szCs w:val="20"/>
        </w:rPr>
        <w:t xml:space="preserve">kiedy przyjąć walutę euro jest ciągle aktualne i wymaga wszechstronnej analizy badawczej. </w:t>
      </w:r>
      <w:r w:rsidR="0025409F" w:rsidRPr="00966E9B">
        <w:rPr>
          <w:rFonts w:asciiTheme="majorBidi" w:hAnsiTheme="majorBidi" w:cstheme="majorBidi"/>
          <w:sz w:val="20"/>
          <w:szCs w:val="20"/>
        </w:rPr>
        <w:t>W </w:t>
      </w:r>
      <w:r w:rsidRPr="00966E9B">
        <w:rPr>
          <w:rFonts w:asciiTheme="majorBidi" w:hAnsiTheme="majorBidi" w:cstheme="majorBidi"/>
          <w:sz w:val="20"/>
          <w:szCs w:val="20"/>
        </w:rPr>
        <w:t xml:space="preserve">artykule podjęto próbę analizy podstawowych </w:t>
      </w:r>
      <w:r w:rsidR="0025409F" w:rsidRPr="00966E9B">
        <w:rPr>
          <w:rFonts w:asciiTheme="majorBidi" w:hAnsiTheme="majorBidi" w:cstheme="majorBidi"/>
          <w:sz w:val="20"/>
          <w:szCs w:val="20"/>
        </w:rPr>
        <w:t>wskaźników makroekonomicznych w </w:t>
      </w:r>
      <w:r w:rsidRPr="00966E9B">
        <w:rPr>
          <w:rFonts w:asciiTheme="majorBidi" w:hAnsiTheme="majorBidi" w:cstheme="majorBidi"/>
          <w:sz w:val="20"/>
          <w:szCs w:val="20"/>
        </w:rPr>
        <w:t>gospodar</w:t>
      </w:r>
      <w:r w:rsidR="006D0F1B">
        <w:rPr>
          <w:rFonts w:asciiTheme="majorBidi" w:hAnsiTheme="majorBidi" w:cstheme="majorBidi"/>
          <w:sz w:val="20"/>
          <w:szCs w:val="20"/>
        </w:rPr>
        <w:t xml:space="preserve">kach narodowych krajów, które </w:t>
      </w:r>
      <w:r w:rsidR="006D0F1B">
        <w:rPr>
          <w:rFonts w:asciiTheme="majorBidi" w:hAnsiTheme="majorBidi" w:cstheme="majorBidi"/>
          <w:sz w:val="20"/>
          <w:szCs w:val="20"/>
        </w:rPr>
        <w:lastRenderedPageBreak/>
        <w:t>w </w:t>
      </w:r>
      <w:r w:rsidRPr="00966E9B">
        <w:rPr>
          <w:rFonts w:asciiTheme="majorBidi" w:hAnsiTheme="majorBidi" w:cstheme="majorBidi"/>
          <w:sz w:val="20"/>
          <w:szCs w:val="20"/>
        </w:rPr>
        <w:t>okresie od 200</w:t>
      </w:r>
      <w:r w:rsidR="00BE6EA7" w:rsidRPr="00966E9B">
        <w:rPr>
          <w:rFonts w:asciiTheme="majorBidi" w:hAnsiTheme="majorBidi" w:cstheme="majorBidi"/>
          <w:sz w:val="20"/>
          <w:szCs w:val="20"/>
        </w:rPr>
        <w:t>4</w:t>
      </w:r>
      <w:r w:rsidRPr="00966E9B">
        <w:rPr>
          <w:rFonts w:asciiTheme="majorBidi" w:hAnsiTheme="majorBidi" w:cstheme="majorBidi"/>
          <w:sz w:val="20"/>
          <w:szCs w:val="20"/>
        </w:rPr>
        <w:t xml:space="preserve"> do 201</w:t>
      </w:r>
      <w:r w:rsidR="00BE6EA7" w:rsidRPr="00966E9B">
        <w:rPr>
          <w:rFonts w:asciiTheme="majorBidi" w:hAnsiTheme="majorBidi" w:cstheme="majorBidi"/>
          <w:sz w:val="20"/>
          <w:szCs w:val="20"/>
        </w:rPr>
        <w:t>5</w:t>
      </w:r>
      <w:r w:rsidRPr="00966E9B">
        <w:rPr>
          <w:rFonts w:asciiTheme="majorBidi" w:hAnsiTheme="majorBidi" w:cstheme="majorBidi"/>
          <w:sz w:val="20"/>
          <w:szCs w:val="20"/>
        </w:rPr>
        <w:t xml:space="preserve"> roku przyjęły walutę euro, celem weryfikacji tezy o wymiernych korzyściach wprowadzenia waluty wspólnotowej.</w:t>
      </w:r>
      <w:r w:rsidR="00BE6EA7" w:rsidRPr="00966E9B">
        <w:rPr>
          <w:rFonts w:asciiTheme="majorBidi" w:hAnsiTheme="majorBidi" w:cstheme="majorBidi"/>
          <w:sz w:val="20"/>
          <w:szCs w:val="20"/>
        </w:rPr>
        <w:t xml:space="preserve"> Podstawowym skutkiem integracji monetarnej jes</w:t>
      </w:r>
      <w:r w:rsidR="0025409F" w:rsidRPr="00966E9B">
        <w:rPr>
          <w:rFonts w:asciiTheme="majorBidi" w:hAnsiTheme="majorBidi" w:cstheme="majorBidi"/>
          <w:sz w:val="20"/>
          <w:szCs w:val="20"/>
        </w:rPr>
        <w:t>t przyspieszenie konwergencji i </w:t>
      </w:r>
      <w:r w:rsidR="00BE6EA7" w:rsidRPr="00966E9B">
        <w:rPr>
          <w:rFonts w:asciiTheme="majorBidi" w:hAnsiTheme="majorBidi" w:cstheme="majorBidi"/>
          <w:sz w:val="20"/>
          <w:szCs w:val="20"/>
        </w:rPr>
        <w:t xml:space="preserve">ograniczenie wpływu szoków kryzysowych. Jednak </w:t>
      </w:r>
      <w:r w:rsidR="009962F3" w:rsidRPr="00966E9B">
        <w:rPr>
          <w:rFonts w:asciiTheme="majorBidi" w:hAnsiTheme="majorBidi" w:cstheme="majorBidi"/>
          <w:sz w:val="20"/>
          <w:szCs w:val="20"/>
        </w:rPr>
        <w:t>niekorzystny moment wprowadzenia euro może skutkować pogorszeniem sytuacji gospodarczej nowego kraju członkowskiego strefy euro.</w:t>
      </w:r>
    </w:p>
    <w:p w14:paraId="0E42FEE6" w14:textId="77777777" w:rsidR="00966E9B" w:rsidRPr="00966E9B" w:rsidRDefault="00966E9B" w:rsidP="00966E9B">
      <w:pPr>
        <w:spacing w:line="240" w:lineRule="auto"/>
        <w:ind w:firstLine="360"/>
        <w:jc w:val="both"/>
        <w:rPr>
          <w:rFonts w:asciiTheme="majorBidi" w:hAnsiTheme="majorBidi" w:cstheme="majorBidi"/>
          <w:bCs/>
          <w:sz w:val="20"/>
          <w:szCs w:val="20"/>
        </w:rPr>
      </w:pPr>
    </w:p>
    <w:p w14:paraId="3B398809" w14:textId="7E2E3532" w:rsidR="008E72BA" w:rsidRPr="008E72BA" w:rsidRDefault="008E72BA" w:rsidP="008E72BA">
      <w:pPr>
        <w:spacing w:line="240" w:lineRule="auto"/>
        <w:jc w:val="center"/>
        <w:rPr>
          <w:rFonts w:asciiTheme="majorBidi" w:hAnsiTheme="majorBidi" w:cstheme="majorBidi"/>
          <w:b/>
          <w:i/>
          <w:sz w:val="28"/>
          <w:szCs w:val="28"/>
        </w:rPr>
      </w:pPr>
      <w:proofErr w:type="spellStart"/>
      <w:r w:rsidRPr="008E72BA">
        <w:rPr>
          <w:rFonts w:asciiTheme="majorBidi" w:hAnsiTheme="majorBidi" w:cstheme="majorBidi"/>
          <w:b/>
          <w:i/>
          <w:sz w:val="28"/>
          <w:szCs w:val="28"/>
        </w:rPr>
        <w:t>Macroeconomic</w:t>
      </w:r>
      <w:proofErr w:type="spellEnd"/>
      <w:r w:rsidRPr="008E72BA"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proofErr w:type="spellStart"/>
      <w:r w:rsidRPr="008E72BA">
        <w:rPr>
          <w:rFonts w:asciiTheme="majorBidi" w:hAnsiTheme="majorBidi" w:cstheme="majorBidi"/>
          <w:b/>
          <w:i/>
          <w:sz w:val="28"/>
          <w:szCs w:val="28"/>
        </w:rPr>
        <w:t>ef</w:t>
      </w:r>
      <w:r w:rsidR="004F52AB">
        <w:rPr>
          <w:rFonts w:asciiTheme="majorBidi" w:hAnsiTheme="majorBidi" w:cstheme="majorBidi"/>
          <w:b/>
          <w:i/>
          <w:sz w:val="28"/>
          <w:szCs w:val="28"/>
        </w:rPr>
        <w:t>fects</w:t>
      </w:r>
      <w:proofErr w:type="spellEnd"/>
      <w:r w:rsidR="004F52AB">
        <w:rPr>
          <w:rFonts w:asciiTheme="majorBidi" w:hAnsiTheme="majorBidi" w:cstheme="majorBidi"/>
          <w:b/>
          <w:i/>
          <w:sz w:val="28"/>
          <w:szCs w:val="28"/>
        </w:rPr>
        <w:t xml:space="preserve"> of the e</w:t>
      </w:r>
      <w:r>
        <w:rPr>
          <w:rFonts w:asciiTheme="majorBidi" w:hAnsiTheme="majorBidi" w:cstheme="majorBidi"/>
          <w:b/>
          <w:i/>
          <w:sz w:val="28"/>
          <w:szCs w:val="28"/>
        </w:rPr>
        <w:t xml:space="preserve">uro </w:t>
      </w:r>
      <w:proofErr w:type="spellStart"/>
      <w:r>
        <w:rPr>
          <w:rFonts w:asciiTheme="majorBidi" w:hAnsiTheme="majorBidi" w:cstheme="majorBidi"/>
          <w:b/>
          <w:i/>
          <w:sz w:val="28"/>
          <w:szCs w:val="28"/>
        </w:rPr>
        <w:t>introduction</w:t>
      </w:r>
      <w:proofErr w:type="spellEnd"/>
      <w:r>
        <w:rPr>
          <w:rFonts w:asciiTheme="majorBidi" w:hAnsiTheme="majorBidi" w:cstheme="majorBidi"/>
          <w:b/>
          <w:i/>
          <w:sz w:val="28"/>
          <w:szCs w:val="28"/>
        </w:rPr>
        <w:t xml:space="preserve">  </w:t>
      </w:r>
      <w:r w:rsidRPr="008E72BA">
        <w:rPr>
          <w:rFonts w:asciiTheme="majorBidi" w:hAnsiTheme="majorBidi" w:cstheme="majorBidi"/>
          <w:b/>
          <w:i/>
          <w:sz w:val="28"/>
          <w:szCs w:val="28"/>
        </w:rPr>
        <w:t xml:space="preserve">in </w:t>
      </w:r>
      <w:proofErr w:type="spellStart"/>
      <w:r w:rsidRPr="008E72BA">
        <w:rPr>
          <w:rFonts w:asciiTheme="majorBidi" w:hAnsiTheme="majorBidi" w:cstheme="majorBidi"/>
          <w:b/>
          <w:i/>
          <w:sz w:val="28"/>
          <w:szCs w:val="28"/>
        </w:rPr>
        <w:t>selected</w:t>
      </w:r>
      <w:proofErr w:type="spellEnd"/>
      <w:r w:rsidRPr="008E72BA">
        <w:rPr>
          <w:rFonts w:asciiTheme="majorBidi" w:hAnsiTheme="majorBidi" w:cstheme="majorBidi"/>
          <w:b/>
          <w:i/>
          <w:sz w:val="28"/>
          <w:szCs w:val="28"/>
        </w:rPr>
        <w:t xml:space="preserve"> EU </w:t>
      </w:r>
      <w:proofErr w:type="spellStart"/>
      <w:r w:rsidRPr="008E72BA">
        <w:rPr>
          <w:rFonts w:asciiTheme="majorBidi" w:hAnsiTheme="majorBidi" w:cstheme="majorBidi"/>
          <w:b/>
          <w:i/>
          <w:sz w:val="28"/>
          <w:szCs w:val="28"/>
        </w:rPr>
        <w:t>member</w:t>
      </w:r>
      <w:proofErr w:type="spellEnd"/>
      <w:r w:rsidRPr="008E72BA"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proofErr w:type="spellStart"/>
      <w:r w:rsidRPr="008E72BA">
        <w:rPr>
          <w:rFonts w:asciiTheme="majorBidi" w:hAnsiTheme="majorBidi" w:cstheme="majorBidi"/>
          <w:b/>
          <w:i/>
          <w:sz w:val="28"/>
          <w:szCs w:val="28"/>
        </w:rPr>
        <w:t>states</w:t>
      </w:r>
      <w:proofErr w:type="spellEnd"/>
    </w:p>
    <w:p w14:paraId="292489E0" w14:textId="77777777" w:rsidR="001A6E9B" w:rsidRDefault="001A6E9B" w:rsidP="00697DE4">
      <w:pPr>
        <w:spacing w:after="0" w:line="240" w:lineRule="auto"/>
        <w:ind w:firstLine="360"/>
        <w:jc w:val="center"/>
        <w:rPr>
          <w:rFonts w:asciiTheme="majorBidi" w:hAnsiTheme="majorBidi" w:cstheme="majorBidi"/>
          <w:b/>
          <w:sz w:val="20"/>
          <w:szCs w:val="20"/>
          <w:lang w:val="en-US"/>
        </w:rPr>
      </w:pPr>
    </w:p>
    <w:p w14:paraId="79CA3096" w14:textId="77777777" w:rsidR="00966E9B" w:rsidRPr="00966E9B" w:rsidRDefault="00966E9B" w:rsidP="00697DE4">
      <w:pPr>
        <w:spacing w:after="0" w:line="240" w:lineRule="auto"/>
        <w:ind w:firstLine="360"/>
        <w:jc w:val="center"/>
        <w:rPr>
          <w:rFonts w:asciiTheme="majorBidi" w:hAnsiTheme="majorBidi" w:cstheme="majorBidi"/>
          <w:b/>
          <w:sz w:val="20"/>
          <w:szCs w:val="20"/>
          <w:lang w:val="en-US"/>
        </w:rPr>
      </w:pPr>
    </w:p>
    <w:p w14:paraId="5CB6DF01" w14:textId="00EA3F21" w:rsidR="001A6E9B" w:rsidRPr="00966E9B" w:rsidRDefault="001A6E9B" w:rsidP="00697DE4">
      <w:pPr>
        <w:spacing w:line="240" w:lineRule="auto"/>
        <w:ind w:firstLine="360"/>
        <w:jc w:val="both"/>
        <w:rPr>
          <w:rFonts w:asciiTheme="majorBidi" w:hAnsiTheme="majorBidi" w:cstheme="majorBidi"/>
          <w:bCs/>
          <w:color w:val="FF0000"/>
          <w:sz w:val="20"/>
          <w:szCs w:val="20"/>
          <w:lang w:val="en-US"/>
        </w:rPr>
      </w:pPr>
      <w:r w:rsidRPr="00966E9B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Joining the EU and then the Economic and Monetary Union, t</w:t>
      </w:r>
      <w:r w:rsidR="004F52AB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he member states, including</w:t>
      </w:r>
      <w:r w:rsidRPr="00966E9B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 Poland, committed themselves to accept</w:t>
      </w:r>
      <w:r w:rsidR="004F52AB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 the euro</w:t>
      </w:r>
      <w:r w:rsidRPr="00966E9B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.</w:t>
      </w:r>
      <w:r w:rsidRPr="00966E9B">
        <w:rPr>
          <w:rFonts w:asciiTheme="majorBidi" w:hAnsiTheme="majorBidi" w:cstheme="majorBidi"/>
          <w:color w:val="FF0000"/>
          <w:sz w:val="20"/>
          <w:szCs w:val="20"/>
          <w:lang w:val="en-US"/>
        </w:rPr>
        <w:t xml:space="preserve"> </w:t>
      </w:r>
      <w:r w:rsidRPr="00966E9B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Replacing the national currency with </w:t>
      </w:r>
      <w:r w:rsidR="004F52AB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the euro is a big</w:t>
      </w:r>
      <w:r w:rsidRPr="00966E9B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 challenge for a given economy and </w:t>
      </w:r>
      <w:r w:rsidR="004F52AB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it is </w:t>
      </w:r>
      <w:r w:rsidRPr="00966E9B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a </w:t>
      </w:r>
      <w:proofErr w:type="gramStart"/>
      <w:r w:rsidRPr="00966E9B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process which</w:t>
      </w:r>
      <w:proofErr w:type="gramEnd"/>
      <w:r w:rsidRPr="00966E9B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 requires economic and legal convergence. </w:t>
      </w:r>
      <w:r w:rsidRPr="00966E9B"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  <w:t xml:space="preserve">In practice, in the era of global financial and economic crises the question if and when to accept </w:t>
      </w:r>
      <w:r w:rsidR="004F52AB"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  <w:t>the euro</w:t>
      </w:r>
      <w:r w:rsidRPr="00966E9B"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  <w:t xml:space="preserve"> is still valid and requires a comprehensive analysis. The article is trying to analyze the basic macroeconomic indicators in the national economies of the countries which in the years 200</w:t>
      </w:r>
      <w:r w:rsidR="000E233A" w:rsidRPr="00966E9B"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  <w:t>4 – 2015</w:t>
      </w:r>
      <w:r w:rsidRPr="00966E9B"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  <w:t xml:space="preserve"> accepted </w:t>
      </w:r>
      <w:r w:rsidR="004F52AB"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  <w:t>the euro</w:t>
      </w:r>
      <w:r w:rsidRPr="00966E9B"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  <w:t xml:space="preserve"> in order to verify the thesis of </w:t>
      </w:r>
      <w:r w:rsidR="002E75A4"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  <w:t xml:space="preserve">some </w:t>
      </w:r>
      <w:r w:rsidRPr="00966E9B"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  <w:t xml:space="preserve">measurable benefits resulting from introducing the community currency. </w:t>
      </w:r>
      <w:r w:rsidR="002E75A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The basic result of the monetary integration is </w:t>
      </w:r>
      <w:r w:rsidR="007E0E61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accelerating the </w:t>
      </w:r>
      <w:r w:rsidR="002E75A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convergence and limiting the influence of the crisis shocks. However, unsuitable moment of the euro introduction may result in </w:t>
      </w:r>
      <w:r w:rsidR="007E0E61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worsening the economic situation of a new member state of the Eurozone.</w:t>
      </w:r>
    </w:p>
    <w:p w14:paraId="6E961495" w14:textId="77777777" w:rsidR="001A6E9B" w:rsidRPr="00DB6087" w:rsidRDefault="001A6E9B" w:rsidP="00681838">
      <w:pPr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sectPr w:rsidR="001A6E9B" w:rsidRPr="00DB6087" w:rsidSect="00405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45ED8" w14:textId="77777777" w:rsidR="002E75A4" w:rsidRDefault="002E75A4" w:rsidP="00497256">
      <w:pPr>
        <w:spacing w:after="0" w:line="240" w:lineRule="auto"/>
      </w:pPr>
      <w:r>
        <w:separator/>
      </w:r>
    </w:p>
  </w:endnote>
  <w:endnote w:type="continuationSeparator" w:id="0">
    <w:p w14:paraId="3C3CCFA6" w14:textId="77777777" w:rsidR="002E75A4" w:rsidRDefault="002E75A4" w:rsidP="0049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09590" w14:textId="77777777" w:rsidR="002E75A4" w:rsidRDefault="002E75A4" w:rsidP="00497256">
      <w:pPr>
        <w:spacing w:after="0" w:line="240" w:lineRule="auto"/>
      </w:pPr>
      <w:r>
        <w:separator/>
      </w:r>
    </w:p>
  </w:footnote>
  <w:footnote w:type="continuationSeparator" w:id="0">
    <w:p w14:paraId="42A65A66" w14:textId="77777777" w:rsidR="002E75A4" w:rsidRDefault="002E75A4" w:rsidP="00497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6B6"/>
    <w:multiLevelType w:val="hybridMultilevel"/>
    <w:tmpl w:val="4AD4F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A7F64"/>
    <w:multiLevelType w:val="multilevel"/>
    <w:tmpl w:val="F0EAEE2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2701192F"/>
    <w:multiLevelType w:val="multilevel"/>
    <w:tmpl w:val="C2C81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36213FD4"/>
    <w:multiLevelType w:val="hybridMultilevel"/>
    <w:tmpl w:val="D346D79A"/>
    <w:lvl w:ilvl="0" w:tplc="D4041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C9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A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6B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CA5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607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4F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987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06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3C5A17"/>
    <w:multiLevelType w:val="hybridMultilevel"/>
    <w:tmpl w:val="FCBEC326"/>
    <w:lvl w:ilvl="0" w:tplc="43F68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6C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E6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63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01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C8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86A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8C7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0D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D307FB1"/>
    <w:multiLevelType w:val="hybridMultilevel"/>
    <w:tmpl w:val="C6B6DB72"/>
    <w:lvl w:ilvl="0" w:tplc="1DB27E54">
      <w:start w:val="1"/>
      <w:numFmt w:val="decimal"/>
      <w:suff w:val="space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91132CB"/>
    <w:multiLevelType w:val="hybridMultilevel"/>
    <w:tmpl w:val="FC6C4E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BD3F64"/>
    <w:multiLevelType w:val="hybridMultilevel"/>
    <w:tmpl w:val="8F60F682"/>
    <w:lvl w:ilvl="0" w:tplc="14EC0B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A5D76"/>
    <w:multiLevelType w:val="multilevel"/>
    <w:tmpl w:val="55A6328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17"/>
    <w:rsid w:val="00000E51"/>
    <w:rsid w:val="00001E86"/>
    <w:rsid w:val="000028DD"/>
    <w:rsid w:val="000160F2"/>
    <w:rsid w:val="00020FE0"/>
    <w:rsid w:val="000214C0"/>
    <w:rsid w:val="00023109"/>
    <w:rsid w:val="00041386"/>
    <w:rsid w:val="00041FEF"/>
    <w:rsid w:val="00042C06"/>
    <w:rsid w:val="00067E67"/>
    <w:rsid w:val="00077BA8"/>
    <w:rsid w:val="00082C8B"/>
    <w:rsid w:val="000836E6"/>
    <w:rsid w:val="00090175"/>
    <w:rsid w:val="000955AD"/>
    <w:rsid w:val="000958CD"/>
    <w:rsid w:val="000A082D"/>
    <w:rsid w:val="000B0C54"/>
    <w:rsid w:val="000B34C0"/>
    <w:rsid w:val="000C06B5"/>
    <w:rsid w:val="000C2651"/>
    <w:rsid w:val="000C34E7"/>
    <w:rsid w:val="000C7F22"/>
    <w:rsid w:val="000D1D52"/>
    <w:rsid w:val="000E233A"/>
    <w:rsid w:val="000E4CDE"/>
    <w:rsid w:val="00100A70"/>
    <w:rsid w:val="001074B6"/>
    <w:rsid w:val="0011117E"/>
    <w:rsid w:val="001138DC"/>
    <w:rsid w:val="001219C4"/>
    <w:rsid w:val="0013682A"/>
    <w:rsid w:val="001406AC"/>
    <w:rsid w:val="00146B21"/>
    <w:rsid w:val="001614AE"/>
    <w:rsid w:val="00183E01"/>
    <w:rsid w:val="0018501E"/>
    <w:rsid w:val="0019007E"/>
    <w:rsid w:val="00195945"/>
    <w:rsid w:val="001A1192"/>
    <w:rsid w:val="001A271A"/>
    <w:rsid w:val="001A3209"/>
    <w:rsid w:val="001A6D4E"/>
    <w:rsid w:val="001A6E9B"/>
    <w:rsid w:val="001B682C"/>
    <w:rsid w:val="001D44FA"/>
    <w:rsid w:val="001D5C36"/>
    <w:rsid w:val="001E0C7B"/>
    <w:rsid w:val="001E3C64"/>
    <w:rsid w:val="001E6681"/>
    <w:rsid w:val="001E7645"/>
    <w:rsid w:val="00210F21"/>
    <w:rsid w:val="00224A4A"/>
    <w:rsid w:val="002326B2"/>
    <w:rsid w:val="00236803"/>
    <w:rsid w:val="00241D80"/>
    <w:rsid w:val="00253516"/>
    <w:rsid w:val="00253ACB"/>
    <w:rsid w:val="0025409F"/>
    <w:rsid w:val="00256DBD"/>
    <w:rsid w:val="0026352E"/>
    <w:rsid w:val="00267720"/>
    <w:rsid w:val="00273905"/>
    <w:rsid w:val="002773BE"/>
    <w:rsid w:val="002802AF"/>
    <w:rsid w:val="00295E50"/>
    <w:rsid w:val="002C3AA0"/>
    <w:rsid w:val="002D0D0A"/>
    <w:rsid w:val="002D5526"/>
    <w:rsid w:val="002E06FB"/>
    <w:rsid w:val="002E61F8"/>
    <w:rsid w:val="002E75A4"/>
    <w:rsid w:val="002F1F2D"/>
    <w:rsid w:val="00303C5C"/>
    <w:rsid w:val="00305183"/>
    <w:rsid w:val="003133C0"/>
    <w:rsid w:val="00327E17"/>
    <w:rsid w:val="00331889"/>
    <w:rsid w:val="003423D7"/>
    <w:rsid w:val="003703EA"/>
    <w:rsid w:val="00370FD0"/>
    <w:rsid w:val="0038447E"/>
    <w:rsid w:val="003A13B9"/>
    <w:rsid w:val="003A505C"/>
    <w:rsid w:val="003B1925"/>
    <w:rsid w:val="003C7C5E"/>
    <w:rsid w:val="00402F14"/>
    <w:rsid w:val="00405762"/>
    <w:rsid w:val="0041144D"/>
    <w:rsid w:val="00414DDC"/>
    <w:rsid w:val="004179CF"/>
    <w:rsid w:val="00420A27"/>
    <w:rsid w:val="0042591F"/>
    <w:rsid w:val="004415CC"/>
    <w:rsid w:val="00444791"/>
    <w:rsid w:val="004450A1"/>
    <w:rsid w:val="00454C3C"/>
    <w:rsid w:val="00461AE0"/>
    <w:rsid w:val="00463465"/>
    <w:rsid w:val="004730AA"/>
    <w:rsid w:val="00475CFD"/>
    <w:rsid w:val="00481510"/>
    <w:rsid w:val="00497256"/>
    <w:rsid w:val="004A06D7"/>
    <w:rsid w:val="004A4E3D"/>
    <w:rsid w:val="004B03B9"/>
    <w:rsid w:val="004B2926"/>
    <w:rsid w:val="004B5640"/>
    <w:rsid w:val="004C576D"/>
    <w:rsid w:val="004D0F8A"/>
    <w:rsid w:val="004E28D1"/>
    <w:rsid w:val="004E52A9"/>
    <w:rsid w:val="004F0403"/>
    <w:rsid w:val="004F39C7"/>
    <w:rsid w:val="004F52AB"/>
    <w:rsid w:val="00500CB1"/>
    <w:rsid w:val="00502DF5"/>
    <w:rsid w:val="00515492"/>
    <w:rsid w:val="0052646D"/>
    <w:rsid w:val="0054378A"/>
    <w:rsid w:val="0054380E"/>
    <w:rsid w:val="00544915"/>
    <w:rsid w:val="00547D23"/>
    <w:rsid w:val="00572FD7"/>
    <w:rsid w:val="00575944"/>
    <w:rsid w:val="005A6930"/>
    <w:rsid w:val="005A77D6"/>
    <w:rsid w:val="005B34CC"/>
    <w:rsid w:val="005B46FC"/>
    <w:rsid w:val="005C00FC"/>
    <w:rsid w:val="005C0D8B"/>
    <w:rsid w:val="005F20A6"/>
    <w:rsid w:val="00602BF8"/>
    <w:rsid w:val="00627F5E"/>
    <w:rsid w:val="006345CC"/>
    <w:rsid w:val="00634C39"/>
    <w:rsid w:val="00637151"/>
    <w:rsid w:val="006421D0"/>
    <w:rsid w:val="006431C8"/>
    <w:rsid w:val="00645C42"/>
    <w:rsid w:val="006570A2"/>
    <w:rsid w:val="00662EC5"/>
    <w:rsid w:val="00681838"/>
    <w:rsid w:val="006838AA"/>
    <w:rsid w:val="00684364"/>
    <w:rsid w:val="00697DE4"/>
    <w:rsid w:val="006A1ADB"/>
    <w:rsid w:val="006B0177"/>
    <w:rsid w:val="006B3E9D"/>
    <w:rsid w:val="006D056E"/>
    <w:rsid w:val="006D0A77"/>
    <w:rsid w:val="006D0F1B"/>
    <w:rsid w:val="006F1B0F"/>
    <w:rsid w:val="006F6FC7"/>
    <w:rsid w:val="0070113E"/>
    <w:rsid w:val="00711899"/>
    <w:rsid w:val="0071441E"/>
    <w:rsid w:val="00717936"/>
    <w:rsid w:val="00723D0C"/>
    <w:rsid w:val="007316AC"/>
    <w:rsid w:val="0074660C"/>
    <w:rsid w:val="00756F22"/>
    <w:rsid w:val="00761A54"/>
    <w:rsid w:val="007657D7"/>
    <w:rsid w:val="007832E9"/>
    <w:rsid w:val="007A43F9"/>
    <w:rsid w:val="007B5FFA"/>
    <w:rsid w:val="007C043C"/>
    <w:rsid w:val="007D0665"/>
    <w:rsid w:val="007D53BB"/>
    <w:rsid w:val="007E0E61"/>
    <w:rsid w:val="007E35A6"/>
    <w:rsid w:val="007F1657"/>
    <w:rsid w:val="007F401E"/>
    <w:rsid w:val="008063E4"/>
    <w:rsid w:val="008472B2"/>
    <w:rsid w:val="00850019"/>
    <w:rsid w:val="00857F92"/>
    <w:rsid w:val="00890388"/>
    <w:rsid w:val="008965ED"/>
    <w:rsid w:val="0089766E"/>
    <w:rsid w:val="008A50EE"/>
    <w:rsid w:val="008C2447"/>
    <w:rsid w:val="008D40E4"/>
    <w:rsid w:val="008E001D"/>
    <w:rsid w:val="008E50F4"/>
    <w:rsid w:val="008E72BA"/>
    <w:rsid w:val="0090432C"/>
    <w:rsid w:val="00907916"/>
    <w:rsid w:val="00927F2E"/>
    <w:rsid w:val="009448E7"/>
    <w:rsid w:val="00944AF7"/>
    <w:rsid w:val="0095218F"/>
    <w:rsid w:val="009629B5"/>
    <w:rsid w:val="00963FE9"/>
    <w:rsid w:val="009640C6"/>
    <w:rsid w:val="00964F8E"/>
    <w:rsid w:val="00966E9B"/>
    <w:rsid w:val="0097405E"/>
    <w:rsid w:val="0099285A"/>
    <w:rsid w:val="009962F3"/>
    <w:rsid w:val="009D53EB"/>
    <w:rsid w:val="009E5235"/>
    <w:rsid w:val="009E7A4A"/>
    <w:rsid w:val="00A02F69"/>
    <w:rsid w:val="00A068AD"/>
    <w:rsid w:val="00A10258"/>
    <w:rsid w:val="00A12D43"/>
    <w:rsid w:val="00A244E1"/>
    <w:rsid w:val="00A30447"/>
    <w:rsid w:val="00A46A03"/>
    <w:rsid w:val="00A532E7"/>
    <w:rsid w:val="00A54B4F"/>
    <w:rsid w:val="00A75FC5"/>
    <w:rsid w:val="00A94B5B"/>
    <w:rsid w:val="00AA0288"/>
    <w:rsid w:val="00AA032B"/>
    <w:rsid w:val="00AB1403"/>
    <w:rsid w:val="00AB7988"/>
    <w:rsid w:val="00AC265B"/>
    <w:rsid w:val="00AC4D0E"/>
    <w:rsid w:val="00AC4DD8"/>
    <w:rsid w:val="00AC53B4"/>
    <w:rsid w:val="00AD01CB"/>
    <w:rsid w:val="00AD5CA5"/>
    <w:rsid w:val="00AE2459"/>
    <w:rsid w:val="00AF3A30"/>
    <w:rsid w:val="00B004D2"/>
    <w:rsid w:val="00B05D08"/>
    <w:rsid w:val="00B17D73"/>
    <w:rsid w:val="00B23069"/>
    <w:rsid w:val="00B26E4A"/>
    <w:rsid w:val="00B35A6D"/>
    <w:rsid w:val="00B47ADD"/>
    <w:rsid w:val="00B6253A"/>
    <w:rsid w:val="00B82B6C"/>
    <w:rsid w:val="00B92A46"/>
    <w:rsid w:val="00BC3F1B"/>
    <w:rsid w:val="00BC610E"/>
    <w:rsid w:val="00BE6EA7"/>
    <w:rsid w:val="00C12B9C"/>
    <w:rsid w:val="00C27873"/>
    <w:rsid w:val="00C31DCC"/>
    <w:rsid w:val="00C35247"/>
    <w:rsid w:val="00C404A5"/>
    <w:rsid w:val="00C607C3"/>
    <w:rsid w:val="00C63616"/>
    <w:rsid w:val="00C75B08"/>
    <w:rsid w:val="00C84882"/>
    <w:rsid w:val="00CA2062"/>
    <w:rsid w:val="00CA5BFD"/>
    <w:rsid w:val="00CA7CBA"/>
    <w:rsid w:val="00CB3B9C"/>
    <w:rsid w:val="00CD11F4"/>
    <w:rsid w:val="00CD13D0"/>
    <w:rsid w:val="00CD7F2F"/>
    <w:rsid w:val="00CE10AF"/>
    <w:rsid w:val="00CE4F1B"/>
    <w:rsid w:val="00CE5A2D"/>
    <w:rsid w:val="00CF460D"/>
    <w:rsid w:val="00CF47B2"/>
    <w:rsid w:val="00CF4BCC"/>
    <w:rsid w:val="00CF4C3C"/>
    <w:rsid w:val="00D04541"/>
    <w:rsid w:val="00D11DB7"/>
    <w:rsid w:val="00D14953"/>
    <w:rsid w:val="00D179FF"/>
    <w:rsid w:val="00D33895"/>
    <w:rsid w:val="00D34402"/>
    <w:rsid w:val="00D4373E"/>
    <w:rsid w:val="00D5273C"/>
    <w:rsid w:val="00D5442E"/>
    <w:rsid w:val="00D547A4"/>
    <w:rsid w:val="00D554F6"/>
    <w:rsid w:val="00D65FC6"/>
    <w:rsid w:val="00D733B0"/>
    <w:rsid w:val="00D734BA"/>
    <w:rsid w:val="00D75A6D"/>
    <w:rsid w:val="00D84A34"/>
    <w:rsid w:val="00D90EB9"/>
    <w:rsid w:val="00D9128F"/>
    <w:rsid w:val="00D93217"/>
    <w:rsid w:val="00DA15AD"/>
    <w:rsid w:val="00DA1F3C"/>
    <w:rsid w:val="00DA3E7A"/>
    <w:rsid w:val="00DA4D0E"/>
    <w:rsid w:val="00DA7A30"/>
    <w:rsid w:val="00DB0A57"/>
    <w:rsid w:val="00DB0BCD"/>
    <w:rsid w:val="00DB1A53"/>
    <w:rsid w:val="00DB6087"/>
    <w:rsid w:val="00DC5AFC"/>
    <w:rsid w:val="00DD30C7"/>
    <w:rsid w:val="00DD78D2"/>
    <w:rsid w:val="00DE2913"/>
    <w:rsid w:val="00DE733C"/>
    <w:rsid w:val="00E01EF0"/>
    <w:rsid w:val="00E02227"/>
    <w:rsid w:val="00E104AA"/>
    <w:rsid w:val="00E15D36"/>
    <w:rsid w:val="00E214CD"/>
    <w:rsid w:val="00E32920"/>
    <w:rsid w:val="00E46AFE"/>
    <w:rsid w:val="00E50B88"/>
    <w:rsid w:val="00E55900"/>
    <w:rsid w:val="00E61359"/>
    <w:rsid w:val="00E746C1"/>
    <w:rsid w:val="00E76EB3"/>
    <w:rsid w:val="00E87D86"/>
    <w:rsid w:val="00EB3B59"/>
    <w:rsid w:val="00EC0E87"/>
    <w:rsid w:val="00EC142A"/>
    <w:rsid w:val="00EF3FC6"/>
    <w:rsid w:val="00EF62ED"/>
    <w:rsid w:val="00EF6A95"/>
    <w:rsid w:val="00EF75FA"/>
    <w:rsid w:val="00F15ECF"/>
    <w:rsid w:val="00F163AB"/>
    <w:rsid w:val="00F20521"/>
    <w:rsid w:val="00F235F5"/>
    <w:rsid w:val="00F30458"/>
    <w:rsid w:val="00F33E40"/>
    <w:rsid w:val="00F57447"/>
    <w:rsid w:val="00F57A88"/>
    <w:rsid w:val="00F606CB"/>
    <w:rsid w:val="00F85B1E"/>
    <w:rsid w:val="00F878F6"/>
    <w:rsid w:val="00FA4377"/>
    <w:rsid w:val="00FB0BAE"/>
    <w:rsid w:val="00FB184D"/>
    <w:rsid w:val="00FC792A"/>
    <w:rsid w:val="00FD694D"/>
    <w:rsid w:val="00FE1D6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C07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A3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640C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972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9725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97256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3423D7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8D40E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D40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23D0C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D40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23D0C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D40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23D0C"/>
    <w:rPr>
      <w:rFonts w:ascii="Times New Roman" w:hAnsi="Times New Roman" w:cs="Times New Roman"/>
      <w:sz w:val="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53ACB"/>
    <w:rPr>
      <w:color w:val="808080"/>
    </w:rPr>
  </w:style>
  <w:style w:type="table" w:styleId="Siatkatabeli">
    <w:name w:val="Table Grid"/>
    <w:basedOn w:val="Standardowy"/>
    <w:locked/>
    <w:rsid w:val="001B6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A3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640C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972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9725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97256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3423D7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8D40E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D40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23D0C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D40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23D0C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D40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23D0C"/>
    <w:rPr>
      <w:rFonts w:ascii="Times New Roman" w:hAnsi="Times New Roman" w:cs="Times New Roman"/>
      <w:sz w:val="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53ACB"/>
    <w:rPr>
      <w:color w:val="808080"/>
    </w:rPr>
  </w:style>
  <w:style w:type="table" w:styleId="Siatkatabeli">
    <w:name w:val="Table Grid"/>
    <w:basedOn w:val="Standardowy"/>
    <w:locked/>
    <w:rsid w:val="001B6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55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5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5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5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5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5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5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5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epp.eurostat.ec.europa.eu/" TargetMode="External"/><Relationship Id="rId10" Type="http://schemas.openxmlformats.org/officeDocument/2006/relationships/hyperlink" Target="http://epp.eurostat.ec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5A65B1F-E496-5742-BBE3-BAE5F374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3787</Words>
  <Characters>22723</Characters>
  <Application>Microsoft Macintosh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wybranych wskaźników makroekonomiczne w krajach UE wprowadzających walutę Euro od 2007 roku</vt:lpstr>
    </vt:vector>
  </TitlesOfParts>
  <Company>Microsoft</Company>
  <LinksUpToDate>false</LinksUpToDate>
  <CharactersWithSpaces>26458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wybranych wskaźników makroekonomiczne w krajach UE wprowadzających walutę Euro od 2007 roku</dc:title>
  <dc:subject/>
  <dc:creator>bmw</dc:creator>
  <cp:keywords/>
  <dc:description/>
  <cp:lastModifiedBy>bogdan włodarczyk</cp:lastModifiedBy>
  <cp:revision>6</cp:revision>
  <dcterms:created xsi:type="dcterms:W3CDTF">2016-05-04T18:56:00Z</dcterms:created>
  <dcterms:modified xsi:type="dcterms:W3CDTF">2016-05-11T13:06:00Z</dcterms:modified>
</cp:coreProperties>
</file>