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FD" w:rsidRPr="0047146C" w:rsidRDefault="006862FD" w:rsidP="006862FD">
      <w:pPr>
        <w:spacing w:after="0" w:line="36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Uniwersytet Ekonomiczny we Wrocławiu, </w:t>
      </w:r>
      <w:r w:rsidRPr="0047146C">
        <w:rPr>
          <w:rFonts w:ascii="Times New Roman" w:eastAsia="Calibri" w:hAnsi="Times New Roman" w:cs="Times New Roman"/>
          <w:bCs/>
          <w:sz w:val="20"/>
          <w:szCs w:val="20"/>
        </w:rPr>
        <w:t>Katedra Finansów Przedsiębiorstwa i Zarządzania Wartością</w:t>
      </w:r>
    </w:p>
    <w:p w:rsidR="006862FD" w:rsidRPr="0047146C" w:rsidRDefault="006862FD" w:rsidP="006862FD">
      <w:pPr>
        <w:spacing w:after="0" w:line="360" w:lineRule="auto"/>
        <w:jc w:val="center"/>
        <w:rPr>
          <w:rFonts w:ascii="Times New Roman" w:eastAsia="Calibri" w:hAnsi="Times New Roman" w:cs="Times New Roman"/>
          <w:sz w:val="20"/>
          <w:szCs w:val="20"/>
        </w:rPr>
      </w:pPr>
    </w:p>
    <w:p w:rsidR="00E73FDB" w:rsidRPr="0047146C" w:rsidRDefault="0038566B" w:rsidP="0038566B">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Prof. dr hab. Adam Kopiński</w:t>
      </w:r>
    </w:p>
    <w:p w:rsidR="006862FD" w:rsidRDefault="00E73FDB" w:rsidP="006862FD">
      <w:pPr>
        <w:spacing w:after="0" w:line="360" w:lineRule="auto"/>
        <w:jc w:val="center"/>
        <w:rPr>
          <w:rFonts w:ascii="Times New Roman" w:eastAsia="Calibri" w:hAnsi="Times New Roman" w:cs="Times New Roman"/>
          <w:color w:val="000000" w:themeColor="text1"/>
          <w:sz w:val="28"/>
          <w:szCs w:val="28"/>
        </w:rPr>
      </w:pPr>
      <w:r w:rsidRPr="00E73FDB">
        <w:rPr>
          <w:rFonts w:ascii="Times New Roman" w:eastAsia="Calibri" w:hAnsi="Times New Roman" w:cs="Times New Roman"/>
          <w:color w:val="000000" w:themeColor="text1"/>
          <w:sz w:val="28"/>
          <w:szCs w:val="28"/>
        </w:rPr>
        <w:t>Analiza rentowności wybranych banków komercyjnych w Polsce</w:t>
      </w:r>
      <w:r w:rsidR="006862FD" w:rsidRPr="006862FD">
        <w:rPr>
          <w:rFonts w:ascii="Times New Roman" w:eastAsia="Calibri" w:hAnsi="Times New Roman" w:cs="Times New Roman"/>
          <w:color w:val="000000" w:themeColor="text1"/>
          <w:sz w:val="28"/>
          <w:szCs w:val="28"/>
        </w:rPr>
        <w:t>.</w:t>
      </w:r>
    </w:p>
    <w:p w:rsidR="006862FD" w:rsidRDefault="00C626D0" w:rsidP="006862FD">
      <w:pPr>
        <w:spacing w:after="0" w:line="360" w:lineRule="auto"/>
        <w:jc w:val="center"/>
        <w:rPr>
          <w:rFonts w:ascii="Times New Roman" w:eastAsia="Calibri" w:hAnsi="Times New Roman" w:cs="Times New Roman"/>
          <w:color w:val="000000" w:themeColor="text1"/>
          <w:sz w:val="20"/>
          <w:szCs w:val="20"/>
          <w:lang w:val="en-US"/>
        </w:rPr>
      </w:pPr>
      <w:r w:rsidRPr="00C626D0">
        <w:rPr>
          <w:rFonts w:ascii="Times New Roman" w:eastAsia="Calibri" w:hAnsi="Times New Roman" w:cs="Times New Roman"/>
          <w:color w:val="000000" w:themeColor="text1"/>
          <w:sz w:val="20"/>
          <w:szCs w:val="20"/>
          <w:lang w:val="en-US"/>
        </w:rPr>
        <w:t>Profitability</w:t>
      </w:r>
      <w:r>
        <w:rPr>
          <w:rFonts w:ascii="Times New Roman" w:eastAsia="Calibri" w:hAnsi="Times New Roman" w:cs="Times New Roman"/>
          <w:color w:val="000000" w:themeColor="text1"/>
          <w:sz w:val="20"/>
          <w:szCs w:val="20"/>
          <w:lang w:val="en-US"/>
        </w:rPr>
        <w:t xml:space="preserve"> </w:t>
      </w:r>
      <w:r w:rsidRPr="00C626D0">
        <w:rPr>
          <w:rFonts w:ascii="Times New Roman" w:eastAsia="Calibri" w:hAnsi="Times New Roman" w:cs="Times New Roman"/>
          <w:color w:val="000000" w:themeColor="text1"/>
          <w:sz w:val="20"/>
          <w:szCs w:val="20"/>
          <w:lang w:val="en-US"/>
        </w:rPr>
        <w:t>Analysis of the selected commercial banks in Poland</w:t>
      </w:r>
    </w:p>
    <w:p w:rsidR="00C626D0" w:rsidRPr="00C47054" w:rsidRDefault="00C626D0" w:rsidP="006862FD">
      <w:pPr>
        <w:spacing w:after="0" w:line="360" w:lineRule="auto"/>
        <w:jc w:val="center"/>
        <w:rPr>
          <w:rFonts w:ascii="Times New Roman" w:eastAsia="Calibri" w:hAnsi="Times New Roman" w:cs="Times New Roman"/>
          <w:sz w:val="20"/>
          <w:szCs w:val="20"/>
          <w:lang w:val="en-US"/>
        </w:rPr>
      </w:pPr>
    </w:p>
    <w:p w:rsidR="00181ADD" w:rsidRDefault="00181ADD" w:rsidP="006862FD">
      <w:pPr>
        <w:spacing w:after="0" w:line="360" w:lineRule="auto"/>
        <w:rPr>
          <w:rFonts w:ascii="Times New Roman" w:eastAsia="Calibri" w:hAnsi="Times New Roman" w:cs="Times New Roman"/>
          <w:sz w:val="20"/>
          <w:szCs w:val="20"/>
        </w:rPr>
      </w:pPr>
      <w:r w:rsidRPr="00181ADD">
        <w:rPr>
          <w:rFonts w:ascii="Times New Roman" w:eastAsia="Calibri" w:hAnsi="Times New Roman" w:cs="Times New Roman"/>
          <w:sz w:val="20"/>
          <w:szCs w:val="20"/>
        </w:rPr>
        <w:t>Słowa Kluczowe: Rentowność banku, wskaźniki rentowności, rentowność przychodów (ROS), rentowność aktywów (ROA), rentowność kapitałów własnych (ROE).</w:t>
      </w:r>
    </w:p>
    <w:p w:rsidR="006862FD" w:rsidRPr="00C626D0" w:rsidRDefault="006862FD" w:rsidP="006862FD">
      <w:pPr>
        <w:spacing w:after="0" w:line="360" w:lineRule="auto"/>
        <w:rPr>
          <w:rStyle w:val="hps"/>
          <w:rFonts w:ascii="Times New Roman" w:hAnsi="Times New Roman" w:cs="Times New Roman"/>
          <w:sz w:val="20"/>
          <w:szCs w:val="20"/>
          <w:lang w:val="en-US"/>
        </w:rPr>
      </w:pPr>
      <w:r w:rsidRPr="00C626D0">
        <w:rPr>
          <w:rFonts w:ascii="Times New Roman" w:eastAsia="Calibri" w:hAnsi="Times New Roman" w:cs="Times New Roman"/>
          <w:sz w:val="20"/>
          <w:szCs w:val="20"/>
          <w:lang w:val="en-US"/>
        </w:rPr>
        <w:t>Key words:</w:t>
      </w:r>
      <w:r w:rsidR="00C626D0" w:rsidRPr="00C626D0">
        <w:rPr>
          <w:rFonts w:ascii="Times New Roman" w:eastAsia="Calibri" w:hAnsi="Times New Roman" w:cs="Times New Roman"/>
          <w:sz w:val="20"/>
          <w:szCs w:val="20"/>
          <w:lang w:val="en-US"/>
        </w:rPr>
        <w:t xml:space="preserve"> </w:t>
      </w:r>
      <w:r w:rsidR="00E3071C" w:rsidRPr="00C626D0">
        <w:rPr>
          <w:rFonts w:ascii="Times New Roman" w:eastAsia="Calibri" w:hAnsi="Times New Roman" w:cs="Times New Roman"/>
          <w:sz w:val="20"/>
          <w:szCs w:val="20"/>
          <w:lang w:val="en-US"/>
        </w:rPr>
        <w:t xml:space="preserve"> </w:t>
      </w:r>
      <w:r w:rsidR="00992698" w:rsidRPr="00C626D0">
        <w:rPr>
          <w:rStyle w:val="hps"/>
          <w:rFonts w:ascii="Times New Roman" w:hAnsi="Times New Roman" w:cs="Times New Roman"/>
          <w:sz w:val="20"/>
          <w:szCs w:val="20"/>
          <w:lang w:val="en-US"/>
        </w:rPr>
        <w:t>bank</w:t>
      </w:r>
      <w:r w:rsidR="00C626D0" w:rsidRPr="00C626D0">
        <w:rPr>
          <w:rStyle w:val="hps"/>
          <w:rFonts w:ascii="Times New Roman" w:hAnsi="Times New Roman" w:cs="Times New Roman"/>
          <w:sz w:val="20"/>
          <w:szCs w:val="20"/>
          <w:lang w:val="en-US"/>
        </w:rPr>
        <w:t xml:space="preserve"> </w:t>
      </w:r>
      <w:proofErr w:type="gramStart"/>
      <w:r w:rsidR="00C626D0" w:rsidRPr="00C626D0">
        <w:rPr>
          <w:rStyle w:val="hps"/>
          <w:rFonts w:ascii="Times New Roman" w:hAnsi="Times New Roman" w:cs="Times New Roman"/>
          <w:sz w:val="20"/>
          <w:szCs w:val="20"/>
          <w:lang w:val="en-US"/>
        </w:rPr>
        <w:t>profitability</w:t>
      </w:r>
      <w:r w:rsidR="00992698" w:rsidRPr="00C626D0">
        <w:rPr>
          <w:rStyle w:val="hps"/>
          <w:rFonts w:ascii="Times New Roman" w:hAnsi="Times New Roman" w:cs="Times New Roman"/>
          <w:sz w:val="20"/>
          <w:szCs w:val="20"/>
          <w:lang w:val="en-US"/>
        </w:rPr>
        <w:t xml:space="preserve"> ,</w:t>
      </w:r>
      <w:proofErr w:type="gramEnd"/>
      <w:r w:rsidR="00992698" w:rsidRPr="00C626D0">
        <w:rPr>
          <w:rStyle w:val="hps"/>
          <w:rFonts w:ascii="Times New Roman" w:hAnsi="Times New Roman" w:cs="Times New Roman"/>
          <w:sz w:val="20"/>
          <w:szCs w:val="20"/>
          <w:lang w:val="en-US"/>
        </w:rPr>
        <w:t xml:space="preserve"> </w:t>
      </w:r>
      <w:r w:rsidR="00C626D0" w:rsidRPr="00C626D0">
        <w:rPr>
          <w:rStyle w:val="hps"/>
          <w:rFonts w:ascii="Times New Roman" w:hAnsi="Times New Roman" w:cs="Times New Roman"/>
          <w:sz w:val="20"/>
          <w:szCs w:val="20"/>
          <w:lang w:val="en-US"/>
        </w:rPr>
        <w:t>profitability ratios</w:t>
      </w:r>
      <w:r w:rsidR="00C626D0">
        <w:rPr>
          <w:rStyle w:val="hps"/>
          <w:rFonts w:ascii="Times New Roman" w:hAnsi="Times New Roman" w:cs="Times New Roman"/>
          <w:sz w:val="20"/>
          <w:szCs w:val="20"/>
          <w:lang w:val="en-US"/>
        </w:rPr>
        <w:t xml:space="preserve">, </w:t>
      </w:r>
      <w:r w:rsidR="00C626D0" w:rsidRPr="00C626D0">
        <w:rPr>
          <w:rStyle w:val="hps"/>
          <w:rFonts w:ascii="Times New Roman" w:hAnsi="Times New Roman" w:cs="Times New Roman"/>
          <w:sz w:val="20"/>
          <w:szCs w:val="20"/>
          <w:lang w:val="en-US"/>
        </w:rPr>
        <w:t xml:space="preserve"> </w:t>
      </w:r>
      <w:r w:rsidR="00C626D0" w:rsidRPr="00C626D0">
        <w:rPr>
          <w:rFonts w:ascii="Times New Roman" w:hAnsi="Times New Roman" w:cs="Times New Roman"/>
          <w:iCs/>
          <w:sz w:val="20"/>
          <w:szCs w:val="20"/>
          <w:shd w:val="clear" w:color="auto" w:fill="FFFFFF"/>
          <w:lang w:val="en"/>
        </w:rPr>
        <w:t>return on sales</w:t>
      </w:r>
      <w:r w:rsidR="00C626D0" w:rsidRPr="00C626D0">
        <w:rPr>
          <w:rStyle w:val="hps"/>
          <w:rFonts w:ascii="Times New Roman" w:hAnsi="Times New Roman" w:cs="Times New Roman"/>
          <w:sz w:val="20"/>
          <w:szCs w:val="20"/>
          <w:lang w:val="en-US"/>
        </w:rPr>
        <w:t xml:space="preserve">  (ROS), </w:t>
      </w:r>
      <w:r w:rsidR="00C626D0" w:rsidRPr="00C626D0">
        <w:rPr>
          <w:rFonts w:ascii="Times New Roman" w:hAnsi="Times New Roman" w:cs="Times New Roman"/>
          <w:iCs/>
          <w:sz w:val="20"/>
          <w:szCs w:val="20"/>
          <w:shd w:val="clear" w:color="auto" w:fill="FFFFFF"/>
          <w:lang w:val="en-US"/>
        </w:rPr>
        <w:t>return on assets</w:t>
      </w:r>
      <w:r w:rsidR="00020097">
        <w:rPr>
          <w:rFonts w:ascii="Times New Roman" w:hAnsi="Times New Roman" w:cs="Times New Roman"/>
          <w:iCs/>
          <w:sz w:val="20"/>
          <w:szCs w:val="20"/>
          <w:shd w:val="clear" w:color="auto" w:fill="FFFFFF"/>
          <w:lang w:val="en-US"/>
        </w:rPr>
        <w:t xml:space="preserve"> (ROA)</w:t>
      </w:r>
      <w:r w:rsidR="00C626D0" w:rsidRPr="00C626D0">
        <w:rPr>
          <w:rFonts w:ascii="Times New Roman" w:hAnsi="Times New Roman" w:cs="Times New Roman"/>
          <w:iCs/>
          <w:sz w:val="20"/>
          <w:szCs w:val="20"/>
          <w:shd w:val="clear" w:color="auto" w:fill="FFFFFF"/>
          <w:lang w:val="en-US"/>
        </w:rPr>
        <w:t xml:space="preserve">, </w:t>
      </w:r>
      <w:r w:rsidR="00C626D0" w:rsidRPr="00C626D0">
        <w:rPr>
          <w:rFonts w:ascii="Times New Roman" w:hAnsi="Times New Roman" w:cs="Times New Roman"/>
          <w:sz w:val="20"/>
          <w:szCs w:val="20"/>
          <w:shd w:val="clear" w:color="auto" w:fill="FFFFFF"/>
          <w:lang w:val="en-US"/>
        </w:rPr>
        <w:t>return on equity (ROE)</w:t>
      </w:r>
    </w:p>
    <w:p w:rsidR="00181ADD" w:rsidRPr="00C626D0" w:rsidRDefault="00181ADD" w:rsidP="00D636F9">
      <w:pPr>
        <w:spacing w:after="0" w:line="360" w:lineRule="auto"/>
        <w:rPr>
          <w:rFonts w:ascii="Times New Roman" w:hAnsi="Times New Roman"/>
          <w:sz w:val="20"/>
          <w:lang w:val="en-US"/>
        </w:rPr>
      </w:pPr>
    </w:p>
    <w:p w:rsidR="00E73FDB" w:rsidRPr="00E73FDB" w:rsidRDefault="00E73FDB" w:rsidP="00181ADD">
      <w:pPr>
        <w:pStyle w:val="Styl1"/>
      </w:pPr>
      <w:r w:rsidRPr="00E73FDB">
        <w:t>Wprowadzenie</w:t>
      </w:r>
    </w:p>
    <w:p w:rsidR="00E73FDB" w:rsidRPr="00E73FDB" w:rsidRDefault="00E73FDB" w:rsidP="00181ADD">
      <w:pPr>
        <w:spacing w:after="0" w:line="360" w:lineRule="auto"/>
        <w:ind w:firstLine="426"/>
        <w:jc w:val="both"/>
        <w:rPr>
          <w:rFonts w:ascii="Times New Roman" w:hAnsi="Times New Roman" w:cs="Times New Roman"/>
          <w:sz w:val="24"/>
          <w:szCs w:val="24"/>
        </w:rPr>
      </w:pPr>
      <w:r w:rsidRPr="00E73FDB">
        <w:rPr>
          <w:rFonts w:ascii="Times New Roman" w:hAnsi="Times New Roman" w:cs="Times New Roman"/>
          <w:sz w:val="24"/>
          <w:szCs w:val="24"/>
        </w:rPr>
        <w:t>Jedną z najważniejszych kategorii finansowych gospodarki rynkowej jest rentowność będąca głównym czynnikiem motywującym ludzi do podejmowania działalności gospodarczej. Rentowność ban</w:t>
      </w:r>
      <w:r>
        <w:rPr>
          <w:rFonts w:ascii="Times New Roman" w:hAnsi="Times New Roman" w:cs="Times New Roman"/>
          <w:sz w:val="24"/>
          <w:szCs w:val="24"/>
        </w:rPr>
        <w:t xml:space="preserve">ków </w:t>
      </w:r>
      <w:proofErr w:type="gramStart"/>
      <w:r>
        <w:rPr>
          <w:rFonts w:ascii="Times New Roman" w:hAnsi="Times New Roman" w:cs="Times New Roman"/>
          <w:sz w:val="24"/>
          <w:szCs w:val="24"/>
        </w:rPr>
        <w:t xml:space="preserve">natomiast </w:t>
      </w:r>
      <w:r w:rsidRPr="00E73FDB">
        <w:rPr>
          <w:rFonts w:ascii="Times New Roman" w:hAnsi="Times New Roman" w:cs="Times New Roman"/>
          <w:sz w:val="24"/>
          <w:szCs w:val="24"/>
        </w:rPr>
        <w:t>jako</w:t>
      </w:r>
      <w:proofErr w:type="gramEnd"/>
      <w:r w:rsidRPr="00E73FDB">
        <w:rPr>
          <w:rFonts w:ascii="Times New Roman" w:hAnsi="Times New Roman" w:cs="Times New Roman"/>
          <w:sz w:val="24"/>
          <w:szCs w:val="24"/>
        </w:rPr>
        <w:t xml:space="preserve"> podmiotów zasilających finansowo gospodarkę warunkuje funkcjonowanie i rozwój pojedynczych podmiotów gospodarczych a w skali makroekonomicznej jest motorem rozwoju poszczególnych sektorów oraz całej gospodarki.  Z punktu widzenia banków można wyróżnić pięć podstawowych funkcji rentowności:</w:t>
      </w:r>
    </w:p>
    <w:p w:rsidR="00E73FDB" w:rsidRDefault="00E73FDB" w:rsidP="00E73FDB">
      <w:pPr>
        <w:pStyle w:val="Akapitzlist"/>
        <w:numPr>
          <w:ilvl w:val="0"/>
          <w:numId w:val="27"/>
        </w:numPr>
        <w:spacing w:after="0" w:line="360" w:lineRule="auto"/>
        <w:ind w:left="426"/>
        <w:jc w:val="both"/>
        <w:rPr>
          <w:rFonts w:ascii="Times New Roman" w:hAnsi="Times New Roman" w:cs="Times New Roman"/>
          <w:sz w:val="24"/>
          <w:szCs w:val="24"/>
        </w:rPr>
      </w:pPr>
      <w:proofErr w:type="gramStart"/>
      <w:r w:rsidRPr="00E73FDB">
        <w:rPr>
          <w:rFonts w:ascii="Times New Roman" w:hAnsi="Times New Roman" w:cs="Times New Roman"/>
          <w:sz w:val="24"/>
          <w:szCs w:val="24"/>
        </w:rPr>
        <w:t>jest</w:t>
      </w:r>
      <w:proofErr w:type="gramEnd"/>
      <w:r w:rsidRPr="00E73FDB">
        <w:rPr>
          <w:rFonts w:ascii="Times New Roman" w:hAnsi="Times New Roman" w:cs="Times New Roman"/>
          <w:sz w:val="24"/>
          <w:szCs w:val="24"/>
        </w:rPr>
        <w:t xml:space="preserve"> podstawowym celem działalności banku,</w:t>
      </w:r>
    </w:p>
    <w:p w:rsidR="00E73FDB" w:rsidRDefault="00E73FDB" w:rsidP="00E73FDB">
      <w:pPr>
        <w:pStyle w:val="Akapitzlist"/>
        <w:numPr>
          <w:ilvl w:val="0"/>
          <w:numId w:val="27"/>
        </w:numPr>
        <w:spacing w:after="0" w:line="360" w:lineRule="auto"/>
        <w:ind w:left="426"/>
        <w:jc w:val="both"/>
        <w:rPr>
          <w:rFonts w:ascii="Times New Roman" w:hAnsi="Times New Roman" w:cs="Times New Roman"/>
          <w:sz w:val="24"/>
          <w:szCs w:val="24"/>
        </w:rPr>
      </w:pPr>
      <w:proofErr w:type="gramStart"/>
      <w:r w:rsidRPr="00E73FDB">
        <w:rPr>
          <w:rFonts w:ascii="Times New Roman" w:hAnsi="Times New Roman" w:cs="Times New Roman"/>
          <w:sz w:val="24"/>
          <w:szCs w:val="24"/>
        </w:rPr>
        <w:t>jest</w:t>
      </w:r>
      <w:proofErr w:type="gramEnd"/>
      <w:r w:rsidRPr="00E73FDB">
        <w:rPr>
          <w:rFonts w:ascii="Times New Roman" w:hAnsi="Times New Roman" w:cs="Times New Roman"/>
          <w:sz w:val="24"/>
          <w:szCs w:val="24"/>
        </w:rPr>
        <w:t xml:space="preserve"> syntetycznym miernikiem efektywności ekonomicznej banków,</w:t>
      </w:r>
    </w:p>
    <w:p w:rsidR="00E73FDB" w:rsidRDefault="00E73FDB" w:rsidP="00E73FDB">
      <w:pPr>
        <w:pStyle w:val="Akapitzlist"/>
        <w:numPr>
          <w:ilvl w:val="0"/>
          <w:numId w:val="27"/>
        </w:numPr>
        <w:spacing w:after="0" w:line="360" w:lineRule="auto"/>
        <w:ind w:left="426"/>
        <w:jc w:val="both"/>
        <w:rPr>
          <w:rFonts w:ascii="Times New Roman" w:hAnsi="Times New Roman" w:cs="Times New Roman"/>
          <w:sz w:val="24"/>
          <w:szCs w:val="24"/>
        </w:rPr>
      </w:pPr>
      <w:proofErr w:type="gramStart"/>
      <w:r w:rsidRPr="00E73FDB">
        <w:rPr>
          <w:rFonts w:ascii="Times New Roman" w:hAnsi="Times New Roman" w:cs="Times New Roman"/>
          <w:sz w:val="24"/>
          <w:szCs w:val="24"/>
        </w:rPr>
        <w:t>jest</w:t>
      </w:r>
      <w:proofErr w:type="gramEnd"/>
      <w:r w:rsidRPr="00E73FDB">
        <w:rPr>
          <w:rFonts w:ascii="Times New Roman" w:hAnsi="Times New Roman" w:cs="Times New Roman"/>
          <w:sz w:val="24"/>
          <w:szCs w:val="24"/>
        </w:rPr>
        <w:t xml:space="preserve"> podstawowym źródłem finansowania rozwoju banku,</w:t>
      </w:r>
    </w:p>
    <w:p w:rsidR="00E73FDB" w:rsidRDefault="00E73FDB" w:rsidP="00E73FDB">
      <w:pPr>
        <w:pStyle w:val="Akapitzlist"/>
        <w:numPr>
          <w:ilvl w:val="0"/>
          <w:numId w:val="27"/>
        </w:numPr>
        <w:spacing w:after="0" w:line="360" w:lineRule="auto"/>
        <w:ind w:left="426"/>
        <w:jc w:val="both"/>
        <w:rPr>
          <w:rFonts w:ascii="Times New Roman" w:hAnsi="Times New Roman" w:cs="Times New Roman"/>
          <w:sz w:val="24"/>
          <w:szCs w:val="24"/>
        </w:rPr>
      </w:pPr>
      <w:proofErr w:type="gramStart"/>
      <w:r w:rsidRPr="00E73FDB">
        <w:rPr>
          <w:rFonts w:ascii="Times New Roman" w:hAnsi="Times New Roman" w:cs="Times New Roman"/>
          <w:sz w:val="24"/>
          <w:szCs w:val="24"/>
        </w:rPr>
        <w:t>jest</w:t>
      </w:r>
      <w:proofErr w:type="gramEnd"/>
      <w:r w:rsidRPr="00E73FDB">
        <w:rPr>
          <w:rFonts w:ascii="Times New Roman" w:hAnsi="Times New Roman" w:cs="Times New Roman"/>
          <w:sz w:val="24"/>
          <w:szCs w:val="24"/>
        </w:rPr>
        <w:t xml:space="preserve"> podstawą systemu motywacji kadry zarządzającej,</w:t>
      </w:r>
    </w:p>
    <w:p w:rsidR="00E73FDB" w:rsidRPr="00E73FDB" w:rsidRDefault="00E73FDB" w:rsidP="00E73FDB">
      <w:pPr>
        <w:pStyle w:val="Akapitzlist"/>
        <w:numPr>
          <w:ilvl w:val="0"/>
          <w:numId w:val="27"/>
        </w:numPr>
        <w:spacing w:after="0" w:line="360" w:lineRule="auto"/>
        <w:ind w:left="426"/>
        <w:jc w:val="both"/>
        <w:rPr>
          <w:rFonts w:ascii="Times New Roman" w:hAnsi="Times New Roman" w:cs="Times New Roman"/>
          <w:sz w:val="24"/>
          <w:szCs w:val="24"/>
        </w:rPr>
      </w:pPr>
      <w:proofErr w:type="gramStart"/>
      <w:r w:rsidRPr="00E73FDB">
        <w:rPr>
          <w:rFonts w:ascii="Times New Roman" w:hAnsi="Times New Roman" w:cs="Times New Roman"/>
          <w:sz w:val="24"/>
          <w:szCs w:val="24"/>
        </w:rPr>
        <w:t>jest</w:t>
      </w:r>
      <w:proofErr w:type="gramEnd"/>
      <w:r w:rsidRPr="00E73FDB">
        <w:rPr>
          <w:rFonts w:ascii="Times New Roman" w:hAnsi="Times New Roman" w:cs="Times New Roman"/>
          <w:sz w:val="24"/>
          <w:szCs w:val="24"/>
        </w:rPr>
        <w:t xml:space="preserve"> źródłem dochodów finansów publicznych. </w:t>
      </w:r>
    </w:p>
    <w:p w:rsidR="00E73FDB" w:rsidRDefault="0005520F" w:rsidP="00181ADD">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Celem artykułu</w:t>
      </w:r>
      <w:r w:rsidR="00E73FDB" w:rsidRPr="00E73FDB">
        <w:rPr>
          <w:rFonts w:ascii="Times New Roman" w:hAnsi="Times New Roman" w:cs="Times New Roman"/>
          <w:sz w:val="24"/>
          <w:szCs w:val="24"/>
        </w:rPr>
        <w:t xml:space="preserve"> jest </w:t>
      </w:r>
      <w:r>
        <w:rPr>
          <w:rFonts w:ascii="Times New Roman" w:hAnsi="Times New Roman" w:cs="Times New Roman"/>
          <w:sz w:val="24"/>
          <w:szCs w:val="24"/>
        </w:rPr>
        <w:t>niezwykle ważna</w:t>
      </w:r>
      <w:r w:rsidR="00E73FDB" w:rsidRPr="00E73FDB">
        <w:rPr>
          <w:rFonts w:ascii="Times New Roman" w:hAnsi="Times New Roman" w:cs="Times New Roman"/>
          <w:sz w:val="24"/>
          <w:szCs w:val="24"/>
        </w:rPr>
        <w:t xml:space="preserve"> </w:t>
      </w:r>
      <w:r>
        <w:rPr>
          <w:rFonts w:ascii="Times New Roman" w:hAnsi="Times New Roman" w:cs="Times New Roman"/>
          <w:sz w:val="24"/>
          <w:szCs w:val="24"/>
        </w:rPr>
        <w:t xml:space="preserve">dla </w:t>
      </w:r>
      <w:r w:rsidR="00E73FDB" w:rsidRPr="00E73FDB">
        <w:rPr>
          <w:rFonts w:ascii="Times New Roman" w:hAnsi="Times New Roman" w:cs="Times New Roman"/>
          <w:sz w:val="24"/>
          <w:szCs w:val="24"/>
        </w:rPr>
        <w:t xml:space="preserve">sektora </w:t>
      </w:r>
      <w:r w:rsidRPr="00E73FDB">
        <w:rPr>
          <w:rFonts w:ascii="Times New Roman" w:hAnsi="Times New Roman" w:cs="Times New Roman"/>
          <w:sz w:val="24"/>
          <w:szCs w:val="24"/>
        </w:rPr>
        <w:t>bankowego</w:t>
      </w:r>
      <w:r>
        <w:rPr>
          <w:rFonts w:ascii="Times New Roman" w:hAnsi="Times New Roman" w:cs="Times New Roman"/>
          <w:sz w:val="24"/>
          <w:szCs w:val="24"/>
        </w:rPr>
        <w:t xml:space="preserve"> </w:t>
      </w:r>
      <w:r w:rsidRPr="00E73FDB">
        <w:rPr>
          <w:rFonts w:ascii="Times New Roman" w:hAnsi="Times New Roman" w:cs="Times New Roman"/>
          <w:sz w:val="24"/>
          <w:szCs w:val="24"/>
        </w:rPr>
        <w:t>i</w:t>
      </w:r>
      <w:r w:rsidR="00E73FDB" w:rsidRPr="00E73FDB">
        <w:rPr>
          <w:rFonts w:ascii="Times New Roman" w:hAnsi="Times New Roman" w:cs="Times New Roman"/>
          <w:sz w:val="24"/>
          <w:szCs w:val="24"/>
        </w:rPr>
        <w:t xml:space="preserve"> wchodzących w jego skład banków </w:t>
      </w:r>
      <w:r w:rsidRPr="00E73FDB">
        <w:rPr>
          <w:rFonts w:ascii="Times New Roman" w:hAnsi="Times New Roman" w:cs="Times New Roman"/>
          <w:sz w:val="24"/>
          <w:szCs w:val="24"/>
        </w:rPr>
        <w:t>analiza rentowności</w:t>
      </w:r>
      <w:r>
        <w:rPr>
          <w:rFonts w:ascii="Times New Roman" w:hAnsi="Times New Roman" w:cs="Times New Roman"/>
          <w:sz w:val="24"/>
          <w:szCs w:val="24"/>
        </w:rPr>
        <w:t xml:space="preserve"> </w:t>
      </w:r>
      <w:r w:rsidR="00E73FDB" w:rsidRPr="00E73FDB">
        <w:rPr>
          <w:rFonts w:ascii="Times New Roman" w:hAnsi="Times New Roman" w:cs="Times New Roman"/>
          <w:sz w:val="24"/>
          <w:szCs w:val="24"/>
        </w:rPr>
        <w:t>przeprowadzana na bazie danych pochodzących ze sprawozdań finansowych przy pomocy klasycznych wskaźników rentowności.</w:t>
      </w:r>
    </w:p>
    <w:p w:rsidR="00181ADD" w:rsidRPr="00C47054" w:rsidRDefault="00181ADD" w:rsidP="00181ADD">
      <w:pPr>
        <w:spacing w:after="0" w:line="360" w:lineRule="auto"/>
        <w:ind w:firstLine="426"/>
        <w:jc w:val="both"/>
        <w:rPr>
          <w:rFonts w:ascii="Times New Roman" w:hAnsi="Times New Roman" w:cs="Times New Roman"/>
          <w:sz w:val="24"/>
          <w:szCs w:val="24"/>
        </w:rPr>
      </w:pPr>
    </w:p>
    <w:p w:rsidR="00E73FDB" w:rsidRPr="00E73FDB" w:rsidRDefault="00E73FDB" w:rsidP="00181ADD">
      <w:pPr>
        <w:pStyle w:val="Styl1"/>
        <w:rPr>
          <w:lang w:eastAsia="pl-PL"/>
        </w:rPr>
      </w:pPr>
      <w:r w:rsidRPr="00E73FDB">
        <w:rPr>
          <w:lang w:eastAsia="pl-PL"/>
        </w:rPr>
        <w:t>Pojęcie i istota rentowności</w:t>
      </w:r>
    </w:p>
    <w:p w:rsidR="00723D86" w:rsidRPr="00723D86" w:rsidRDefault="00723D86" w:rsidP="00181ADD">
      <w:pPr>
        <w:spacing w:after="0" w:line="360" w:lineRule="auto"/>
        <w:ind w:firstLine="426"/>
        <w:jc w:val="both"/>
        <w:rPr>
          <w:rFonts w:ascii="Times New Roman" w:eastAsia="Times New Roman" w:hAnsi="Times New Roman" w:cs="Times New Roman"/>
          <w:sz w:val="24"/>
          <w:szCs w:val="24"/>
          <w:lang w:eastAsia="pl-PL"/>
        </w:rPr>
      </w:pPr>
      <w:r w:rsidRPr="00723D86">
        <w:rPr>
          <w:rFonts w:ascii="Times New Roman" w:eastAsia="Times New Roman" w:hAnsi="Times New Roman" w:cs="Times New Roman"/>
          <w:sz w:val="24"/>
          <w:szCs w:val="24"/>
          <w:lang w:eastAsia="pl-PL"/>
        </w:rPr>
        <w:t xml:space="preserve">Prowadzenie </w:t>
      </w:r>
      <w:r w:rsidR="00181ADD" w:rsidRPr="00723D86">
        <w:rPr>
          <w:rFonts w:ascii="Times New Roman" w:eastAsia="Times New Roman" w:hAnsi="Times New Roman" w:cs="Times New Roman"/>
          <w:sz w:val="24"/>
          <w:szCs w:val="24"/>
          <w:lang w:eastAsia="pl-PL"/>
        </w:rPr>
        <w:t>działalności bankowej</w:t>
      </w:r>
      <w:r w:rsidRPr="00723D86">
        <w:rPr>
          <w:rFonts w:ascii="Times New Roman" w:eastAsia="Times New Roman" w:hAnsi="Times New Roman" w:cs="Times New Roman"/>
          <w:sz w:val="24"/>
          <w:szCs w:val="24"/>
          <w:lang w:eastAsia="pl-PL"/>
        </w:rPr>
        <w:t xml:space="preserve"> wymaga zaangażowania specyficznych dla tej jednostki zasobów, wyrażone zaś wartościowo ich zużycie stanowi dla banku koszt działalności, Bank w wyniku prowadzonej działalności osiąga określone efekty w postaci świadczonych usług, a także sprzedaży produktów bankowych, których wyrazem są osiągane przychody. Racjonalne prowadzenie działalności bankowej wymaga uzyskania odpowiedniej </w:t>
      </w:r>
      <w:r w:rsidRPr="00723D86">
        <w:rPr>
          <w:rFonts w:ascii="Times New Roman" w:eastAsia="Times New Roman" w:hAnsi="Times New Roman" w:cs="Times New Roman"/>
          <w:sz w:val="24"/>
          <w:szCs w:val="24"/>
          <w:lang w:eastAsia="pl-PL"/>
        </w:rPr>
        <w:lastRenderedPageBreak/>
        <w:t xml:space="preserve">relacji miedzy osiąganymi przychodami a ponoszonymi kosztami, którą jest wynik finansowy w postaci relacji wartościowej opisującej różnicę miedzy przychodami a kosztami. Jest to podstawowy miernik efektywności działalności bankowej; w praktyce przyjęło się mówić o rentowności banku w pozytywnym tego słowa znaczeniu, czyli wtedy, gdy jest dodatni wynik finansowy, czyli zysk. W tym znaczeniu rentowność utożsamia się z zyskownością, natomiast celem banku jest maksymalizacja zysku. </w:t>
      </w:r>
      <w:proofErr w:type="gramStart"/>
      <w:r w:rsidRPr="00723D86">
        <w:rPr>
          <w:rFonts w:ascii="Times New Roman" w:eastAsia="Times New Roman" w:hAnsi="Times New Roman" w:cs="Times New Roman"/>
          <w:sz w:val="24"/>
          <w:szCs w:val="24"/>
          <w:lang w:eastAsia="pl-PL"/>
        </w:rPr>
        <w:t>Utrzymanie bowiem</w:t>
      </w:r>
      <w:proofErr w:type="gramEnd"/>
      <w:r w:rsidRPr="00723D86">
        <w:rPr>
          <w:rFonts w:ascii="Times New Roman" w:eastAsia="Times New Roman" w:hAnsi="Times New Roman" w:cs="Times New Roman"/>
          <w:sz w:val="24"/>
          <w:szCs w:val="24"/>
          <w:lang w:eastAsia="pl-PL"/>
        </w:rPr>
        <w:t xml:space="preserve"> zysku na odpowiednio wysokim poziomie pozwala bankowi na bezpieczne funkcjonowanie, jego rozwój, utrzymanie wiarygodności oraz poprawę sytuacji materialnej zarówno pracowników, jak i właścicieli banku. Wysoka rentowność banku wskazuje nie tylko na przedsiębiorczość i skuteczność działania kierownictwa banku, ale także na umacnianie jego pozycji na rynku usług finansowych. Jednakże wielkość osiągniętego przez bank wyniku finansowego obrazuje jedynie w liczbach bezwzględnych rezultaty działalności, co pozwala dokonać wstępnej oceny efektywności gospodarowania. Natomiast rentowność jest stanem finansowym banku, wyrażonym wynikiem finansowym, będącym rezultatem działalności bankowej. Wyróżnia się dwa stany rentowności: zyskowność, czyli osiąganie przez bank dodatniego wyniku finansowego, lub deficytowość, czyli ponoszenie straty na działalności bankowej, wyrażające się ujemnym wynikiem finansowym (por. [Kopiński 2008]). </w:t>
      </w:r>
    </w:p>
    <w:p w:rsidR="00723D86" w:rsidRPr="00181ADD" w:rsidRDefault="00723D86" w:rsidP="00181ADD">
      <w:pPr>
        <w:spacing w:after="0" w:line="360" w:lineRule="auto"/>
        <w:ind w:firstLine="426"/>
        <w:jc w:val="both"/>
        <w:rPr>
          <w:rFonts w:ascii="Times New Roman" w:eastAsia="Times New Roman" w:hAnsi="Times New Roman" w:cs="Times New Roman"/>
          <w:sz w:val="24"/>
          <w:szCs w:val="24"/>
          <w:lang w:eastAsia="pl-PL"/>
        </w:rPr>
      </w:pPr>
      <w:r w:rsidRPr="00723D86">
        <w:rPr>
          <w:rFonts w:ascii="Times New Roman" w:eastAsia="Times New Roman" w:hAnsi="Times New Roman" w:cs="Times New Roman"/>
          <w:sz w:val="24"/>
          <w:szCs w:val="24"/>
          <w:lang w:eastAsia="pl-PL"/>
        </w:rPr>
        <w:t xml:space="preserve">Ponieważ sama kwota zysku nie charakteryzuje precyzyjnie skali tej efektywności, dlatego w literaturze jest wyrażany pogląd, że rentowność stanowi miarę względną, w której wynik finansowy dzieli się przez bazę odniesienia, doprowadzając ten miernik do porównywalności. </w:t>
      </w:r>
      <w:proofErr w:type="gramStart"/>
      <w:r w:rsidRPr="00723D86">
        <w:rPr>
          <w:rFonts w:ascii="Times New Roman" w:eastAsia="Times New Roman" w:hAnsi="Times New Roman" w:cs="Times New Roman"/>
          <w:sz w:val="24"/>
          <w:szCs w:val="24"/>
          <w:lang w:eastAsia="pl-PL"/>
        </w:rPr>
        <w:t>Zasadniczo jako</w:t>
      </w:r>
      <w:proofErr w:type="gramEnd"/>
      <w:r w:rsidRPr="00723D86">
        <w:rPr>
          <w:rFonts w:ascii="Times New Roman" w:eastAsia="Times New Roman" w:hAnsi="Times New Roman" w:cs="Times New Roman"/>
          <w:sz w:val="24"/>
          <w:szCs w:val="24"/>
          <w:lang w:eastAsia="pl-PL"/>
        </w:rPr>
        <w:t xml:space="preserve"> bazę odniesienia, czyli mianownik, przyjmuje się nakład lub kapitał, a jako licznik wynik finansowy. Wówczas rentowność, wyrażająca efektywność zaangażowanego kapitału albo efektywność poniesionych nakładów, oznacza, ile groszy wyniku finansowego generuje jedna złotówka zaangażowanego kapitału lub jedna złotówka poniesionych nakładów. Z reguły jednak rentowność jest określana </w:t>
      </w:r>
      <w:proofErr w:type="gramStart"/>
      <w:r w:rsidRPr="00723D86">
        <w:rPr>
          <w:rFonts w:ascii="Times New Roman" w:eastAsia="Times New Roman" w:hAnsi="Times New Roman" w:cs="Times New Roman"/>
          <w:sz w:val="24"/>
          <w:szCs w:val="24"/>
          <w:lang w:eastAsia="pl-PL"/>
        </w:rPr>
        <w:t>nie jako</w:t>
      </w:r>
      <w:proofErr w:type="gramEnd"/>
      <w:r w:rsidRPr="00723D86">
        <w:rPr>
          <w:rFonts w:ascii="Times New Roman" w:eastAsia="Times New Roman" w:hAnsi="Times New Roman" w:cs="Times New Roman"/>
          <w:sz w:val="24"/>
          <w:szCs w:val="24"/>
          <w:lang w:eastAsia="pl-PL"/>
        </w:rPr>
        <w:t xml:space="preserve"> wielkość relatywna, lecz jako fakt osiągania przychodów z działalności bankowej, przewyższających koszty jej prowadzenia, wskaźniki zaś rentowności wykorzystywane są do pomiaru intensywności, czyli poziomu tego zjawiska.</w:t>
      </w:r>
    </w:p>
    <w:p w:rsidR="00181ADD" w:rsidRPr="00C47054" w:rsidRDefault="00181ADD" w:rsidP="00723D86">
      <w:pPr>
        <w:spacing w:after="0" w:line="360" w:lineRule="auto"/>
        <w:jc w:val="both"/>
        <w:rPr>
          <w:rFonts w:ascii="Times New Roman" w:hAnsi="Times New Roman" w:cs="Times New Roman"/>
          <w:sz w:val="24"/>
          <w:szCs w:val="24"/>
        </w:rPr>
      </w:pPr>
    </w:p>
    <w:p w:rsidR="00723D86" w:rsidRPr="00723D86" w:rsidRDefault="00723D86" w:rsidP="00181ADD">
      <w:pPr>
        <w:pStyle w:val="Styl1"/>
      </w:pPr>
      <w:r w:rsidRPr="00723D86">
        <w:t xml:space="preserve">Rodzaje wskaźników rentowności </w:t>
      </w:r>
    </w:p>
    <w:p w:rsidR="00181ADD" w:rsidRPr="00181ADD" w:rsidRDefault="00181ADD" w:rsidP="00181ADD">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 xml:space="preserve">Wskaźniki rentowności banku należą do najważniejszych grup wskaźników finansowych, jakie wykorzystuje się do oceny kondycji banku, a przy tym w każdej z nich znajduje się wiele wskaźników szczegółowych, które pozostają we wzajemnych zależnościach. W </w:t>
      </w:r>
      <w:r w:rsidRPr="00181ADD">
        <w:rPr>
          <w:rFonts w:ascii="Times New Roman" w:hAnsi="Times New Roman" w:cs="Times New Roman"/>
          <w:sz w:val="24"/>
          <w:szCs w:val="24"/>
        </w:rPr>
        <w:lastRenderedPageBreak/>
        <w:t xml:space="preserve">literaturze i praktyce gospodarczej występuje wiele różnorodnych miar (wskaźników) rentowności banku, ponieważ zarówno w liczniku, jak i w mianowniku ogólnej formuły mogą występować różne wielkości. </w:t>
      </w:r>
    </w:p>
    <w:p w:rsidR="00181ADD" w:rsidRPr="00181ADD" w:rsidRDefault="00181ADD" w:rsidP="00181ADD">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Ogólna postać wskaźników rentowności jest następująca (zob. [Gabrusewicz 2002; Kopiński 2007]):</w:t>
      </w:r>
    </w:p>
    <w:p w:rsidR="00181ADD" w:rsidRPr="00181ADD" w:rsidRDefault="00883D82" w:rsidP="00791240">
      <w:pPr>
        <w:spacing w:after="0" w:line="360" w:lineRule="auto"/>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efekt</m:t>
            </m:r>
          </m:num>
          <m:den>
            <m:r>
              <w:rPr>
                <w:rFonts w:ascii="Cambria Math" w:hAnsi="Cambria Math" w:cs="Times New Roman"/>
                <w:sz w:val="24"/>
                <w:szCs w:val="24"/>
              </w:rPr>
              <m:t>nakład</m:t>
            </m:r>
          </m:den>
        </m:f>
      </m:oMath>
      <w:r w:rsidR="00181ADD" w:rsidRPr="00181ADD">
        <w:rPr>
          <w:rFonts w:ascii="Times New Roman" w:eastAsiaTheme="minorEastAsia" w:hAnsi="Times New Roman" w:cs="Times New Roman"/>
          <w:sz w:val="24"/>
          <w:szCs w:val="24"/>
        </w:rPr>
        <w:t xml:space="preserve"> </w:t>
      </w:r>
      <w:proofErr w:type="gramStart"/>
      <w:r w:rsidR="00181ADD" w:rsidRPr="00181ADD">
        <w:rPr>
          <w:rFonts w:ascii="Times New Roman" w:eastAsiaTheme="minorEastAsia" w:hAnsi="Times New Roman" w:cs="Times New Roman"/>
          <w:sz w:val="24"/>
          <w:szCs w:val="24"/>
        </w:rPr>
        <w:t>lub</w:t>
      </w:r>
      <w:proofErr w:type="gramEnd"/>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efekt</m:t>
            </m:r>
          </m:num>
          <m:den>
            <m:r>
              <w:rPr>
                <w:rFonts w:ascii="Cambria Math" w:eastAsiaTheme="minorEastAsia" w:hAnsi="Cambria Math" w:cs="Times New Roman"/>
                <w:sz w:val="24"/>
                <w:szCs w:val="24"/>
              </w:rPr>
              <m:t>kapitał</m:t>
            </m:r>
          </m:den>
        </m:f>
      </m:oMath>
    </w:p>
    <w:p w:rsidR="00181ADD" w:rsidRPr="00181ADD" w:rsidRDefault="00181ADD" w:rsidP="00181ADD">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 xml:space="preserve">Gdy korzysta się z obligatoryjnego rachunku zysków i strat, efektem może być wynik </w:t>
      </w:r>
      <w:proofErr w:type="gramStart"/>
      <w:r w:rsidRPr="00181ADD">
        <w:rPr>
          <w:rFonts w:ascii="Times New Roman" w:hAnsi="Times New Roman" w:cs="Times New Roman"/>
          <w:sz w:val="24"/>
          <w:szCs w:val="24"/>
        </w:rPr>
        <w:t>finansowy jako</w:t>
      </w:r>
      <w:proofErr w:type="gramEnd"/>
      <w:r w:rsidRPr="00181ADD">
        <w:rPr>
          <w:rFonts w:ascii="Times New Roman" w:hAnsi="Times New Roman" w:cs="Times New Roman"/>
          <w:sz w:val="24"/>
          <w:szCs w:val="24"/>
        </w:rPr>
        <w:t xml:space="preserve"> następująca kategoria finansowa (zob. [</w:t>
      </w:r>
      <w:proofErr w:type="spellStart"/>
      <w:r w:rsidRPr="00181ADD">
        <w:rPr>
          <w:rFonts w:ascii="Times New Roman" w:hAnsi="Times New Roman" w:cs="Times New Roman"/>
          <w:sz w:val="24"/>
          <w:szCs w:val="24"/>
        </w:rPr>
        <w:t>Gigol</w:t>
      </w:r>
      <w:proofErr w:type="spellEnd"/>
      <w:r w:rsidRPr="00181ADD">
        <w:rPr>
          <w:rFonts w:ascii="Times New Roman" w:hAnsi="Times New Roman" w:cs="Times New Roman"/>
          <w:sz w:val="24"/>
          <w:szCs w:val="24"/>
        </w:rPr>
        <w:t xml:space="preserve">, 2003]): </w:t>
      </w:r>
    </w:p>
    <w:p w:rsid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Wynik z tytułu odsetek, </w:t>
      </w:r>
    </w:p>
    <w:p w:rsid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Wynik z tytułu prowizji, </w:t>
      </w:r>
    </w:p>
    <w:p w:rsid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Przychody z akcji, udziałów i innych papierów wartościowych, </w:t>
      </w:r>
    </w:p>
    <w:p w:rsid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Wynik na operacjach finansowych, </w:t>
      </w:r>
    </w:p>
    <w:p w:rsid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Wynik z pozycji wymiany, </w:t>
      </w:r>
    </w:p>
    <w:p w:rsid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Wynik działalności bankowej, </w:t>
      </w:r>
    </w:p>
    <w:p w:rsid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Wynik działalności operacyjnej, </w:t>
      </w:r>
    </w:p>
    <w:p w:rsid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Wynik operacji nadzwyczajnych, </w:t>
      </w:r>
    </w:p>
    <w:p w:rsid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Zysk (strata) brutto, </w:t>
      </w:r>
    </w:p>
    <w:p w:rsidR="00181ADD" w:rsidRPr="00181ADD" w:rsidRDefault="00181ADD" w:rsidP="00181ADD">
      <w:pPr>
        <w:pStyle w:val="Akapitzlist"/>
        <w:numPr>
          <w:ilvl w:val="0"/>
          <w:numId w:val="33"/>
        </w:numPr>
        <w:spacing w:after="0" w:line="360" w:lineRule="auto"/>
        <w:jc w:val="both"/>
        <w:rPr>
          <w:rFonts w:ascii="Times New Roman" w:hAnsi="Times New Roman" w:cs="Times New Roman"/>
          <w:sz w:val="24"/>
          <w:szCs w:val="24"/>
        </w:rPr>
      </w:pPr>
      <w:r w:rsidRPr="00181ADD">
        <w:rPr>
          <w:rFonts w:ascii="Times New Roman" w:hAnsi="Times New Roman" w:cs="Times New Roman"/>
          <w:sz w:val="24"/>
          <w:szCs w:val="24"/>
        </w:rPr>
        <w:t xml:space="preserve">Zysk (strata) netto. </w:t>
      </w:r>
    </w:p>
    <w:p w:rsidR="00181ADD" w:rsidRDefault="00181ADD" w:rsidP="00181ADD">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 xml:space="preserve">Każda z tych pozycji odzwierciedla inny zakres rentowności banku. We wskaźnikach rentowności banku najczęściej występuje zysk brutto lub zysk netto, niekiedy wynik na działalności bankowej lub wynik na działalności operacyjnej. Ponadto oblicza się wskaźnik rentowności dotyczący dochodów netto z odsetek (wynik z tytułu </w:t>
      </w:r>
      <w:proofErr w:type="gramStart"/>
      <w:r w:rsidRPr="00181ADD">
        <w:rPr>
          <w:rFonts w:ascii="Times New Roman" w:hAnsi="Times New Roman" w:cs="Times New Roman"/>
          <w:sz w:val="24"/>
          <w:szCs w:val="24"/>
        </w:rPr>
        <w:t xml:space="preserve">odsetek ), </w:t>
      </w:r>
      <w:proofErr w:type="gramEnd"/>
      <w:r w:rsidRPr="00181ADD">
        <w:rPr>
          <w:rFonts w:ascii="Times New Roman" w:hAnsi="Times New Roman" w:cs="Times New Roman"/>
          <w:sz w:val="24"/>
          <w:szCs w:val="24"/>
        </w:rPr>
        <w:t xml:space="preserve">które stanowią główne źródło zysku banku, a także wskaźnik rentowności dochodów poza odsetkowych (tj. sumy wyniku z tytułu prowizji, przychodów z akcji i udziałów, wyniku na operacjach finansowych, wyniku z pozycji wymiany i innych) (zob. [Kopiński, 2005]). </w:t>
      </w:r>
    </w:p>
    <w:p w:rsidR="00181ADD" w:rsidRPr="00181ADD" w:rsidRDefault="00181ADD" w:rsidP="00181ADD">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 xml:space="preserve">Występująca w mianowniku wskaźnika rentowności podstawa odniesienia wyniku finansowego może reprezentować następujące wielkości finansowe: </w:t>
      </w:r>
    </w:p>
    <w:p w:rsidR="00181ADD" w:rsidRPr="00181ADD" w:rsidRDefault="00181ADD" w:rsidP="00181ADD">
      <w:pPr>
        <w:pStyle w:val="Akapitzlist"/>
        <w:numPr>
          <w:ilvl w:val="0"/>
          <w:numId w:val="28"/>
        </w:numPr>
        <w:spacing w:after="0" w:line="360" w:lineRule="auto"/>
        <w:ind w:left="1418" w:hanging="284"/>
        <w:rPr>
          <w:rFonts w:ascii="Times New Roman" w:hAnsi="Times New Roman" w:cs="Times New Roman"/>
          <w:sz w:val="24"/>
          <w:szCs w:val="24"/>
        </w:rPr>
      </w:pPr>
      <w:proofErr w:type="gramStart"/>
      <w:r w:rsidRPr="00181ADD">
        <w:rPr>
          <w:rFonts w:ascii="Times New Roman" w:hAnsi="Times New Roman" w:cs="Times New Roman"/>
          <w:sz w:val="24"/>
          <w:szCs w:val="24"/>
        </w:rPr>
        <w:t>aktywa</w:t>
      </w:r>
      <w:proofErr w:type="gramEnd"/>
      <w:r w:rsidRPr="00181ADD">
        <w:rPr>
          <w:rFonts w:ascii="Times New Roman" w:hAnsi="Times New Roman" w:cs="Times New Roman"/>
          <w:sz w:val="24"/>
          <w:szCs w:val="24"/>
        </w:rPr>
        <w:t xml:space="preserve"> banku, </w:t>
      </w:r>
    </w:p>
    <w:p w:rsidR="00181ADD" w:rsidRPr="00181ADD" w:rsidRDefault="00181ADD" w:rsidP="00181ADD">
      <w:pPr>
        <w:pStyle w:val="Akapitzlist"/>
        <w:numPr>
          <w:ilvl w:val="0"/>
          <w:numId w:val="28"/>
        </w:numPr>
        <w:spacing w:after="0" w:line="360" w:lineRule="auto"/>
        <w:ind w:left="1418" w:hanging="284"/>
        <w:rPr>
          <w:rFonts w:ascii="Times New Roman" w:hAnsi="Times New Roman" w:cs="Times New Roman"/>
          <w:sz w:val="24"/>
          <w:szCs w:val="24"/>
        </w:rPr>
      </w:pPr>
      <w:proofErr w:type="gramStart"/>
      <w:r w:rsidRPr="00181ADD">
        <w:rPr>
          <w:rFonts w:ascii="Times New Roman" w:hAnsi="Times New Roman" w:cs="Times New Roman"/>
          <w:sz w:val="24"/>
          <w:szCs w:val="24"/>
        </w:rPr>
        <w:t>przychody</w:t>
      </w:r>
      <w:proofErr w:type="gramEnd"/>
      <w:r w:rsidRPr="00181ADD">
        <w:rPr>
          <w:rFonts w:ascii="Times New Roman" w:hAnsi="Times New Roman" w:cs="Times New Roman"/>
          <w:sz w:val="24"/>
          <w:szCs w:val="24"/>
        </w:rPr>
        <w:t xml:space="preserve"> banku, </w:t>
      </w:r>
    </w:p>
    <w:p w:rsidR="00181ADD" w:rsidRPr="00181ADD" w:rsidRDefault="00181ADD" w:rsidP="00181ADD">
      <w:pPr>
        <w:pStyle w:val="Akapitzlist"/>
        <w:numPr>
          <w:ilvl w:val="0"/>
          <w:numId w:val="28"/>
        </w:numPr>
        <w:spacing w:after="0" w:line="360" w:lineRule="auto"/>
        <w:ind w:left="1418" w:hanging="284"/>
        <w:rPr>
          <w:rFonts w:ascii="Times New Roman" w:hAnsi="Times New Roman" w:cs="Times New Roman"/>
          <w:sz w:val="24"/>
          <w:szCs w:val="24"/>
        </w:rPr>
      </w:pPr>
      <w:proofErr w:type="gramStart"/>
      <w:r w:rsidRPr="00181ADD">
        <w:rPr>
          <w:rFonts w:ascii="Times New Roman" w:hAnsi="Times New Roman" w:cs="Times New Roman"/>
          <w:sz w:val="24"/>
          <w:szCs w:val="24"/>
        </w:rPr>
        <w:t>kapitały</w:t>
      </w:r>
      <w:proofErr w:type="gramEnd"/>
      <w:r w:rsidRPr="00181ADD">
        <w:rPr>
          <w:rFonts w:ascii="Times New Roman" w:hAnsi="Times New Roman" w:cs="Times New Roman"/>
          <w:sz w:val="24"/>
          <w:szCs w:val="24"/>
        </w:rPr>
        <w:t xml:space="preserve"> banku. </w:t>
      </w:r>
    </w:p>
    <w:p w:rsidR="00181ADD" w:rsidRPr="00181ADD" w:rsidRDefault="00181ADD" w:rsidP="00181ADD">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 xml:space="preserve">Można każdą z tych wielkości ująć całościowo lub tez wyodrębnić z nich pewne charakterystyczne części, w zależności od celu badania. Ponadto w </w:t>
      </w:r>
      <w:proofErr w:type="gramStart"/>
      <w:r w:rsidRPr="00181ADD">
        <w:rPr>
          <w:rFonts w:ascii="Times New Roman" w:hAnsi="Times New Roman" w:cs="Times New Roman"/>
          <w:sz w:val="24"/>
          <w:szCs w:val="24"/>
        </w:rPr>
        <w:t>mianowniku jako</w:t>
      </w:r>
      <w:proofErr w:type="gramEnd"/>
      <w:r w:rsidRPr="00181ADD">
        <w:rPr>
          <w:rFonts w:ascii="Times New Roman" w:hAnsi="Times New Roman" w:cs="Times New Roman"/>
          <w:sz w:val="24"/>
          <w:szCs w:val="24"/>
        </w:rPr>
        <w:t xml:space="preserve"> bazie odniesienia można uwzględnić ich przeciętne wielkości, które oblicza się na podstawie </w:t>
      </w:r>
      <w:r w:rsidRPr="00181ADD">
        <w:rPr>
          <w:rFonts w:ascii="Times New Roman" w:hAnsi="Times New Roman" w:cs="Times New Roman"/>
          <w:sz w:val="24"/>
          <w:szCs w:val="24"/>
        </w:rPr>
        <w:lastRenderedPageBreak/>
        <w:t xml:space="preserve">dostępnych danych ze sprawozdania. Biorąc pod uwagę wymienione wyżej podstawy odniesienia, wyróżnia się trzy podstawowe rodzaje wskaźników rentowności banku: </w:t>
      </w:r>
    </w:p>
    <w:p w:rsidR="00181ADD" w:rsidRPr="00181ADD" w:rsidRDefault="00181ADD" w:rsidP="00181ADD">
      <w:pPr>
        <w:pStyle w:val="Akapitzlist"/>
        <w:numPr>
          <w:ilvl w:val="0"/>
          <w:numId w:val="29"/>
        </w:numPr>
        <w:spacing w:after="0" w:line="360" w:lineRule="auto"/>
        <w:ind w:left="709" w:hanging="283"/>
        <w:jc w:val="both"/>
        <w:rPr>
          <w:rFonts w:ascii="Times New Roman" w:hAnsi="Times New Roman" w:cs="Times New Roman"/>
          <w:sz w:val="24"/>
          <w:szCs w:val="24"/>
        </w:rPr>
      </w:pPr>
      <w:r w:rsidRPr="00181ADD">
        <w:rPr>
          <w:rFonts w:ascii="Times New Roman" w:hAnsi="Times New Roman" w:cs="Times New Roman"/>
          <w:sz w:val="24"/>
          <w:szCs w:val="24"/>
        </w:rPr>
        <w:t>wskaźnik rentowności sprzedaży (</w:t>
      </w:r>
      <w:proofErr w:type="gramStart"/>
      <w:r w:rsidRPr="00181ADD">
        <w:rPr>
          <w:rFonts w:ascii="Times New Roman" w:hAnsi="Times New Roman" w:cs="Times New Roman"/>
          <w:sz w:val="24"/>
          <w:szCs w:val="24"/>
        </w:rPr>
        <w:t>przychodów) jako</w:t>
      </w:r>
      <w:proofErr w:type="gramEnd"/>
      <w:r w:rsidRPr="00181ADD">
        <w:rPr>
          <w:rFonts w:ascii="Times New Roman" w:hAnsi="Times New Roman" w:cs="Times New Roman"/>
          <w:sz w:val="24"/>
          <w:szCs w:val="24"/>
        </w:rPr>
        <w:t xml:space="preserve"> relacji zysku netto (wyniku finansowego netto) do sumy przychodów z tytułu odsetek, prowizji, udziałów, innych papierów wartościowych, wyniku na operacjach finansowych oraz z wymiany;  </w:t>
      </w:r>
    </w:p>
    <w:p w:rsidR="00181ADD" w:rsidRPr="00181ADD" w:rsidRDefault="00181ADD" w:rsidP="00181ADD">
      <w:pPr>
        <w:pStyle w:val="Akapitzlist"/>
        <w:numPr>
          <w:ilvl w:val="0"/>
          <w:numId w:val="29"/>
        </w:numPr>
        <w:spacing w:after="0" w:line="360" w:lineRule="auto"/>
        <w:ind w:left="709" w:hanging="283"/>
        <w:jc w:val="both"/>
        <w:rPr>
          <w:rFonts w:ascii="Times New Roman" w:hAnsi="Times New Roman" w:cs="Times New Roman"/>
          <w:sz w:val="24"/>
          <w:szCs w:val="24"/>
        </w:rPr>
      </w:pPr>
      <w:r w:rsidRPr="00181ADD">
        <w:rPr>
          <w:rFonts w:ascii="Times New Roman" w:hAnsi="Times New Roman" w:cs="Times New Roman"/>
          <w:sz w:val="24"/>
          <w:szCs w:val="24"/>
        </w:rPr>
        <w:t xml:space="preserve">wskaźnik rentowności </w:t>
      </w:r>
      <w:proofErr w:type="gramStart"/>
      <w:r w:rsidRPr="00181ADD">
        <w:rPr>
          <w:rFonts w:ascii="Times New Roman" w:hAnsi="Times New Roman" w:cs="Times New Roman"/>
          <w:sz w:val="24"/>
          <w:szCs w:val="24"/>
        </w:rPr>
        <w:t>aktywów jako</w:t>
      </w:r>
      <w:proofErr w:type="gramEnd"/>
      <w:r w:rsidRPr="00181ADD">
        <w:rPr>
          <w:rFonts w:ascii="Times New Roman" w:hAnsi="Times New Roman" w:cs="Times New Roman"/>
          <w:sz w:val="24"/>
          <w:szCs w:val="24"/>
        </w:rPr>
        <w:t xml:space="preserve"> relacja zysku netto (wyniku finansowego netto) do przeciętnego stanu aktywów; </w:t>
      </w:r>
    </w:p>
    <w:p w:rsidR="00181ADD" w:rsidRPr="00181ADD" w:rsidRDefault="00181ADD" w:rsidP="00181ADD">
      <w:pPr>
        <w:pStyle w:val="Akapitzlist"/>
        <w:numPr>
          <w:ilvl w:val="0"/>
          <w:numId w:val="29"/>
        </w:numPr>
        <w:spacing w:after="0" w:line="360" w:lineRule="auto"/>
        <w:ind w:left="709" w:hanging="283"/>
        <w:jc w:val="both"/>
        <w:rPr>
          <w:rFonts w:ascii="Times New Roman" w:hAnsi="Times New Roman" w:cs="Times New Roman"/>
          <w:sz w:val="24"/>
          <w:szCs w:val="24"/>
        </w:rPr>
      </w:pPr>
      <w:r w:rsidRPr="00181ADD">
        <w:rPr>
          <w:rFonts w:ascii="Times New Roman" w:hAnsi="Times New Roman" w:cs="Times New Roman"/>
          <w:sz w:val="24"/>
          <w:szCs w:val="24"/>
        </w:rPr>
        <w:t xml:space="preserve">wskaźnik rentowności </w:t>
      </w:r>
      <w:proofErr w:type="gramStart"/>
      <w:r w:rsidRPr="00181ADD">
        <w:rPr>
          <w:rFonts w:ascii="Times New Roman" w:hAnsi="Times New Roman" w:cs="Times New Roman"/>
          <w:sz w:val="24"/>
          <w:szCs w:val="24"/>
        </w:rPr>
        <w:t>kapitałów jako</w:t>
      </w:r>
      <w:proofErr w:type="gramEnd"/>
      <w:r w:rsidRPr="00181ADD">
        <w:rPr>
          <w:rFonts w:ascii="Times New Roman" w:hAnsi="Times New Roman" w:cs="Times New Roman"/>
          <w:sz w:val="24"/>
          <w:szCs w:val="24"/>
        </w:rPr>
        <w:t xml:space="preserve"> relacji zysku netto (wyniku finansowego netto) do przeciętnego stanu kapitału własnego. </w:t>
      </w:r>
    </w:p>
    <w:p w:rsidR="00181ADD" w:rsidRPr="00181ADD" w:rsidRDefault="00181ADD" w:rsidP="00181ADD">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Dopełnieniem wskaźników rentowności banku są następujące wskaźniki [</w:t>
      </w:r>
      <w:proofErr w:type="spellStart"/>
      <w:r w:rsidRPr="00181ADD">
        <w:rPr>
          <w:rFonts w:ascii="Times New Roman" w:hAnsi="Times New Roman" w:cs="Times New Roman"/>
          <w:sz w:val="24"/>
          <w:szCs w:val="24"/>
        </w:rPr>
        <w:t>Gąsiorkiewicz</w:t>
      </w:r>
      <w:proofErr w:type="spellEnd"/>
      <w:r w:rsidRPr="00181ADD">
        <w:rPr>
          <w:rFonts w:ascii="Times New Roman" w:hAnsi="Times New Roman" w:cs="Times New Roman"/>
          <w:sz w:val="24"/>
          <w:szCs w:val="24"/>
        </w:rPr>
        <w:t>, 2015]:</w:t>
      </w:r>
    </w:p>
    <w:p w:rsidR="00181ADD" w:rsidRPr="00181ADD" w:rsidRDefault="00181ADD" w:rsidP="00181ADD">
      <w:pPr>
        <w:pStyle w:val="Akapitzlist"/>
        <w:numPr>
          <w:ilvl w:val="0"/>
          <w:numId w:val="31"/>
        </w:numPr>
        <w:tabs>
          <w:tab w:val="left" w:pos="709"/>
        </w:tabs>
        <w:spacing w:after="0" w:line="360" w:lineRule="auto"/>
        <w:ind w:left="709" w:hanging="283"/>
        <w:jc w:val="both"/>
        <w:rPr>
          <w:rFonts w:ascii="Times New Roman" w:hAnsi="Times New Roman" w:cs="Times New Roman"/>
          <w:sz w:val="24"/>
          <w:szCs w:val="24"/>
        </w:rPr>
      </w:pPr>
      <w:proofErr w:type="gramStart"/>
      <w:r w:rsidRPr="00181ADD">
        <w:rPr>
          <w:rFonts w:ascii="Times New Roman" w:hAnsi="Times New Roman" w:cs="Times New Roman"/>
          <w:sz w:val="24"/>
          <w:szCs w:val="24"/>
        </w:rPr>
        <w:t>wskaźnik</w:t>
      </w:r>
      <w:proofErr w:type="gramEnd"/>
      <w:r w:rsidRPr="00181ADD">
        <w:rPr>
          <w:rFonts w:ascii="Times New Roman" w:hAnsi="Times New Roman" w:cs="Times New Roman"/>
          <w:sz w:val="24"/>
          <w:szCs w:val="24"/>
        </w:rPr>
        <w:t xml:space="preserve"> dochodu netto z odsetek do przeciętnego stanu aktywów,</w:t>
      </w:r>
    </w:p>
    <w:p w:rsidR="00181ADD" w:rsidRPr="00181ADD" w:rsidRDefault="00181ADD" w:rsidP="00181ADD">
      <w:pPr>
        <w:pStyle w:val="Akapitzlist"/>
        <w:numPr>
          <w:ilvl w:val="0"/>
          <w:numId w:val="31"/>
        </w:numPr>
        <w:tabs>
          <w:tab w:val="left" w:pos="709"/>
        </w:tabs>
        <w:spacing w:after="0" w:line="360" w:lineRule="auto"/>
        <w:ind w:left="709" w:hanging="283"/>
        <w:jc w:val="both"/>
        <w:rPr>
          <w:rFonts w:ascii="Times New Roman" w:hAnsi="Times New Roman" w:cs="Times New Roman"/>
          <w:sz w:val="24"/>
          <w:szCs w:val="24"/>
        </w:rPr>
      </w:pPr>
      <w:proofErr w:type="gramStart"/>
      <w:r w:rsidRPr="00181ADD">
        <w:rPr>
          <w:rFonts w:ascii="Times New Roman" w:hAnsi="Times New Roman" w:cs="Times New Roman"/>
          <w:sz w:val="24"/>
          <w:szCs w:val="24"/>
        </w:rPr>
        <w:t>wskaźnik</w:t>
      </w:r>
      <w:proofErr w:type="gramEnd"/>
      <w:r w:rsidRPr="00181ADD">
        <w:rPr>
          <w:rFonts w:ascii="Times New Roman" w:hAnsi="Times New Roman" w:cs="Times New Roman"/>
          <w:sz w:val="24"/>
          <w:szCs w:val="24"/>
        </w:rPr>
        <w:t xml:space="preserve"> dochodów poza odsetkowych do przeciętnego stanu aktywów,</w:t>
      </w:r>
    </w:p>
    <w:p w:rsidR="00181ADD" w:rsidRPr="00181ADD" w:rsidRDefault="00181ADD" w:rsidP="00181ADD">
      <w:pPr>
        <w:pStyle w:val="Akapitzlist"/>
        <w:numPr>
          <w:ilvl w:val="0"/>
          <w:numId w:val="31"/>
        </w:numPr>
        <w:tabs>
          <w:tab w:val="left" w:pos="709"/>
        </w:tabs>
        <w:spacing w:after="0" w:line="360" w:lineRule="auto"/>
        <w:ind w:left="709" w:hanging="283"/>
        <w:jc w:val="both"/>
        <w:rPr>
          <w:rFonts w:ascii="Times New Roman" w:hAnsi="Times New Roman" w:cs="Times New Roman"/>
          <w:sz w:val="24"/>
          <w:szCs w:val="24"/>
        </w:rPr>
      </w:pPr>
      <w:proofErr w:type="gramStart"/>
      <w:r w:rsidRPr="00181ADD">
        <w:rPr>
          <w:rFonts w:ascii="Times New Roman" w:hAnsi="Times New Roman" w:cs="Times New Roman"/>
          <w:sz w:val="24"/>
          <w:szCs w:val="24"/>
        </w:rPr>
        <w:t>wskaźnik</w:t>
      </w:r>
      <w:proofErr w:type="gramEnd"/>
      <w:r w:rsidRPr="00181ADD">
        <w:rPr>
          <w:rFonts w:ascii="Times New Roman" w:hAnsi="Times New Roman" w:cs="Times New Roman"/>
          <w:sz w:val="24"/>
          <w:szCs w:val="24"/>
        </w:rPr>
        <w:t xml:space="preserve"> kosztów ogółem do przeciętnego stanu aktywów,</w:t>
      </w:r>
    </w:p>
    <w:p w:rsidR="00181ADD" w:rsidRPr="00181ADD" w:rsidRDefault="00181ADD" w:rsidP="00181ADD">
      <w:pPr>
        <w:pStyle w:val="Akapitzlist"/>
        <w:numPr>
          <w:ilvl w:val="0"/>
          <w:numId w:val="31"/>
        </w:numPr>
        <w:tabs>
          <w:tab w:val="left" w:pos="709"/>
        </w:tabs>
        <w:spacing w:after="0" w:line="360" w:lineRule="auto"/>
        <w:ind w:left="709" w:hanging="283"/>
        <w:jc w:val="both"/>
        <w:rPr>
          <w:rFonts w:ascii="Times New Roman" w:hAnsi="Times New Roman" w:cs="Times New Roman"/>
          <w:sz w:val="24"/>
          <w:szCs w:val="24"/>
        </w:rPr>
      </w:pPr>
      <w:r w:rsidRPr="00181ADD">
        <w:rPr>
          <w:rFonts w:ascii="Times New Roman" w:hAnsi="Times New Roman" w:cs="Times New Roman"/>
          <w:sz w:val="24"/>
          <w:szCs w:val="24"/>
        </w:rPr>
        <w:t xml:space="preserve">wskaźnik rentowności </w:t>
      </w:r>
      <w:proofErr w:type="gramStart"/>
      <w:r w:rsidRPr="00181ADD">
        <w:rPr>
          <w:rFonts w:ascii="Times New Roman" w:hAnsi="Times New Roman" w:cs="Times New Roman"/>
          <w:sz w:val="24"/>
          <w:szCs w:val="24"/>
        </w:rPr>
        <w:t>banku jako</w:t>
      </w:r>
      <w:proofErr w:type="gramEnd"/>
      <w:r w:rsidRPr="00181ADD">
        <w:rPr>
          <w:rFonts w:ascii="Times New Roman" w:hAnsi="Times New Roman" w:cs="Times New Roman"/>
          <w:sz w:val="24"/>
          <w:szCs w:val="24"/>
        </w:rPr>
        <w:t xml:space="preserve"> relacja zysku netto do kosztów działalności banku</w:t>
      </w:r>
    </w:p>
    <w:p w:rsidR="00181ADD" w:rsidRPr="00181ADD" w:rsidRDefault="00181ADD" w:rsidP="00181ADD">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 xml:space="preserve">Nawiązując do wskaźników rentowności kapitałów, można stwierdzić, że mogą być one uzupełnione wskaźnikami rentowności jednostkowych udziałów kapitałowych w akcje spółek notowanych na giełdzie, które mogą być wykorzystywane do podejmowania decyzji inwestowania w akcje na rynku kapitałowym. Wskaźniki te, określane mianem wskaźników rynku kapitałowego, dzieli się na dwie grupy: </w:t>
      </w:r>
    </w:p>
    <w:p w:rsidR="00181ADD" w:rsidRPr="00181ADD" w:rsidRDefault="00181ADD" w:rsidP="00181ADD">
      <w:pPr>
        <w:pStyle w:val="Akapitzlist"/>
        <w:numPr>
          <w:ilvl w:val="0"/>
          <w:numId w:val="30"/>
        </w:numPr>
        <w:spacing w:after="0" w:line="360" w:lineRule="auto"/>
        <w:ind w:left="426" w:hanging="294"/>
        <w:jc w:val="both"/>
        <w:rPr>
          <w:rFonts w:ascii="Times New Roman" w:hAnsi="Times New Roman" w:cs="Times New Roman"/>
          <w:sz w:val="24"/>
          <w:szCs w:val="24"/>
        </w:rPr>
      </w:pPr>
      <w:r w:rsidRPr="00181ADD">
        <w:rPr>
          <w:rFonts w:ascii="Times New Roman" w:hAnsi="Times New Roman" w:cs="Times New Roman"/>
          <w:sz w:val="24"/>
          <w:szCs w:val="24"/>
        </w:rPr>
        <w:t xml:space="preserve"> </w:t>
      </w:r>
      <w:proofErr w:type="gramStart"/>
      <w:r w:rsidRPr="00181ADD">
        <w:rPr>
          <w:rFonts w:ascii="Times New Roman" w:hAnsi="Times New Roman" w:cs="Times New Roman"/>
          <w:sz w:val="24"/>
          <w:szCs w:val="24"/>
        </w:rPr>
        <w:t>wskaźniki</w:t>
      </w:r>
      <w:proofErr w:type="gramEnd"/>
      <w:r w:rsidRPr="00181ADD">
        <w:rPr>
          <w:rFonts w:ascii="Times New Roman" w:hAnsi="Times New Roman" w:cs="Times New Roman"/>
          <w:sz w:val="24"/>
          <w:szCs w:val="24"/>
        </w:rPr>
        <w:t xml:space="preserve"> wewnętrzne ustalane na podstawie danych zgromadzonych wewnątrz spółki, do których należą: wskaźnik zyskowności jednej akcji, wskaźnik dywidendy jednostkowej, wskaźnik stopy wypłat dywidendy, </w:t>
      </w:r>
    </w:p>
    <w:p w:rsidR="00181ADD" w:rsidRPr="00181ADD" w:rsidRDefault="00181ADD" w:rsidP="00181ADD">
      <w:pPr>
        <w:pStyle w:val="Akapitzlist"/>
        <w:numPr>
          <w:ilvl w:val="0"/>
          <w:numId w:val="30"/>
        </w:numPr>
        <w:spacing w:after="0" w:line="360" w:lineRule="auto"/>
        <w:ind w:left="426" w:hanging="294"/>
        <w:jc w:val="both"/>
        <w:rPr>
          <w:rFonts w:ascii="Times New Roman" w:hAnsi="Times New Roman" w:cs="Times New Roman"/>
          <w:sz w:val="24"/>
          <w:szCs w:val="24"/>
        </w:rPr>
      </w:pPr>
      <w:proofErr w:type="gramStart"/>
      <w:r w:rsidRPr="00181ADD">
        <w:rPr>
          <w:rFonts w:ascii="Times New Roman" w:hAnsi="Times New Roman" w:cs="Times New Roman"/>
          <w:sz w:val="24"/>
          <w:szCs w:val="24"/>
        </w:rPr>
        <w:t>wskaźniki</w:t>
      </w:r>
      <w:proofErr w:type="gramEnd"/>
      <w:r w:rsidRPr="00181ADD">
        <w:rPr>
          <w:rFonts w:ascii="Times New Roman" w:hAnsi="Times New Roman" w:cs="Times New Roman"/>
          <w:sz w:val="24"/>
          <w:szCs w:val="24"/>
        </w:rPr>
        <w:t xml:space="preserve"> zewnętrzne, do których należą: wskaźnik ceny rynkowej a akcji i wskaźnik stopy dywidendy (por. [Gabrusewicz 2002; Nowak 2005]). </w:t>
      </w:r>
    </w:p>
    <w:p w:rsidR="00181ADD" w:rsidRPr="00181ADD" w:rsidRDefault="00181ADD" w:rsidP="00181ADD">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Przedstawione wcześniej trzy rodzaje wskaźników stanowią tradycyjne miary rentowności. Do oceny rentowności w obszarze controllingu bankowego, badającego nie tylko stan aktualny, lecz także zmiany stanu w porównaniu z przeszłością oraz wskazującego przyszłe kierunki rozwoju i jego ograniczenia, należą dodatkowo następujące grupy wskaźników [Kulińska-</w:t>
      </w:r>
      <w:proofErr w:type="spellStart"/>
      <w:r w:rsidRPr="00181ADD">
        <w:rPr>
          <w:rFonts w:ascii="Times New Roman" w:hAnsi="Times New Roman" w:cs="Times New Roman"/>
          <w:sz w:val="24"/>
          <w:szCs w:val="24"/>
        </w:rPr>
        <w:t>Sadłocha</w:t>
      </w:r>
      <w:proofErr w:type="spellEnd"/>
      <w:r w:rsidRPr="00181ADD">
        <w:rPr>
          <w:rFonts w:ascii="Times New Roman" w:hAnsi="Times New Roman" w:cs="Times New Roman"/>
          <w:sz w:val="24"/>
          <w:szCs w:val="24"/>
        </w:rPr>
        <w:t xml:space="preserve"> 2003]: </w:t>
      </w:r>
    </w:p>
    <w:p w:rsidR="00181ADD" w:rsidRPr="00181ADD" w:rsidRDefault="00181ADD" w:rsidP="00181ADD">
      <w:pPr>
        <w:pStyle w:val="Akapitzlist"/>
        <w:numPr>
          <w:ilvl w:val="0"/>
          <w:numId w:val="32"/>
        </w:numPr>
        <w:spacing w:after="0" w:line="360" w:lineRule="auto"/>
        <w:ind w:left="709" w:hanging="284"/>
        <w:jc w:val="both"/>
        <w:rPr>
          <w:rFonts w:ascii="Times New Roman" w:hAnsi="Times New Roman" w:cs="Times New Roman"/>
          <w:sz w:val="24"/>
          <w:szCs w:val="24"/>
        </w:rPr>
      </w:pPr>
      <w:proofErr w:type="gramStart"/>
      <w:r w:rsidRPr="00181ADD">
        <w:rPr>
          <w:rFonts w:ascii="Times New Roman" w:hAnsi="Times New Roman" w:cs="Times New Roman"/>
          <w:sz w:val="24"/>
          <w:szCs w:val="24"/>
        </w:rPr>
        <w:t>wskaźniki</w:t>
      </w:r>
      <w:proofErr w:type="gramEnd"/>
      <w:r w:rsidRPr="00181ADD">
        <w:rPr>
          <w:rFonts w:ascii="Times New Roman" w:hAnsi="Times New Roman" w:cs="Times New Roman"/>
          <w:sz w:val="24"/>
          <w:szCs w:val="24"/>
        </w:rPr>
        <w:t xml:space="preserve"> uwzgledniające koszt kapitału własnego, tj. wartość dodana dla akcjonariuszy i ekonomiczna wartość dodana, </w:t>
      </w:r>
    </w:p>
    <w:p w:rsidR="00181ADD" w:rsidRPr="00181ADD" w:rsidRDefault="00181ADD" w:rsidP="00181ADD">
      <w:pPr>
        <w:pStyle w:val="Akapitzlist"/>
        <w:numPr>
          <w:ilvl w:val="0"/>
          <w:numId w:val="32"/>
        </w:numPr>
        <w:spacing w:after="0" w:line="360" w:lineRule="auto"/>
        <w:ind w:left="709" w:hanging="284"/>
        <w:jc w:val="both"/>
        <w:rPr>
          <w:rFonts w:ascii="Times New Roman" w:hAnsi="Times New Roman" w:cs="Times New Roman"/>
          <w:sz w:val="24"/>
          <w:szCs w:val="24"/>
        </w:rPr>
      </w:pPr>
      <w:proofErr w:type="gramStart"/>
      <w:r w:rsidRPr="00181ADD">
        <w:rPr>
          <w:rFonts w:ascii="Times New Roman" w:hAnsi="Times New Roman" w:cs="Times New Roman"/>
          <w:sz w:val="24"/>
          <w:szCs w:val="24"/>
        </w:rPr>
        <w:t>wskaźniki</w:t>
      </w:r>
      <w:proofErr w:type="gramEnd"/>
      <w:r w:rsidRPr="00181ADD">
        <w:rPr>
          <w:rFonts w:ascii="Times New Roman" w:hAnsi="Times New Roman" w:cs="Times New Roman"/>
          <w:sz w:val="24"/>
          <w:szCs w:val="24"/>
        </w:rPr>
        <w:t xml:space="preserve"> uwzgledniające ryzyko w działalności bankowej, do których należy m. in. wskaźnik rentowności kapitału skorygowany o ryzyko</w:t>
      </w:r>
      <w:r>
        <w:rPr>
          <w:rFonts w:ascii="Times New Roman" w:hAnsi="Times New Roman" w:cs="Times New Roman"/>
          <w:sz w:val="24"/>
          <w:szCs w:val="24"/>
        </w:rPr>
        <w:t xml:space="preserve"> (RORAC)</w:t>
      </w:r>
      <w:r w:rsidRPr="00181ADD">
        <w:rPr>
          <w:rFonts w:ascii="Times New Roman" w:hAnsi="Times New Roman" w:cs="Times New Roman"/>
          <w:sz w:val="24"/>
          <w:szCs w:val="24"/>
        </w:rPr>
        <w:t xml:space="preserve">. </w:t>
      </w:r>
    </w:p>
    <w:p w:rsidR="00181ADD" w:rsidRPr="00181ADD" w:rsidRDefault="00181ADD" w:rsidP="006F49A3">
      <w:pPr>
        <w:pStyle w:val="Styl1"/>
      </w:pPr>
      <w:r w:rsidRPr="00181ADD">
        <w:lastRenderedPageBreak/>
        <w:t>Ocena rentowności polskiego sekto</w:t>
      </w:r>
      <w:r w:rsidR="00A77883">
        <w:t>ra bankowego w latach 2007-15</w:t>
      </w:r>
    </w:p>
    <w:p w:rsidR="00181ADD" w:rsidRDefault="00181ADD" w:rsidP="00181ADD">
      <w:pPr>
        <w:spacing w:after="0" w:line="360" w:lineRule="auto"/>
        <w:ind w:firstLine="425"/>
        <w:jc w:val="both"/>
        <w:rPr>
          <w:rFonts w:ascii="Times New Roman" w:hAnsi="Times New Roman" w:cs="Times New Roman"/>
          <w:sz w:val="24"/>
          <w:szCs w:val="24"/>
        </w:rPr>
      </w:pPr>
      <w:r w:rsidRPr="00181ADD">
        <w:rPr>
          <w:rFonts w:ascii="Times New Roman" w:hAnsi="Times New Roman" w:cs="Times New Roman"/>
          <w:sz w:val="24"/>
          <w:szCs w:val="24"/>
        </w:rPr>
        <w:t xml:space="preserve">Po znacznym spowolnieniu sektora bankowego w Polsce - wynikającym z ogólnoświatowego kryzysu finansowego, który uwidocznił się w danych finansowych za rok 2009, kolejne lata tworzą korzystny obraz w zakresie rentowności polskich banków. Wynik finansowy netto okazał się w roku 2014 rekordowy w historii działania sektora bankowego i wyniósł 16224 mln zł i generalnie (poza symbolicznymi spadkami w 2012 r. o 0,1% </w:t>
      </w:r>
      <w:proofErr w:type="gramStart"/>
      <w:r w:rsidRPr="00181ADD">
        <w:rPr>
          <w:rFonts w:ascii="Times New Roman" w:hAnsi="Times New Roman" w:cs="Times New Roman"/>
          <w:sz w:val="24"/>
          <w:szCs w:val="24"/>
        </w:rPr>
        <w:t>i  o</w:t>
      </w:r>
      <w:proofErr w:type="gramEnd"/>
      <w:r w:rsidRPr="00181ADD">
        <w:rPr>
          <w:rFonts w:ascii="Times New Roman" w:hAnsi="Times New Roman" w:cs="Times New Roman"/>
          <w:sz w:val="24"/>
          <w:szCs w:val="24"/>
        </w:rPr>
        <w:t xml:space="preserve"> 1.89% </w:t>
      </w:r>
      <w:proofErr w:type="gramStart"/>
      <w:r w:rsidRPr="00181ADD">
        <w:rPr>
          <w:rFonts w:ascii="Times New Roman" w:hAnsi="Times New Roman" w:cs="Times New Roman"/>
          <w:sz w:val="24"/>
          <w:szCs w:val="24"/>
        </w:rPr>
        <w:t>w</w:t>
      </w:r>
      <w:proofErr w:type="gramEnd"/>
      <w:r w:rsidRPr="00181ADD">
        <w:rPr>
          <w:rFonts w:ascii="Times New Roman" w:hAnsi="Times New Roman" w:cs="Times New Roman"/>
          <w:sz w:val="24"/>
          <w:szCs w:val="24"/>
        </w:rPr>
        <w:t xml:space="preserve"> roku 2013) od 2010 roku wzrastał pomimo istotnego wpływu czynników niestabilnych. Spadki te spowodowane były niższą rentownością oddziałów instytucji kredytowych o </w:t>
      </w:r>
      <w:proofErr w:type="gramStart"/>
      <w:r w:rsidRPr="00181ADD">
        <w:rPr>
          <w:rFonts w:ascii="Times New Roman" w:hAnsi="Times New Roman" w:cs="Times New Roman"/>
          <w:sz w:val="24"/>
          <w:szCs w:val="24"/>
        </w:rPr>
        <w:t>ponad 1/3  w</w:t>
      </w:r>
      <w:proofErr w:type="gramEnd"/>
      <w:r w:rsidRPr="00181ADD">
        <w:rPr>
          <w:rFonts w:ascii="Times New Roman" w:hAnsi="Times New Roman" w:cs="Times New Roman"/>
          <w:sz w:val="24"/>
          <w:szCs w:val="24"/>
        </w:rPr>
        <w:t xml:space="preserve"> 2012 roku, natomiast wyniki finansowe banków komercyjnych  i banków spółdzielczych rosły z roku na rok. Na poprawę wyniku finansowego sektora bankowego w latach 2010-2014 miał wpływ znaczny wzrost wyniku odsetkowego, szczególnie w roku 2011 (o 4 080 mld zł; 13,2%) i 2014 roku (o 2 479 mld zł; o 7,1%). Poprawa wyniku finansowego netto sektora bankowego w 2014 roku nastąpiła dzięki zwiększeniu wyniku działalności bankowej (o 2232 mln zł; o 4,0 %), co wynikało głównie ze znacznego wzrostu wyniku odsetkowego. </w:t>
      </w:r>
    </w:p>
    <w:p w:rsidR="001E3CC7" w:rsidRPr="00181ADD" w:rsidRDefault="001E3CC7" w:rsidP="007D6D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Niestety w 2015</w:t>
      </w:r>
      <w:r w:rsidR="007D6D0E">
        <w:rPr>
          <w:rFonts w:ascii="Times New Roman" w:hAnsi="Times New Roman" w:cs="Times New Roman"/>
          <w:sz w:val="24"/>
          <w:szCs w:val="24"/>
        </w:rPr>
        <w:t xml:space="preserve"> r.</w:t>
      </w:r>
      <w:r>
        <w:rPr>
          <w:rFonts w:ascii="Times New Roman" w:hAnsi="Times New Roman" w:cs="Times New Roman"/>
          <w:sz w:val="24"/>
          <w:szCs w:val="24"/>
        </w:rPr>
        <w:t xml:space="preserve"> nastąpiło załamanie wyniku finansowego</w:t>
      </w:r>
      <w:r w:rsidRPr="001E3CC7">
        <w:rPr>
          <w:rFonts w:ascii="Times New Roman" w:hAnsi="Times New Roman" w:cs="Times New Roman"/>
          <w:sz w:val="24"/>
          <w:szCs w:val="24"/>
        </w:rPr>
        <w:t xml:space="preserve"> netto sektora bankowego</w:t>
      </w:r>
      <w:r>
        <w:rPr>
          <w:rFonts w:ascii="Times New Roman" w:hAnsi="Times New Roman" w:cs="Times New Roman"/>
          <w:sz w:val="24"/>
          <w:szCs w:val="24"/>
        </w:rPr>
        <w:t>, który</w:t>
      </w:r>
      <w:r w:rsidRPr="001E3CC7">
        <w:rPr>
          <w:rFonts w:ascii="Times New Roman" w:hAnsi="Times New Roman" w:cs="Times New Roman"/>
          <w:sz w:val="24"/>
          <w:szCs w:val="24"/>
        </w:rPr>
        <w:t xml:space="preserve"> był o 4 415 mln zł, tj. aż o 27,8% niższy od tego osiągniętego w 2014 r. </w:t>
      </w:r>
      <w:r w:rsidR="007D6D0E">
        <w:rPr>
          <w:rFonts w:ascii="Times New Roman" w:hAnsi="Times New Roman" w:cs="Times New Roman"/>
          <w:sz w:val="24"/>
          <w:szCs w:val="24"/>
        </w:rPr>
        <w:t xml:space="preserve">Jedną z przyczyn </w:t>
      </w:r>
      <w:proofErr w:type="gramStart"/>
      <w:r w:rsidR="007D6D0E">
        <w:rPr>
          <w:rFonts w:ascii="Times New Roman" w:hAnsi="Times New Roman" w:cs="Times New Roman"/>
          <w:sz w:val="24"/>
          <w:szCs w:val="24"/>
        </w:rPr>
        <w:t>była  presja</w:t>
      </w:r>
      <w:proofErr w:type="gramEnd"/>
      <w:r w:rsidRPr="001E3CC7">
        <w:rPr>
          <w:rFonts w:ascii="Times New Roman" w:hAnsi="Times New Roman" w:cs="Times New Roman"/>
          <w:sz w:val="24"/>
          <w:szCs w:val="24"/>
        </w:rPr>
        <w:t xml:space="preserve"> </w:t>
      </w:r>
      <w:r w:rsidR="007D6D0E">
        <w:rPr>
          <w:rFonts w:ascii="Times New Roman" w:hAnsi="Times New Roman" w:cs="Times New Roman"/>
          <w:sz w:val="24"/>
          <w:szCs w:val="24"/>
        </w:rPr>
        <w:t>na redukcję</w:t>
      </w:r>
      <w:r w:rsidRPr="001E3CC7">
        <w:rPr>
          <w:rFonts w:ascii="Times New Roman" w:hAnsi="Times New Roman" w:cs="Times New Roman"/>
          <w:sz w:val="24"/>
          <w:szCs w:val="24"/>
        </w:rPr>
        <w:t xml:space="preserve"> </w:t>
      </w:r>
      <w:r w:rsidR="007D6D0E">
        <w:rPr>
          <w:rFonts w:ascii="Times New Roman" w:hAnsi="Times New Roman" w:cs="Times New Roman"/>
          <w:sz w:val="24"/>
          <w:szCs w:val="24"/>
        </w:rPr>
        <w:t>stóp procentowych NBP, obniżenie</w:t>
      </w:r>
      <w:r w:rsidRPr="001E3CC7">
        <w:rPr>
          <w:rFonts w:ascii="Times New Roman" w:hAnsi="Times New Roman" w:cs="Times New Roman"/>
          <w:sz w:val="24"/>
          <w:szCs w:val="24"/>
        </w:rPr>
        <w:t xml:space="preserve"> stawek opłaty </w:t>
      </w:r>
      <w:proofErr w:type="spellStart"/>
      <w:r w:rsidRPr="001E3CC7">
        <w:rPr>
          <w:rFonts w:ascii="Times New Roman" w:hAnsi="Times New Roman" w:cs="Times New Roman"/>
          <w:sz w:val="24"/>
          <w:szCs w:val="24"/>
        </w:rPr>
        <w:t>interchange</w:t>
      </w:r>
      <w:proofErr w:type="spellEnd"/>
      <w:r w:rsidRPr="001E3CC7">
        <w:rPr>
          <w:rFonts w:ascii="Times New Roman" w:hAnsi="Times New Roman" w:cs="Times New Roman"/>
          <w:sz w:val="24"/>
          <w:szCs w:val="24"/>
        </w:rPr>
        <w:t xml:space="preserve">, </w:t>
      </w:r>
      <w:r w:rsidR="007D6D0E">
        <w:rPr>
          <w:rFonts w:ascii="Times New Roman" w:hAnsi="Times New Roman" w:cs="Times New Roman"/>
          <w:sz w:val="24"/>
          <w:szCs w:val="24"/>
        </w:rPr>
        <w:t>a także propozycje</w:t>
      </w:r>
      <w:r w:rsidRPr="001E3CC7">
        <w:rPr>
          <w:rFonts w:ascii="Times New Roman" w:hAnsi="Times New Roman" w:cs="Times New Roman"/>
          <w:sz w:val="24"/>
          <w:szCs w:val="24"/>
        </w:rPr>
        <w:t xml:space="preserve"> u</w:t>
      </w:r>
      <w:r w:rsidR="007D6D0E">
        <w:rPr>
          <w:rFonts w:ascii="Times New Roman" w:hAnsi="Times New Roman" w:cs="Times New Roman"/>
          <w:sz w:val="24"/>
          <w:szCs w:val="24"/>
        </w:rPr>
        <w:t>staw</w:t>
      </w:r>
      <w:r w:rsidRPr="001E3CC7">
        <w:rPr>
          <w:rFonts w:ascii="Times New Roman" w:hAnsi="Times New Roman" w:cs="Times New Roman"/>
          <w:sz w:val="24"/>
          <w:szCs w:val="24"/>
        </w:rPr>
        <w:t xml:space="preserve"> o wsparciu kredytobiorców znajdujących się w trudnej sytuacji finansowej, którzy zaciągnęli kredyt mieszkaniowy</w:t>
      </w:r>
      <w:r w:rsidR="007D6D0E">
        <w:rPr>
          <w:rFonts w:ascii="Times New Roman" w:hAnsi="Times New Roman" w:cs="Times New Roman"/>
          <w:sz w:val="24"/>
          <w:szCs w:val="24"/>
        </w:rPr>
        <w:t xml:space="preserve"> zwłaszcza we frankach szwajcarskich</w:t>
      </w:r>
      <w:r w:rsidRPr="001E3CC7">
        <w:rPr>
          <w:rFonts w:ascii="Times New Roman" w:hAnsi="Times New Roman" w:cs="Times New Roman"/>
          <w:sz w:val="24"/>
          <w:szCs w:val="24"/>
        </w:rPr>
        <w:t>. Jednak</w:t>
      </w:r>
      <w:r w:rsidR="007D6D0E">
        <w:rPr>
          <w:rFonts w:ascii="Times New Roman" w:hAnsi="Times New Roman" w:cs="Times New Roman"/>
          <w:sz w:val="24"/>
          <w:szCs w:val="24"/>
        </w:rPr>
        <w:t>że</w:t>
      </w:r>
      <w:r w:rsidRPr="001E3CC7">
        <w:rPr>
          <w:rFonts w:ascii="Times New Roman" w:hAnsi="Times New Roman" w:cs="Times New Roman"/>
          <w:sz w:val="24"/>
          <w:szCs w:val="24"/>
        </w:rPr>
        <w:t xml:space="preserve"> kluczowe znaczenie </w:t>
      </w:r>
      <w:r w:rsidR="007D6D0E">
        <w:rPr>
          <w:rFonts w:ascii="Times New Roman" w:hAnsi="Times New Roman" w:cs="Times New Roman"/>
          <w:sz w:val="24"/>
          <w:szCs w:val="24"/>
        </w:rPr>
        <w:t xml:space="preserve">dla tak znacznego spadku wyniku finansowego </w:t>
      </w:r>
      <w:r w:rsidRPr="001E3CC7">
        <w:rPr>
          <w:rFonts w:ascii="Times New Roman" w:hAnsi="Times New Roman" w:cs="Times New Roman"/>
          <w:sz w:val="24"/>
          <w:szCs w:val="24"/>
        </w:rPr>
        <w:t xml:space="preserve">miało zawieszenie przez KNF w listopadzie działalności największego banku spółdzielczego (Spółdzielczego Banku Rzemiosła i </w:t>
      </w:r>
      <w:r w:rsidR="007D6D0E">
        <w:rPr>
          <w:rFonts w:ascii="Times New Roman" w:hAnsi="Times New Roman" w:cs="Times New Roman"/>
          <w:sz w:val="24"/>
          <w:szCs w:val="24"/>
        </w:rPr>
        <w:t>Rolnictwa w Wołominie</w:t>
      </w:r>
      <w:r w:rsidRPr="001E3CC7">
        <w:rPr>
          <w:rFonts w:ascii="Times New Roman" w:hAnsi="Times New Roman" w:cs="Times New Roman"/>
          <w:sz w:val="24"/>
          <w:szCs w:val="24"/>
        </w:rPr>
        <w:t>)</w:t>
      </w:r>
      <w:r w:rsidR="007D6D0E">
        <w:rPr>
          <w:rFonts w:ascii="Times New Roman" w:hAnsi="Times New Roman" w:cs="Times New Roman"/>
          <w:sz w:val="24"/>
          <w:szCs w:val="24"/>
        </w:rPr>
        <w:t xml:space="preserve"> i ogłoszenie jego</w:t>
      </w:r>
      <w:r w:rsidRPr="001E3CC7">
        <w:rPr>
          <w:rFonts w:ascii="Times New Roman" w:hAnsi="Times New Roman" w:cs="Times New Roman"/>
          <w:sz w:val="24"/>
          <w:szCs w:val="24"/>
        </w:rPr>
        <w:t xml:space="preserve"> upadłości</w:t>
      </w:r>
      <w:r w:rsidR="007D6D0E">
        <w:rPr>
          <w:rFonts w:ascii="Times New Roman" w:hAnsi="Times New Roman" w:cs="Times New Roman"/>
          <w:sz w:val="24"/>
          <w:szCs w:val="24"/>
        </w:rPr>
        <w:t xml:space="preserve"> </w:t>
      </w:r>
      <w:proofErr w:type="gramStart"/>
      <w:r w:rsidR="007D6D0E">
        <w:rPr>
          <w:rFonts w:ascii="Times New Roman" w:hAnsi="Times New Roman" w:cs="Times New Roman"/>
          <w:sz w:val="24"/>
          <w:szCs w:val="24"/>
        </w:rPr>
        <w:t xml:space="preserve">co </w:t>
      </w:r>
      <w:r w:rsidRPr="001E3CC7">
        <w:rPr>
          <w:rFonts w:ascii="Times New Roman" w:hAnsi="Times New Roman" w:cs="Times New Roman"/>
          <w:sz w:val="24"/>
          <w:szCs w:val="24"/>
        </w:rPr>
        <w:t xml:space="preserve"> spowodowało</w:t>
      </w:r>
      <w:proofErr w:type="gramEnd"/>
      <w:r w:rsidRPr="001E3CC7">
        <w:rPr>
          <w:rFonts w:ascii="Times New Roman" w:hAnsi="Times New Roman" w:cs="Times New Roman"/>
          <w:sz w:val="24"/>
          <w:szCs w:val="24"/>
        </w:rPr>
        <w:t xml:space="preserve"> konieczność wniesienia przez banki dodatkowych wpłat na rzecz BFG w związku z obowiązkiem wypłaty środków gwarant</w:t>
      </w:r>
      <w:r w:rsidR="007D6D0E">
        <w:rPr>
          <w:rFonts w:ascii="Times New Roman" w:hAnsi="Times New Roman" w:cs="Times New Roman"/>
          <w:sz w:val="24"/>
          <w:szCs w:val="24"/>
        </w:rPr>
        <w:t>owanych zgromadzonych w tym banku</w:t>
      </w:r>
      <w:r w:rsidRPr="001E3CC7">
        <w:rPr>
          <w:rFonts w:ascii="Times New Roman" w:hAnsi="Times New Roman" w:cs="Times New Roman"/>
          <w:sz w:val="24"/>
          <w:szCs w:val="24"/>
        </w:rPr>
        <w:t xml:space="preserve">.   </w:t>
      </w:r>
    </w:p>
    <w:p w:rsidR="00181ADD" w:rsidRPr="00181ADD" w:rsidRDefault="00181ADD" w:rsidP="00181ADD">
      <w:pPr>
        <w:spacing w:after="0" w:line="360" w:lineRule="auto"/>
        <w:ind w:firstLine="425"/>
        <w:jc w:val="both"/>
        <w:rPr>
          <w:rFonts w:ascii="Times New Roman" w:hAnsi="Times New Roman" w:cs="Times New Roman"/>
          <w:sz w:val="24"/>
          <w:szCs w:val="24"/>
        </w:rPr>
      </w:pPr>
      <w:r w:rsidRPr="00181ADD">
        <w:rPr>
          <w:rFonts w:ascii="Times New Roman" w:hAnsi="Times New Roman" w:cs="Times New Roman"/>
          <w:sz w:val="24"/>
          <w:szCs w:val="24"/>
        </w:rPr>
        <w:t>Udział kosztów w dochodach w polskim sektorze bankowym kształtuje się na poziomie ok. 50%, przy czym znacznie większy udział występuje w b</w:t>
      </w:r>
      <w:r w:rsidR="006E0E04">
        <w:rPr>
          <w:rFonts w:ascii="Times New Roman" w:hAnsi="Times New Roman" w:cs="Times New Roman"/>
          <w:sz w:val="24"/>
          <w:szCs w:val="24"/>
        </w:rPr>
        <w:t>ankowości spółdzielczej i przekracza</w:t>
      </w:r>
      <w:r w:rsidRPr="00181ADD">
        <w:rPr>
          <w:rFonts w:ascii="Times New Roman" w:hAnsi="Times New Roman" w:cs="Times New Roman"/>
          <w:sz w:val="24"/>
          <w:szCs w:val="24"/>
        </w:rPr>
        <w:t xml:space="preserve"> 70%. Pozostałe wskaźniki finansowe również korzystniej przedstawiają </w:t>
      </w:r>
      <w:r w:rsidR="006E0E04">
        <w:rPr>
          <w:rFonts w:ascii="Times New Roman" w:hAnsi="Times New Roman" w:cs="Times New Roman"/>
          <w:sz w:val="24"/>
          <w:szCs w:val="24"/>
        </w:rPr>
        <w:t>się dla banków komercyjnych</w:t>
      </w:r>
      <w:r w:rsidRPr="00181ADD">
        <w:rPr>
          <w:rFonts w:ascii="Times New Roman" w:hAnsi="Times New Roman" w:cs="Times New Roman"/>
          <w:sz w:val="24"/>
          <w:szCs w:val="24"/>
        </w:rPr>
        <w:t xml:space="preserve">. I tak wskaźnik ROE </w:t>
      </w:r>
      <w:r w:rsidR="007A4B25">
        <w:rPr>
          <w:rFonts w:ascii="Times New Roman" w:hAnsi="Times New Roman" w:cs="Times New Roman"/>
          <w:sz w:val="24"/>
          <w:szCs w:val="24"/>
        </w:rPr>
        <w:t xml:space="preserve">a także ROA </w:t>
      </w:r>
      <w:r w:rsidRPr="00181ADD">
        <w:rPr>
          <w:rFonts w:ascii="Times New Roman" w:hAnsi="Times New Roman" w:cs="Times New Roman"/>
          <w:sz w:val="24"/>
          <w:szCs w:val="24"/>
        </w:rPr>
        <w:t xml:space="preserve">dla banków </w:t>
      </w:r>
      <w:r w:rsidR="006E0E04">
        <w:rPr>
          <w:rFonts w:ascii="Times New Roman" w:hAnsi="Times New Roman" w:cs="Times New Roman"/>
          <w:sz w:val="24"/>
          <w:szCs w:val="24"/>
        </w:rPr>
        <w:t>komercyjnych jest dodatni</w:t>
      </w:r>
      <w:r w:rsidR="00791240">
        <w:rPr>
          <w:rFonts w:ascii="Times New Roman" w:hAnsi="Times New Roman" w:cs="Times New Roman"/>
          <w:sz w:val="24"/>
          <w:szCs w:val="24"/>
        </w:rPr>
        <w:t xml:space="preserve"> </w:t>
      </w:r>
      <w:r w:rsidR="006E0E04">
        <w:rPr>
          <w:rFonts w:ascii="Times New Roman" w:hAnsi="Times New Roman" w:cs="Times New Roman"/>
          <w:sz w:val="24"/>
          <w:szCs w:val="24"/>
        </w:rPr>
        <w:t xml:space="preserve">podczas gdy w bankach </w:t>
      </w:r>
      <w:proofErr w:type="gramStart"/>
      <w:r w:rsidR="006E0E04">
        <w:rPr>
          <w:rFonts w:ascii="Times New Roman" w:hAnsi="Times New Roman" w:cs="Times New Roman"/>
          <w:sz w:val="24"/>
          <w:szCs w:val="24"/>
        </w:rPr>
        <w:t xml:space="preserve">spółdzielczych </w:t>
      </w:r>
      <w:r w:rsidR="007A4B25">
        <w:rPr>
          <w:rFonts w:ascii="Times New Roman" w:hAnsi="Times New Roman" w:cs="Times New Roman"/>
          <w:sz w:val="24"/>
          <w:szCs w:val="24"/>
        </w:rPr>
        <w:t xml:space="preserve"> oba</w:t>
      </w:r>
      <w:proofErr w:type="gramEnd"/>
      <w:r w:rsidR="007A4B25">
        <w:rPr>
          <w:rFonts w:ascii="Times New Roman" w:hAnsi="Times New Roman" w:cs="Times New Roman"/>
          <w:sz w:val="24"/>
          <w:szCs w:val="24"/>
        </w:rPr>
        <w:t xml:space="preserve"> wskaźniki są ujemne w 2015 r. </w:t>
      </w:r>
      <w:r w:rsidR="00791240" w:rsidRPr="00181ADD">
        <w:rPr>
          <w:rFonts w:ascii="Times New Roman" w:hAnsi="Times New Roman" w:cs="Times New Roman"/>
          <w:sz w:val="24"/>
          <w:szCs w:val="24"/>
        </w:rPr>
        <w:t>niż</w:t>
      </w:r>
      <w:r w:rsidRPr="00181ADD">
        <w:rPr>
          <w:rFonts w:ascii="Times New Roman" w:hAnsi="Times New Roman" w:cs="Times New Roman"/>
          <w:sz w:val="24"/>
          <w:szCs w:val="24"/>
        </w:rPr>
        <w:t xml:space="preserve"> dla banków spółdzielczych. Zy</w:t>
      </w:r>
      <w:r w:rsidR="007A4B25">
        <w:rPr>
          <w:rFonts w:ascii="Times New Roman" w:hAnsi="Times New Roman" w:cs="Times New Roman"/>
          <w:sz w:val="24"/>
          <w:szCs w:val="24"/>
        </w:rPr>
        <w:t>sk na 1 zatrudnionego w roku 2015 jest ujemny w bankach spółdzielczych a we wcześniejszych latach był zdecydowanie niższy niż w bankach komercyjnych.</w:t>
      </w:r>
    </w:p>
    <w:p w:rsidR="00181ADD" w:rsidRPr="0038566B" w:rsidRDefault="0038566B" w:rsidP="0038566B">
      <w:pPr>
        <w:pStyle w:val="Legenda"/>
        <w:keepNext/>
        <w:jc w:val="both"/>
        <w:rPr>
          <w:rFonts w:ascii="Times New Roman" w:hAnsi="Times New Roman" w:cs="Times New Roman"/>
          <w:color w:val="auto"/>
          <w:sz w:val="20"/>
          <w:szCs w:val="20"/>
        </w:rPr>
      </w:pPr>
      <w:r w:rsidRPr="0038566B">
        <w:rPr>
          <w:rFonts w:ascii="Times New Roman" w:hAnsi="Times New Roman" w:cs="Times New Roman"/>
          <w:color w:val="auto"/>
          <w:sz w:val="20"/>
          <w:szCs w:val="20"/>
        </w:rPr>
        <w:lastRenderedPageBreak/>
        <w:t xml:space="preserve">Tabela </w:t>
      </w:r>
      <w:r w:rsidRPr="0038566B">
        <w:rPr>
          <w:rFonts w:ascii="Times New Roman" w:hAnsi="Times New Roman" w:cs="Times New Roman"/>
          <w:color w:val="auto"/>
          <w:sz w:val="20"/>
          <w:szCs w:val="20"/>
        </w:rPr>
        <w:fldChar w:fldCharType="begin"/>
      </w:r>
      <w:r w:rsidRPr="0038566B">
        <w:rPr>
          <w:rFonts w:ascii="Times New Roman" w:hAnsi="Times New Roman" w:cs="Times New Roman"/>
          <w:color w:val="auto"/>
          <w:sz w:val="20"/>
          <w:szCs w:val="20"/>
        </w:rPr>
        <w:instrText xml:space="preserve"> SEQ Tabela \* ARABIC </w:instrText>
      </w:r>
      <w:r w:rsidRPr="0038566B">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w:t>
      </w:r>
      <w:r w:rsidRPr="0038566B">
        <w:rPr>
          <w:rFonts w:ascii="Times New Roman" w:hAnsi="Times New Roman" w:cs="Times New Roman"/>
          <w:color w:val="auto"/>
          <w:sz w:val="20"/>
          <w:szCs w:val="20"/>
        </w:rPr>
        <w:fldChar w:fldCharType="end"/>
      </w:r>
      <w:r w:rsidRPr="0038566B">
        <w:rPr>
          <w:rFonts w:ascii="Times New Roman" w:hAnsi="Times New Roman" w:cs="Times New Roman"/>
          <w:color w:val="auto"/>
          <w:sz w:val="20"/>
          <w:szCs w:val="20"/>
        </w:rPr>
        <w:t xml:space="preserve">. </w:t>
      </w:r>
      <w:r w:rsidR="00181ADD" w:rsidRPr="0038566B">
        <w:rPr>
          <w:rFonts w:ascii="Times New Roman" w:hAnsi="Times New Roman" w:cs="Times New Roman"/>
          <w:color w:val="auto"/>
          <w:sz w:val="20"/>
          <w:szCs w:val="20"/>
        </w:rPr>
        <w:t>Wyniki finansowe sektora bankowego</w:t>
      </w:r>
    </w:p>
    <w:tbl>
      <w:tblPr>
        <w:tblStyle w:val="Tabela-Siatka2"/>
        <w:tblW w:w="0" w:type="auto"/>
        <w:tblLook w:val="04A0" w:firstRow="1" w:lastRow="0" w:firstColumn="1" w:lastColumn="0" w:noHBand="0" w:noVBand="1"/>
      </w:tblPr>
      <w:tblGrid>
        <w:gridCol w:w="2074"/>
        <w:gridCol w:w="626"/>
        <w:gridCol w:w="818"/>
        <w:gridCol w:w="817"/>
        <w:gridCol w:w="828"/>
        <w:gridCol w:w="825"/>
        <w:gridCol w:w="822"/>
        <w:gridCol w:w="829"/>
        <w:gridCol w:w="826"/>
        <w:gridCol w:w="823"/>
      </w:tblGrid>
      <w:tr w:rsidR="00181ADD" w:rsidRPr="00181ADD" w:rsidTr="001B2692">
        <w:tc>
          <w:tcPr>
            <w:tcW w:w="2074" w:type="dxa"/>
            <w:vMerge w:val="restart"/>
          </w:tcPr>
          <w:p w:rsidR="00181ADD" w:rsidRPr="00181ADD" w:rsidRDefault="00181ADD" w:rsidP="00181ADD">
            <w:pPr>
              <w:rPr>
                <w:rFonts w:ascii="Times New Roman" w:hAnsi="Times New Roman" w:cs="Times New Roman"/>
                <w:sz w:val="18"/>
                <w:szCs w:val="18"/>
              </w:rPr>
            </w:pPr>
            <w:r w:rsidRPr="00181ADD">
              <w:rPr>
                <w:rFonts w:ascii="Times New Roman" w:hAnsi="Times New Roman" w:cs="Times New Roman"/>
                <w:sz w:val="18"/>
                <w:szCs w:val="18"/>
              </w:rPr>
              <w:t>Wyszczególnienie</w:t>
            </w:r>
          </w:p>
        </w:tc>
        <w:tc>
          <w:tcPr>
            <w:tcW w:w="2261" w:type="dxa"/>
            <w:gridSpan w:val="3"/>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Sektor bankowy</w:t>
            </w:r>
          </w:p>
        </w:tc>
        <w:tc>
          <w:tcPr>
            <w:tcW w:w="2475" w:type="dxa"/>
            <w:gridSpan w:val="3"/>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Banki komercyjne</w:t>
            </w:r>
          </w:p>
        </w:tc>
        <w:tc>
          <w:tcPr>
            <w:tcW w:w="2478" w:type="dxa"/>
            <w:gridSpan w:val="3"/>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Banki spółdzielcze</w:t>
            </w:r>
          </w:p>
        </w:tc>
      </w:tr>
      <w:tr w:rsidR="00181ADD" w:rsidRPr="00181ADD" w:rsidTr="001B2692">
        <w:tc>
          <w:tcPr>
            <w:tcW w:w="2074" w:type="dxa"/>
            <w:vMerge/>
          </w:tcPr>
          <w:p w:rsidR="00181ADD" w:rsidRPr="00181ADD" w:rsidRDefault="00181ADD" w:rsidP="00181ADD">
            <w:pPr>
              <w:rPr>
                <w:rFonts w:ascii="Times New Roman" w:hAnsi="Times New Roman" w:cs="Times New Roman"/>
                <w:sz w:val="18"/>
                <w:szCs w:val="18"/>
              </w:rPr>
            </w:pPr>
          </w:p>
        </w:tc>
        <w:tc>
          <w:tcPr>
            <w:tcW w:w="626"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2013</w:t>
            </w:r>
          </w:p>
        </w:tc>
        <w:tc>
          <w:tcPr>
            <w:tcW w:w="818"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2014</w:t>
            </w:r>
          </w:p>
        </w:tc>
        <w:tc>
          <w:tcPr>
            <w:tcW w:w="817"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2015</w:t>
            </w:r>
          </w:p>
        </w:tc>
        <w:tc>
          <w:tcPr>
            <w:tcW w:w="828"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2013</w:t>
            </w:r>
          </w:p>
        </w:tc>
        <w:tc>
          <w:tcPr>
            <w:tcW w:w="825"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2014</w:t>
            </w:r>
          </w:p>
        </w:tc>
        <w:tc>
          <w:tcPr>
            <w:tcW w:w="822"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2015</w:t>
            </w:r>
          </w:p>
        </w:tc>
        <w:tc>
          <w:tcPr>
            <w:tcW w:w="829"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2013</w:t>
            </w:r>
          </w:p>
        </w:tc>
        <w:tc>
          <w:tcPr>
            <w:tcW w:w="826"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2014</w:t>
            </w:r>
          </w:p>
        </w:tc>
        <w:tc>
          <w:tcPr>
            <w:tcW w:w="823"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2015</w:t>
            </w:r>
          </w:p>
        </w:tc>
      </w:tr>
      <w:tr w:rsidR="00181ADD" w:rsidRPr="00181ADD" w:rsidTr="001B2692">
        <w:tc>
          <w:tcPr>
            <w:tcW w:w="2074" w:type="dxa"/>
          </w:tcPr>
          <w:p w:rsidR="00181ADD" w:rsidRPr="00181ADD" w:rsidRDefault="00181ADD" w:rsidP="00181ADD">
            <w:pPr>
              <w:rPr>
                <w:rFonts w:ascii="Times New Roman" w:hAnsi="Times New Roman" w:cs="Times New Roman"/>
                <w:sz w:val="18"/>
                <w:szCs w:val="18"/>
              </w:rPr>
            </w:pPr>
            <w:r w:rsidRPr="00181ADD">
              <w:rPr>
                <w:rFonts w:ascii="Times New Roman" w:hAnsi="Times New Roman" w:cs="Times New Roman"/>
                <w:sz w:val="18"/>
                <w:szCs w:val="18"/>
              </w:rPr>
              <w:t>Koszty/dochody (%)</w:t>
            </w:r>
          </w:p>
        </w:tc>
        <w:tc>
          <w:tcPr>
            <w:tcW w:w="626"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53,0</w:t>
            </w:r>
          </w:p>
        </w:tc>
        <w:tc>
          <w:tcPr>
            <w:tcW w:w="818"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51,0</w:t>
            </w:r>
          </w:p>
        </w:tc>
        <w:tc>
          <w:tcPr>
            <w:tcW w:w="817"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58,5</w:t>
            </w:r>
          </w:p>
        </w:tc>
        <w:tc>
          <w:tcPr>
            <w:tcW w:w="828"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51,0</w:t>
            </w:r>
          </w:p>
        </w:tc>
        <w:tc>
          <w:tcPr>
            <w:tcW w:w="825"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48,8</w:t>
            </w:r>
          </w:p>
        </w:tc>
        <w:tc>
          <w:tcPr>
            <w:tcW w:w="822"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56,8</w:t>
            </w:r>
          </w:p>
        </w:tc>
        <w:tc>
          <w:tcPr>
            <w:tcW w:w="829"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70,9</w:t>
            </w:r>
          </w:p>
        </w:tc>
        <w:tc>
          <w:tcPr>
            <w:tcW w:w="826" w:type="dxa"/>
          </w:tcPr>
          <w:p w:rsidR="00181ADD" w:rsidRPr="00181ADD" w:rsidRDefault="000076DA" w:rsidP="00181ADD">
            <w:pPr>
              <w:jc w:val="center"/>
              <w:rPr>
                <w:rFonts w:ascii="Times New Roman" w:hAnsi="Times New Roman" w:cs="Times New Roman"/>
                <w:sz w:val="18"/>
                <w:szCs w:val="18"/>
              </w:rPr>
            </w:pPr>
            <w:r>
              <w:rPr>
                <w:rFonts w:ascii="Times New Roman" w:hAnsi="Times New Roman" w:cs="Times New Roman"/>
                <w:sz w:val="18"/>
                <w:szCs w:val="18"/>
              </w:rPr>
              <w:t>68,9</w:t>
            </w:r>
          </w:p>
        </w:tc>
        <w:tc>
          <w:tcPr>
            <w:tcW w:w="823"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75,7</w:t>
            </w:r>
          </w:p>
        </w:tc>
      </w:tr>
      <w:tr w:rsidR="00181ADD" w:rsidRPr="00181ADD" w:rsidTr="001B2692">
        <w:tc>
          <w:tcPr>
            <w:tcW w:w="2074" w:type="dxa"/>
          </w:tcPr>
          <w:p w:rsidR="00181ADD" w:rsidRPr="00181ADD" w:rsidRDefault="00181ADD" w:rsidP="00181ADD">
            <w:pPr>
              <w:rPr>
                <w:rFonts w:ascii="Times New Roman" w:hAnsi="Times New Roman" w:cs="Times New Roman"/>
                <w:sz w:val="18"/>
                <w:szCs w:val="18"/>
              </w:rPr>
            </w:pPr>
            <w:r w:rsidRPr="00181ADD">
              <w:rPr>
                <w:rFonts w:ascii="Times New Roman" w:hAnsi="Times New Roman" w:cs="Times New Roman"/>
                <w:sz w:val="18"/>
                <w:szCs w:val="18"/>
              </w:rPr>
              <w:t>ROA (wynik netto/średnie aktywa)</w:t>
            </w:r>
          </w:p>
        </w:tc>
        <w:tc>
          <w:tcPr>
            <w:tcW w:w="626"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1,09</w:t>
            </w:r>
          </w:p>
        </w:tc>
        <w:tc>
          <w:tcPr>
            <w:tcW w:w="818"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1,11</w:t>
            </w:r>
          </w:p>
        </w:tc>
        <w:tc>
          <w:tcPr>
            <w:tcW w:w="817"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0,7</w:t>
            </w:r>
          </w:p>
        </w:tc>
        <w:tc>
          <w:tcPr>
            <w:tcW w:w="828"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1,1</w:t>
            </w:r>
          </w:p>
        </w:tc>
        <w:tc>
          <w:tcPr>
            <w:tcW w:w="825"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1,1</w:t>
            </w:r>
          </w:p>
        </w:tc>
        <w:tc>
          <w:tcPr>
            <w:tcW w:w="822"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0,9</w:t>
            </w:r>
          </w:p>
        </w:tc>
        <w:tc>
          <w:tcPr>
            <w:tcW w:w="829"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0,8</w:t>
            </w:r>
          </w:p>
        </w:tc>
        <w:tc>
          <w:tcPr>
            <w:tcW w:w="826"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0,7</w:t>
            </w:r>
          </w:p>
        </w:tc>
        <w:tc>
          <w:tcPr>
            <w:tcW w:w="823"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-1,0</w:t>
            </w:r>
          </w:p>
        </w:tc>
      </w:tr>
      <w:tr w:rsidR="00181ADD" w:rsidRPr="00181ADD" w:rsidTr="001B2692">
        <w:tc>
          <w:tcPr>
            <w:tcW w:w="2074" w:type="dxa"/>
          </w:tcPr>
          <w:p w:rsidR="00181ADD" w:rsidRPr="00181ADD" w:rsidRDefault="00181ADD" w:rsidP="00181ADD">
            <w:pPr>
              <w:rPr>
                <w:rFonts w:ascii="Times New Roman" w:hAnsi="Times New Roman" w:cs="Times New Roman"/>
                <w:sz w:val="18"/>
                <w:szCs w:val="18"/>
              </w:rPr>
            </w:pPr>
            <w:r w:rsidRPr="00181ADD">
              <w:rPr>
                <w:rFonts w:ascii="Times New Roman" w:hAnsi="Times New Roman" w:cs="Times New Roman"/>
                <w:sz w:val="18"/>
                <w:szCs w:val="18"/>
              </w:rPr>
              <w:t>ROE (wynik netto/ średnie fundusze)</w:t>
            </w:r>
          </w:p>
        </w:tc>
        <w:tc>
          <w:tcPr>
            <w:tcW w:w="626"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10,1</w:t>
            </w:r>
          </w:p>
        </w:tc>
        <w:tc>
          <w:tcPr>
            <w:tcW w:w="818"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9,9</w:t>
            </w:r>
          </w:p>
        </w:tc>
        <w:tc>
          <w:tcPr>
            <w:tcW w:w="817"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6,8</w:t>
            </w:r>
          </w:p>
        </w:tc>
        <w:tc>
          <w:tcPr>
            <w:tcW w:w="828"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10,1</w:t>
            </w:r>
          </w:p>
        </w:tc>
        <w:tc>
          <w:tcPr>
            <w:tcW w:w="825"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10,0</w:t>
            </w:r>
          </w:p>
        </w:tc>
        <w:tc>
          <w:tcPr>
            <w:tcW w:w="822"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7,7</w:t>
            </w:r>
          </w:p>
        </w:tc>
        <w:tc>
          <w:tcPr>
            <w:tcW w:w="829"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7,8</w:t>
            </w:r>
          </w:p>
        </w:tc>
        <w:tc>
          <w:tcPr>
            <w:tcW w:w="826"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7,</w:t>
            </w:r>
            <w:r w:rsidR="00181ADD" w:rsidRPr="00181ADD">
              <w:rPr>
                <w:rFonts w:ascii="Times New Roman" w:hAnsi="Times New Roman" w:cs="Times New Roman"/>
                <w:sz w:val="18"/>
                <w:szCs w:val="18"/>
              </w:rPr>
              <w:t>4</w:t>
            </w:r>
          </w:p>
        </w:tc>
        <w:tc>
          <w:tcPr>
            <w:tcW w:w="823"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-10,3</w:t>
            </w:r>
          </w:p>
        </w:tc>
      </w:tr>
      <w:tr w:rsidR="00181ADD" w:rsidRPr="00181ADD" w:rsidTr="001B2692">
        <w:tc>
          <w:tcPr>
            <w:tcW w:w="2074" w:type="dxa"/>
          </w:tcPr>
          <w:p w:rsidR="00181ADD" w:rsidRPr="00181ADD" w:rsidRDefault="00181ADD" w:rsidP="00181ADD">
            <w:pPr>
              <w:rPr>
                <w:rFonts w:ascii="Times New Roman" w:hAnsi="Times New Roman" w:cs="Times New Roman"/>
                <w:sz w:val="18"/>
                <w:szCs w:val="18"/>
              </w:rPr>
            </w:pPr>
            <w:r w:rsidRPr="00181ADD">
              <w:rPr>
                <w:rFonts w:ascii="Times New Roman" w:hAnsi="Times New Roman" w:cs="Times New Roman"/>
                <w:sz w:val="18"/>
                <w:szCs w:val="18"/>
              </w:rPr>
              <w:t>Aktywa na zatrudnionego (w mln zł)</w:t>
            </w:r>
          </w:p>
        </w:tc>
        <w:tc>
          <w:tcPr>
            <w:tcW w:w="626"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8,0</w:t>
            </w:r>
          </w:p>
        </w:tc>
        <w:tc>
          <w:tcPr>
            <w:tcW w:w="818"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8,6</w:t>
            </w:r>
          </w:p>
        </w:tc>
        <w:tc>
          <w:tcPr>
            <w:tcW w:w="817"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9,2</w:t>
            </w:r>
          </w:p>
        </w:tc>
        <w:tc>
          <w:tcPr>
            <w:tcW w:w="828" w:type="dxa"/>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9,2</w:t>
            </w:r>
          </w:p>
        </w:tc>
        <w:tc>
          <w:tcPr>
            <w:tcW w:w="825"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9,9</w:t>
            </w:r>
          </w:p>
        </w:tc>
        <w:tc>
          <w:tcPr>
            <w:tcW w:w="822"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10,7</w:t>
            </w:r>
          </w:p>
        </w:tc>
        <w:tc>
          <w:tcPr>
            <w:tcW w:w="829"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2,8</w:t>
            </w:r>
          </w:p>
        </w:tc>
        <w:tc>
          <w:tcPr>
            <w:tcW w:w="826"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3,1</w:t>
            </w:r>
          </w:p>
        </w:tc>
        <w:tc>
          <w:tcPr>
            <w:tcW w:w="823"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3,3</w:t>
            </w:r>
          </w:p>
        </w:tc>
      </w:tr>
      <w:tr w:rsidR="00181ADD" w:rsidRPr="00181ADD" w:rsidTr="001B2692">
        <w:tc>
          <w:tcPr>
            <w:tcW w:w="2074" w:type="dxa"/>
          </w:tcPr>
          <w:p w:rsidR="00181ADD" w:rsidRPr="00181ADD" w:rsidRDefault="00181ADD" w:rsidP="00181ADD">
            <w:pPr>
              <w:rPr>
                <w:rFonts w:ascii="Times New Roman" w:hAnsi="Times New Roman" w:cs="Times New Roman"/>
                <w:sz w:val="18"/>
                <w:szCs w:val="18"/>
              </w:rPr>
            </w:pPr>
            <w:r w:rsidRPr="00181ADD">
              <w:rPr>
                <w:rFonts w:ascii="Times New Roman" w:hAnsi="Times New Roman" w:cs="Times New Roman"/>
                <w:sz w:val="18"/>
                <w:szCs w:val="18"/>
              </w:rPr>
              <w:t>Zysk na zatrudnionego (w tys. zł)</w:t>
            </w:r>
          </w:p>
        </w:tc>
        <w:tc>
          <w:tcPr>
            <w:tcW w:w="626"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87,1</w:t>
            </w:r>
          </w:p>
        </w:tc>
        <w:tc>
          <w:tcPr>
            <w:tcW w:w="818"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91,7</w:t>
            </w:r>
          </w:p>
        </w:tc>
        <w:tc>
          <w:tcPr>
            <w:tcW w:w="817"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66,8</w:t>
            </w:r>
          </w:p>
        </w:tc>
        <w:tc>
          <w:tcPr>
            <w:tcW w:w="828"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103,5</w:t>
            </w:r>
          </w:p>
        </w:tc>
        <w:tc>
          <w:tcPr>
            <w:tcW w:w="825"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109,8</w:t>
            </w:r>
          </w:p>
        </w:tc>
        <w:tc>
          <w:tcPr>
            <w:tcW w:w="822"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91,1</w:t>
            </w:r>
          </w:p>
        </w:tc>
        <w:tc>
          <w:tcPr>
            <w:tcW w:w="829"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22,6</w:t>
            </w:r>
          </w:p>
        </w:tc>
        <w:tc>
          <w:tcPr>
            <w:tcW w:w="826"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23,0</w:t>
            </w:r>
          </w:p>
        </w:tc>
        <w:tc>
          <w:tcPr>
            <w:tcW w:w="823" w:type="dxa"/>
          </w:tcPr>
          <w:p w:rsidR="00181ADD" w:rsidRPr="00181ADD" w:rsidRDefault="006E0E04" w:rsidP="00181ADD">
            <w:pPr>
              <w:jc w:val="center"/>
              <w:rPr>
                <w:rFonts w:ascii="Times New Roman" w:hAnsi="Times New Roman" w:cs="Times New Roman"/>
                <w:sz w:val="18"/>
                <w:szCs w:val="18"/>
              </w:rPr>
            </w:pPr>
            <w:r>
              <w:rPr>
                <w:rFonts w:ascii="Times New Roman" w:hAnsi="Times New Roman" w:cs="Times New Roman"/>
                <w:sz w:val="18"/>
                <w:szCs w:val="18"/>
              </w:rPr>
              <w:t>-33,5</w:t>
            </w:r>
          </w:p>
        </w:tc>
      </w:tr>
    </w:tbl>
    <w:p w:rsidR="00181ADD" w:rsidRDefault="00181ADD" w:rsidP="00181ADD">
      <w:pPr>
        <w:contextualSpacing/>
        <w:jc w:val="both"/>
        <w:rPr>
          <w:rFonts w:ascii="Times New Roman" w:hAnsi="Times New Roman" w:cs="Times New Roman"/>
          <w:sz w:val="20"/>
          <w:szCs w:val="20"/>
        </w:rPr>
      </w:pPr>
      <w:r w:rsidRPr="00181ADD">
        <w:rPr>
          <w:rFonts w:ascii="Times New Roman" w:hAnsi="Times New Roman" w:cs="Times New Roman"/>
          <w:sz w:val="20"/>
          <w:szCs w:val="20"/>
        </w:rPr>
        <w:t>Źródło: opracowanie własne na podstawie Rapo</w:t>
      </w:r>
      <w:r w:rsidR="006E0E04">
        <w:rPr>
          <w:rFonts w:ascii="Times New Roman" w:hAnsi="Times New Roman" w:cs="Times New Roman"/>
          <w:sz w:val="20"/>
          <w:szCs w:val="20"/>
        </w:rPr>
        <w:t>rtu KNF o sytuacji banków w 2015</w:t>
      </w:r>
      <w:r w:rsidRPr="00181ADD">
        <w:rPr>
          <w:rFonts w:ascii="Times New Roman" w:hAnsi="Times New Roman" w:cs="Times New Roman"/>
          <w:sz w:val="20"/>
          <w:szCs w:val="20"/>
        </w:rPr>
        <w:t xml:space="preserve"> r.</w:t>
      </w:r>
    </w:p>
    <w:p w:rsidR="00621C79" w:rsidRDefault="00621C79" w:rsidP="00181ADD">
      <w:pPr>
        <w:contextualSpacing/>
        <w:jc w:val="both"/>
        <w:rPr>
          <w:rFonts w:ascii="Times New Roman" w:hAnsi="Times New Roman" w:cs="Times New Roman"/>
          <w:sz w:val="20"/>
          <w:szCs w:val="20"/>
        </w:rPr>
      </w:pPr>
    </w:p>
    <w:p w:rsidR="00181ADD" w:rsidRPr="0038566B" w:rsidRDefault="00181ADD" w:rsidP="0038566B">
      <w:pPr>
        <w:spacing w:after="0" w:line="360" w:lineRule="auto"/>
        <w:ind w:firstLine="426"/>
        <w:contextualSpacing/>
        <w:jc w:val="both"/>
        <w:rPr>
          <w:rFonts w:ascii="Times New Roman" w:hAnsi="Times New Roman" w:cs="Times New Roman"/>
          <w:sz w:val="24"/>
          <w:szCs w:val="24"/>
        </w:rPr>
      </w:pPr>
      <w:r w:rsidRPr="00181ADD">
        <w:rPr>
          <w:rFonts w:ascii="Times New Roman" w:hAnsi="Times New Roman" w:cs="Times New Roman"/>
          <w:sz w:val="24"/>
          <w:szCs w:val="24"/>
        </w:rPr>
        <w:t>Banki komercyjne są głównym podmiotem systemu finansowego (bez NBP) w Polsce, gdyż aktywa tych banków stanowiły w 2014 r. 66% a banków spółdzielczych tylko 5% wszystkich aktywów uczestników rynku finansowego (oddziały instytucji kredytowych, banki spółdzielcze, SKOK-i, PTE, zakłady ubezpieczeń i towarzystwa funduszy inwestycyjnych). Na przestrzeni badanego okresu zauważa się ciągle rosnącą rolę sektora bankowego w Polsce, o czym świadczy</w:t>
      </w:r>
      <w:r w:rsidR="000076DA">
        <w:rPr>
          <w:rFonts w:ascii="Times New Roman" w:hAnsi="Times New Roman" w:cs="Times New Roman"/>
          <w:sz w:val="24"/>
          <w:szCs w:val="24"/>
        </w:rPr>
        <w:t xml:space="preserve"> 89% udział aktywów w PKB w 2015</w:t>
      </w:r>
      <w:r w:rsidRPr="00181ADD">
        <w:rPr>
          <w:rFonts w:ascii="Times New Roman" w:hAnsi="Times New Roman" w:cs="Times New Roman"/>
          <w:sz w:val="24"/>
          <w:szCs w:val="24"/>
        </w:rPr>
        <w:t xml:space="preserve"> r. </w:t>
      </w:r>
    </w:p>
    <w:p w:rsidR="00413F62" w:rsidRPr="00413F62" w:rsidRDefault="00413F62" w:rsidP="00413F62">
      <w:pPr>
        <w:pStyle w:val="Akapitzlist"/>
        <w:spacing w:after="0" w:line="360" w:lineRule="auto"/>
        <w:ind w:left="0" w:firstLine="425"/>
        <w:jc w:val="both"/>
        <w:rPr>
          <w:rFonts w:ascii="Times New Roman" w:hAnsi="Times New Roman" w:cs="Times New Roman"/>
          <w:sz w:val="24"/>
          <w:szCs w:val="24"/>
        </w:rPr>
      </w:pPr>
      <w:r w:rsidRPr="00413F62">
        <w:rPr>
          <w:rFonts w:ascii="Times New Roman" w:hAnsi="Times New Roman" w:cs="Times New Roman"/>
          <w:sz w:val="24"/>
          <w:szCs w:val="24"/>
        </w:rPr>
        <w:t>Generalnie wyniki finansowe</w:t>
      </w:r>
      <w:r w:rsidR="007A4B25">
        <w:rPr>
          <w:rFonts w:ascii="Times New Roman" w:hAnsi="Times New Roman" w:cs="Times New Roman"/>
          <w:sz w:val="24"/>
          <w:szCs w:val="24"/>
        </w:rPr>
        <w:t xml:space="preserve"> sektora bankowego znacznie pogorszyły się w ostatnim roku a na przestrzeni badanego okresu</w:t>
      </w:r>
      <w:r w:rsidRPr="00413F62">
        <w:rPr>
          <w:rFonts w:ascii="Times New Roman" w:hAnsi="Times New Roman" w:cs="Times New Roman"/>
          <w:sz w:val="24"/>
          <w:szCs w:val="24"/>
        </w:rPr>
        <w:t xml:space="preserve"> są także dowodem na zwiększającą się konkurencję w polskim sektorze finansowym i znacznie trudniejsze warunki </w:t>
      </w:r>
      <w:proofErr w:type="gramStart"/>
      <w:r w:rsidRPr="00413F62">
        <w:rPr>
          <w:rFonts w:ascii="Times New Roman" w:hAnsi="Times New Roman" w:cs="Times New Roman"/>
          <w:sz w:val="24"/>
          <w:szCs w:val="24"/>
        </w:rPr>
        <w:t>działalności  sek</w:t>
      </w:r>
      <w:r w:rsidR="007A4B25">
        <w:rPr>
          <w:rFonts w:ascii="Times New Roman" w:hAnsi="Times New Roman" w:cs="Times New Roman"/>
          <w:sz w:val="24"/>
          <w:szCs w:val="24"/>
        </w:rPr>
        <w:t>tora</w:t>
      </w:r>
      <w:proofErr w:type="gramEnd"/>
      <w:r w:rsidR="007A4B25">
        <w:rPr>
          <w:rFonts w:ascii="Times New Roman" w:hAnsi="Times New Roman" w:cs="Times New Roman"/>
          <w:sz w:val="24"/>
          <w:szCs w:val="24"/>
        </w:rPr>
        <w:t xml:space="preserve"> bankowego </w:t>
      </w:r>
      <w:r w:rsidRPr="00413F62">
        <w:rPr>
          <w:rFonts w:ascii="Times New Roman" w:hAnsi="Times New Roman" w:cs="Times New Roman"/>
          <w:sz w:val="24"/>
          <w:szCs w:val="24"/>
        </w:rPr>
        <w:t xml:space="preserve"> spowodowane kryzysem finansowym w latach 2007/08</w:t>
      </w:r>
      <w:r w:rsidR="007A4B25">
        <w:rPr>
          <w:rFonts w:ascii="Times New Roman" w:hAnsi="Times New Roman" w:cs="Times New Roman"/>
          <w:sz w:val="24"/>
          <w:szCs w:val="24"/>
        </w:rPr>
        <w:t xml:space="preserve"> oraz zaostrzonymi wymogami określonymi przez władze sprawujące nadzór nad rynkiem bankowym</w:t>
      </w:r>
      <w:r w:rsidRPr="00413F62">
        <w:rPr>
          <w:rFonts w:ascii="Times New Roman" w:hAnsi="Times New Roman" w:cs="Times New Roman"/>
          <w:sz w:val="24"/>
          <w:szCs w:val="24"/>
        </w:rPr>
        <w:t>.</w:t>
      </w:r>
    </w:p>
    <w:p w:rsidR="00020097" w:rsidRDefault="00020097" w:rsidP="00020097">
      <w:pPr>
        <w:pStyle w:val="Styl1"/>
        <w:numPr>
          <w:ilvl w:val="0"/>
          <w:numId w:val="0"/>
        </w:numPr>
        <w:ind w:left="704"/>
      </w:pPr>
    </w:p>
    <w:p w:rsidR="00181ADD" w:rsidRPr="00181ADD" w:rsidRDefault="00181ADD" w:rsidP="00181ADD">
      <w:pPr>
        <w:pStyle w:val="Styl1"/>
      </w:pPr>
      <w:r w:rsidRPr="00181ADD">
        <w:t>Analiza rentowności wybranych banków komercyjnych</w:t>
      </w:r>
    </w:p>
    <w:p w:rsidR="00181ADD" w:rsidRPr="00181ADD" w:rsidRDefault="00181ADD" w:rsidP="00181ADD">
      <w:pPr>
        <w:spacing w:after="0" w:line="360" w:lineRule="auto"/>
        <w:ind w:firstLine="425"/>
        <w:jc w:val="both"/>
        <w:rPr>
          <w:rFonts w:ascii="Times New Roman" w:hAnsi="Times New Roman" w:cs="Times New Roman"/>
          <w:sz w:val="24"/>
          <w:szCs w:val="24"/>
        </w:rPr>
      </w:pPr>
      <w:r w:rsidRPr="00181ADD">
        <w:rPr>
          <w:rFonts w:ascii="Times New Roman" w:hAnsi="Times New Roman" w:cs="Times New Roman"/>
          <w:sz w:val="24"/>
          <w:szCs w:val="24"/>
        </w:rPr>
        <w:t xml:space="preserve">Do analizy rentowności banków wybrano te banki komercyjne, które pod względem wartości aktywów ogółem w 2014 r. zajmowały pierwszych 5 miejsc tj. następujące a z pozostałych banków </w:t>
      </w:r>
      <w:r w:rsidR="00B12F7A" w:rsidRPr="00181ADD">
        <w:rPr>
          <w:rFonts w:ascii="Times New Roman" w:hAnsi="Times New Roman" w:cs="Times New Roman"/>
          <w:sz w:val="24"/>
          <w:szCs w:val="24"/>
        </w:rPr>
        <w:t>te, dla których</w:t>
      </w:r>
      <w:r w:rsidRPr="00181ADD">
        <w:rPr>
          <w:rFonts w:ascii="Times New Roman" w:hAnsi="Times New Roman" w:cs="Times New Roman"/>
          <w:sz w:val="24"/>
          <w:szCs w:val="24"/>
        </w:rPr>
        <w:t xml:space="preserve"> udało się w bazach danych i raportach uzyskać dane finansowe roku 2015. Łączne aktywa badanych banków stanowiły ok. 65% aktywów ogółem w banków komercyjnych w 2014 </w:t>
      </w:r>
      <w:proofErr w:type="gramStart"/>
      <w:r>
        <w:rPr>
          <w:rFonts w:ascii="Times New Roman" w:hAnsi="Times New Roman" w:cs="Times New Roman"/>
          <w:sz w:val="24"/>
          <w:szCs w:val="24"/>
        </w:rPr>
        <w:t>r.</w:t>
      </w:r>
      <w:r w:rsidRPr="00181ADD">
        <w:rPr>
          <w:rFonts w:ascii="Times New Roman" w:hAnsi="Times New Roman" w:cs="Times New Roman"/>
          <w:sz w:val="24"/>
          <w:szCs w:val="24"/>
        </w:rPr>
        <w:t xml:space="preserve"> Zatem</w:t>
      </w:r>
      <w:proofErr w:type="gramEnd"/>
      <w:r w:rsidRPr="00181ADD">
        <w:rPr>
          <w:rFonts w:ascii="Times New Roman" w:hAnsi="Times New Roman" w:cs="Times New Roman"/>
          <w:sz w:val="24"/>
          <w:szCs w:val="24"/>
        </w:rPr>
        <w:t xml:space="preserve"> lista banków poddanych badaniu jest następująca:</w:t>
      </w:r>
    </w:p>
    <w:p w:rsidR="00181ADD" w:rsidRPr="0038566B" w:rsidRDefault="0038566B" w:rsidP="0038566B">
      <w:pPr>
        <w:pStyle w:val="Legenda"/>
        <w:keepNext/>
        <w:jc w:val="center"/>
        <w:rPr>
          <w:rFonts w:ascii="Times New Roman" w:hAnsi="Times New Roman" w:cs="Times New Roman"/>
          <w:color w:val="auto"/>
          <w:sz w:val="20"/>
          <w:szCs w:val="20"/>
        </w:rPr>
      </w:pPr>
      <w:r w:rsidRPr="0038566B">
        <w:rPr>
          <w:rFonts w:ascii="Times New Roman" w:hAnsi="Times New Roman" w:cs="Times New Roman"/>
          <w:color w:val="auto"/>
          <w:sz w:val="20"/>
          <w:szCs w:val="20"/>
        </w:rPr>
        <w:t xml:space="preserve">Tabela </w:t>
      </w:r>
      <w:r w:rsidR="00412417">
        <w:rPr>
          <w:rFonts w:ascii="Times New Roman" w:hAnsi="Times New Roman" w:cs="Times New Roman"/>
          <w:color w:val="auto"/>
          <w:sz w:val="20"/>
          <w:szCs w:val="20"/>
        </w:rPr>
        <w:t>2</w:t>
      </w:r>
      <w:r w:rsidRPr="0038566B">
        <w:rPr>
          <w:rFonts w:ascii="Times New Roman" w:hAnsi="Times New Roman" w:cs="Times New Roman"/>
          <w:color w:val="auto"/>
          <w:sz w:val="20"/>
          <w:szCs w:val="20"/>
        </w:rPr>
        <w:t xml:space="preserve">. </w:t>
      </w:r>
      <w:r w:rsidR="00181ADD" w:rsidRPr="0038566B">
        <w:rPr>
          <w:rFonts w:ascii="Times New Roman" w:hAnsi="Times New Roman" w:cs="Times New Roman"/>
          <w:color w:val="auto"/>
          <w:sz w:val="20"/>
          <w:szCs w:val="20"/>
        </w:rPr>
        <w:t>Analizowana Lista banków</w:t>
      </w:r>
    </w:p>
    <w:tbl>
      <w:tblPr>
        <w:tblStyle w:val="Tabela-Siatka3"/>
        <w:tblW w:w="0" w:type="auto"/>
        <w:jc w:val="center"/>
        <w:tblLook w:val="04A0" w:firstRow="1" w:lastRow="0" w:firstColumn="1" w:lastColumn="0" w:noHBand="0" w:noVBand="1"/>
      </w:tblPr>
      <w:tblGrid>
        <w:gridCol w:w="482"/>
        <w:gridCol w:w="1781"/>
        <w:gridCol w:w="20"/>
        <w:gridCol w:w="2525"/>
        <w:gridCol w:w="6"/>
      </w:tblGrid>
      <w:tr w:rsidR="00181ADD" w:rsidRPr="00181ADD" w:rsidTr="001B2692">
        <w:trPr>
          <w:gridAfter w:val="1"/>
          <w:wAfter w:w="6" w:type="dxa"/>
          <w:trHeight w:val="300"/>
          <w:jc w:val="center"/>
        </w:trPr>
        <w:tc>
          <w:tcPr>
            <w:tcW w:w="0" w:type="auto"/>
          </w:tcPr>
          <w:p w:rsidR="00181ADD" w:rsidRPr="00181ADD" w:rsidRDefault="00181ADD" w:rsidP="00181ADD">
            <w:pPr>
              <w:rPr>
                <w:rFonts w:ascii="Times New Roman" w:hAnsi="Times New Roman" w:cs="Times New Roman"/>
                <w:b/>
                <w:sz w:val="18"/>
                <w:szCs w:val="18"/>
              </w:rPr>
            </w:pPr>
            <w:r w:rsidRPr="00181ADD">
              <w:rPr>
                <w:rFonts w:ascii="Times New Roman" w:hAnsi="Times New Roman" w:cs="Times New Roman"/>
                <w:b/>
                <w:sz w:val="18"/>
                <w:szCs w:val="18"/>
              </w:rPr>
              <w:t>Lp.</w:t>
            </w:r>
          </w:p>
        </w:tc>
        <w:tc>
          <w:tcPr>
            <w:tcW w:w="0" w:type="auto"/>
            <w:gridSpan w:val="2"/>
            <w:noWrap/>
            <w:vAlign w:val="center"/>
            <w:hideMark/>
          </w:tcPr>
          <w:p w:rsidR="00181ADD" w:rsidRPr="00181ADD" w:rsidRDefault="00181ADD" w:rsidP="00181ADD">
            <w:pPr>
              <w:rPr>
                <w:rFonts w:ascii="Times New Roman" w:hAnsi="Times New Roman" w:cs="Times New Roman"/>
                <w:b/>
                <w:sz w:val="18"/>
                <w:szCs w:val="18"/>
              </w:rPr>
            </w:pPr>
            <w:r w:rsidRPr="00181ADD">
              <w:rPr>
                <w:rFonts w:ascii="Times New Roman" w:hAnsi="Times New Roman" w:cs="Times New Roman"/>
                <w:b/>
                <w:sz w:val="18"/>
                <w:szCs w:val="18"/>
              </w:rPr>
              <w:t>Nazwa banku</w:t>
            </w:r>
          </w:p>
        </w:tc>
        <w:tc>
          <w:tcPr>
            <w:tcW w:w="0" w:type="auto"/>
            <w:noWrap/>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Aktywa w 2014 w mln zł</w:t>
            </w:r>
          </w:p>
        </w:tc>
      </w:tr>
      <w:tr w:rsidR="00181ADD" w:rsidRPr="00181ADD" w:rsidTr="001B2692">
        <w:trPr>
          <w:gridAfter w:val="1"/>
          <w:wAfter w:w="6" w:type="dxa"/>
          <w:trHeight w:val="300"/>
          <w:jc w:val="center"/>
        </w:trPr>
        <w:tc>
          <w:tcPr>
            <w:tcW w:w="0" w:type="auto"/>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1.</w:t>
            </w:r>
          </w:p>
        </w:tc>
        <w:tc>
          <w:tcPr>
            <w:tcW w:w="0" w:type="auto"/>
            <w:gridSpan w:val="2"/>
            <w:noWrap/>
            <w:vAlign w:val="center"/>
            <w:hideMark/>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PKO BP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243 760,5</w:t>
            </w:r>
          </w:p>
        </w:tc>
      </w:tr>
      <w:tr w:rsidR="00181ADD" w:rsidRPr="00181ADD" w:rsidTr="001B2692">
        <w:trPr>
          <w:gridAfter w:val="1"/>
          <w:wAfter w:w="6" w:type="dxa"/>
          <w:trHeight w:val="300"/>
          <w:jc w:val="center"/>
        </w:trPr>
        <w:tc>
          <w:tcPr>
            <w:tcW w:w="0" w:type="auto"/>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2.</w:t>
            </w:r>
          </w:p>
        </w:tc>
        <w:tc>
          <w:tcPr>
            <w:tcW w:w="0" w:type="auto"/>
            <w:gridSpan w:val="2"/>
            <w:noWrap/>
            <w:vAlign w:val="center"/>
            <w:hideMark/>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Bank Pekao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164 322,8</w:t>
            </w:r>
          </w:p>
        </w:tc>
      </w:tr>
      <w:tr w:rsidR="00181ADD" w:rsidRPr="00181ADD" w:rsidTr="001B2692">
        <w:trPr>
          <w:gridAfter w:val="1"/>
          <w:wAfter w:w="6" w:type="dxa"/>
          <w:trHeight w:val="300"/>
          <w:jc w:val="center"/>
        </w:trPr>
        <w:tc>
          <w:tcPr>
            <w:tcW w:w="0" w:type="auto"/>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3.</w:t>
            </w:r>
          </w:p>
        </w:tc>
        <w:tc>
          <w:tcPr>
            <w:tcW w:w="0" w:type="auto"/>
            <w:gridSpan w:val="2"/>
            <w:noWrap/>
            <w:vAlign w:val="center"/>
            <w:hideMark/>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BZ WBK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 xml:space="preserve">121 607,4 </w:t>
            </w:r>
          </w:p>
        </w:tc>
      </w:tr>
      <w:tr w:rsidR="00181ADD" w:rsidRPr="00181ADD" w:rsidTr="001B2692">
        <w:trPr>
          <w:gridAfter w:val="1"/>
          <w:wAfter w:w="6" w:type="dxa"/>
          <w:trHeight w:val="300"/>
          <w:jc w:val="center"/>
        </w:trPr>
        <w:tc>
          <w:tcPr>
            <w:tcW w:w="0" w:type="auto"/>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4</w:t>
            </w:r>
          </w:p>
        </w:tc>
        <w:tc>
          <w:tcPr>
            <w:tcW w:w="0" w:type="auto"/>
            <w:gridSpan w:val="2"/>
            <w:noWrap/>
            <w:vAlign w:val="center"/>
            <w:hideMark/>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MBank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113 603,5</w:t>
            </w:r>
          </w:p>
        </w:tc>
      </w:tr>
      <w:tr w:rsidR="00181ADD" w:rsidRPr="00181ADD" w:rsidTr="001B2692">
        <w:trPr>
          <w:gridAfter w:val="1"/>
          <w:wAfter w:w="6" w:type="dxa"/>
          <w:trHeight w:val="300"/>
          <w:jc w:val="center"/>
        </w:trPr>
        <w:tc>
          <w:tcPr>
            <w:tcW w:w="0" w:type="auto"/>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5.</w:t>
            </w:r>
          </w:p>
        </w:tc>
        <w:tc>
          <w:tcPr>
            <w:tcW w:w="0" w:type="auto"/>
            <w:gridSpan w:val="2"/>
            <w:noWrap/>
            <w:vAlign w:val="center"/>
            <w:hideMark/>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ING BSK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96 742,4</w:t>
            </w:r>
          </w:p>
        </w:tc>
      </w:tr>
      <w:tr w:rsidR="00181ADD" w:rsidRPr="00181ADD" w:rsidTr="001B2692">
        <w:trPr>
          <w:gridAfter w:val="1"/>
          <w:wAfter w:w="6" w:type="dxa"/>
          <w:trHeight w:val="300"/>
          <w:jc w:val="center"/>
        </w:trPr>
        <w:tc>
          <w:tcPr>
            <w:tcW w:w="0" w:type="auto"/>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6.</w:t>
            </w:r>
          </w:p>
        </w:tc>
        <w:tc>
          <w:tcPr>
            <w:tcW w:w="1801" w:type="dxa"/>
            <w:gridSpan w:val="2"/>
            <w:noWrap/>
            <w:vAlign w:val="center"/>
            <w:hideMark/>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Bank Millennium S.A.</w:t>
            </w:r>
          </w:p>
        </w:tc>
        <w:tc>
          <w:tcPr>
            <w:tcW w:w="2525" w:type="dxa"/>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60 484,1</w:t>
            </w:r>
          </w:p>
        </w:tc>
      </w:tr>
      <w:tr w:rsidR="00181ADD" w:rsidRPr="00181ADD" w:rsidTr="001B2692">
        <w:trPr>
          <w:gridAfter w:val="1"/>
          <w:wAfter w:w="6" w:type="dxa"/>
          <w:trHeight w:val="300"/>
          <w:jc w:val="center"/>
        </w:trPr>
        <w:tc>
          <w:tcPr>
            <w:tcW w:w="0" w:type="auto"/>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7.</w:t>
            </w:r>
          </w:p>
        </w:tc>
        <w:tc>
          <w:tcPr>
            <w:tcW w:w="0" w:type="auto"/>
            <w:gridSpan w:val="2"/>
            <w:noWrap/>
            <w:vAlign w:val="center"/>
            <w:hideMark/>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 xml:space="preserve">Bank </w:t>
            </w:r>
            <w:proofErr w:type="gramStart"/>
            <w:r w:rsidRPr="00181ADD">
              <w:rPr>
                <w:rFonts w:ascii="Times New Roman" w:hAnsi="Times New Roman" w:cs="Times New Roman"/>
                <w:bCs/>
                <w:sz w:val="18"/>
                <w:szCs w:val="18"/>
              </w:rPr>
              <w:t>Handlowy  S</w:t>
            </w:r>
            <w:proofErr w:type="gramEnd"/>
            <w:r w:rsidRPr="00181ADD">
              <w:rPr>
                <w:rFonts w:ascii="Times New Roman" w:hAnsi="Times New Roman" w:cs="Times New Roman"/>
                <w:bCs/>
                <w:sz w:val="18"/>
                <w:szCs w:val="18"/>
              </w:rPr>
              <w:t>.A.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49 603,3</w:t>
            </w:r>
          </w:p>
        </w:tc>
      </w:tr>
      <w:tr w:rsidR="00181ADD" w:rsidRPr="00181ADD" w:rsidTr="001B2692">
        <w:trPr>
          <w:gridAfter w:val="1"/>
          <w:wAfter w:w="6" w:type="dxa"/>
          <w:trHeight w:val="300"/>
          <w:jc w:val="center"/>
        </w:trPr>
        <w:tc>
          <w:tcPr>
            <w:tcW w:w="0" w:type="auto"/>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lastRenderedPageBreak/>
              <w:t>8.</w:t>
            </w:r>
          </w:p>
        </w:tc>
        <w:tc>
          <w:tcPr>
            <w:tcW w:w="1781" w:type="dxa"/>
            <w:noWrap/>
            <w:vAlign w:val="center"/>
            <w:hideMark/>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Bank BPH S.A.</w:t>
            </w:r>
          </w:p>
        </w:tc>
        <w:tc>
          <w:tcPr>
            <w:tcW w:w="2545" w:type="dxa"/>
            <w:gridSpan w:val="2"/>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30 715,6</w:t>
            </w:r>
          </w:p>
        </w:tc>
      </w:tr>
      <w:tr w:rsidR="00181ADD" w:rsidRPr="00181ADD" w:rsidTr="001B2692">
        <w:trPr>
          <w:trHeight w:val="300"/>
          <w:jc w:val="center"/>
        </w:trPr>
        <w:tc>
          <w:tcPr>
            <w:tcW w:w="0" w:type="auto"/>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9.</w:t>
            </w:r>
          </w:p>
        </w:tc>
        <w:tc>
          <w:tcPr>
            <w:tcW w:w="0" w:type="auto"/>
            <w:gridSpan w:val="2"/>
            <w:noWrap/>
            <w:vAlign w:val="center"/>
            <w:hideMark/>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BOŚ S.A.</w:t>
            </w:r>
          </w:p>
        </w:tc>
        <w:tc>
          <w:tcPr>
            <w:tcW w:w="2531" w:type="dxa"/>
            <w:gridSpan w:val="2"/>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19 474,2</w:t>
            </w:r>
          </w:p>
        </w:tc>
      </w:tr>
      <w:tr w:rsidR="00181ADD" w:rsidRPr="00181ADD" w:rsidTr="001B2692">
        <w:trPr>
          <w:trHeight w:val="300"/>
          <w:jc w:val="center"/>
        </w:trPr>
        <w:tc>
          <w:tcPr>
            <w:tcW w:w="0" w:type="auto"/>
          </w:tcPr>
          <w:p w:rsidR="00181ADD" w:rsidRPr="00181ADD" w:rsidRDefault="00181ADD" w:rsidP="00181ADD">
            <w:pPr>
              <w:rPr>
                <w:rFonts w:ascii="Times New Roman" w:hAnsi="Times New Roman" w:cs="Times New Roman"/>
                <w:bCs/>
                <w:sz w:val="18"/>
                <w:szCs w:val="18"/>
              </w:rPr>
            </w:pPr>
          </w:p>
        </w:tc>
        <w:tc>
          <w:tcPr>
            <w:tcW w:w="0" w:type="auto"/>
            <w:gridSpan w:val="2"/>
            <w:noWrap/>
            <w:vAlign w:val="center"/>
          </w:tcPr>
          <w:p w:rsidR="00181ADD" w:rsidRPr="00181ADD" w:rsidRDefault="00181ADD" w:rsidP="00181ADD">
            <w:pPr>
              <w:rPr>
                <w:rFonts w:ascii="Times New Roman" w:hAnsi="Times New Roman" w:cs="Times New Roman"/>
                <w:bCs/>
                <w:sz w:val="18"/>
                <w:szCs w:val="18"/>
              </w:rPr>
            </w:pPr>
            <w:r w:rsidRPr="00181ADD">
              <w:rPr>
                <w:rFonts w:ascii="Times New Roman" w:hAnsi="Times New Roman" w:cs="Times New Roman"/>
                <w:bCs/>
                <w:sz w:val="18"/>
                <w:szCs w:val="18"/>
              </w:rPr>
              <w:t>Łączne aktywa</w:t>
            </w:r>
          </w:p>
        </w:tc>
        <w:tc>
          <w:tcPr>
            <w:tcW w:w="2531" w:type="dxa"/>
            <w:gridSpan w:val="2"/>
            <w:vAlign w:val="center"/>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900 313,9</w:t>
            </w:r>
          </w:p>
        </w:tc>
      </w:tr>
    </w:tbl>
    <w:p w:rsidR="00181ADD" w:rsidRPr="00181ADD" w:rsidRDefault="00181ADD" w:rsidP="0038566B">
      <w:pPr>
        <w:jc w:val="center"/>
        <w:rPr>
          <w:rFonts w:ascii="Times New Roman" w:hAnsi="Times New Roman" w:cs="Times New Roman"/>
          <w:sz w:val="18"/>
          <w:szCs w:val="18"/>
        </w:rPr>
      </w:pPr>
      <w:r w:rsidRPr="00181ADD">
        <w:rPr>
          <w:rFonts w:ascii="Times New Roman" w:hAnsi="Times New Roman" w:cs="Times New Roman"/>
          <w:sz w:val="18"/>
          <w:szCs w:val="18"/>
        </w:rPr>
        <w:t>Źródło: Opracowanie własne</w:t>
      </w:r>
    </w:p>
    <w:p w:rsidR="007C31E1" w:rsidRDefault="00181ADD" w:rsidP="00181ADD">
      <w:pPr>
        <w:spacing w:after="0" w:line="360" w:lineRule="auto"/>
        <w:ind w:firstLine="425"/>
        <w:jc w:val="both"/>
        <w:rPr>
          <w:rFonts w:ascii="Times New Roman" w:hAnsi="Times New Roman" w:cs="Times New Roman"/>
          <w:sz w:val="24"/>
          <w:szCs w:val="24"/>
        </w:rPr>
      </w:pPr>
      <w:r w:rsidRPr="00181ADD">
        <w:rPr>
          <w:rFonts w:ascii="Times New Roman" w:hAnsi="Times New Roman" w:cs="Times New Roman"/>
          <w:sz w:val="24"/>
          <w:szCs w:val="24"/>
        </w:rPr>
        <w:t>Wskaźnik ROS w wielu bankach wzrastał a tylko w nielicznych był albo na tym samym poziomie albo nieznacznie zmniejszył się</w:t>
      </w:r>
      <w:r w:rsidR="00412417">
        <w:rPr>
          <w:rFonts w:ascii="Times New Roman" w:hAnsi="Times New Roman" w:cs="Times New Roman"/>
          <w:sz w:val="24"/>
          <w:szCs w:val="24"/>
        </w:rPr>
        <w:t xml:space="preserve"> (rys</w:t>
      </w:r>
      <w:proofErr w:type="gramStart"/>
      <w:r w:rsidR="00412417">
        <w:rPr>
          <w:rFonts w:ascii="Times New Roman" w:hAnsi="Times New Roman" w:cs="Times New Roman"/>
          <w:sz w:val="24"/>
          <w:szCs w:val="24"/>
        </w:rPr>
        <w:t>. 1</w:t>
      </w:r>
      <w:r w:rsidR="003150B1">
        <w:rPr>
          <w:rFonts w:ascii="Times New Roman" w:hAnsi="Times New Roman" w:cs="Times New Roman"/>
          <w:sz w:val="24"/>
          <w:szCs w:val="24"/>
        </w:rPr>
        <w:t>)</w:t>
      </w:r>
      <w:r w:rsidRPr="00181ADD">
        <w:rPr>
          <w:rFonts w:ascii="Times New Roman" w:hAnsi="Times New Roman" w:cs="Times New Roman"/>
          <w:sz w:val="24"/>
          <w:szCs w:val="24"/>
        </w:rPr>
        <w:t>. Przykładowo</w:t>
      </w:r>
      <w:proofErr w:type="gramEnd"/>
      <w:r w:rsidRPr="00181ADD">
        <w:rPr>
          <w:rFonts w:ascii="Times New Roman" w:hAnsi="Times New Roman" w:cs="Times New Roman"/>
          <w:sz w:val="24"/>
          <w:szCs w:val="24"/>
        </w:rPr>
        <w:t xml:space="preserve"> Pekao S.A. </w:t>
      </w:r>
      <w:proofErr w:type="gramStart"/>
      <w:r w:rsidRPr="00181ADD">
        <w:rPr>
          <w:rFonts w:ascii="Times New Roman" w:hAnsi="Times New Roman" w:cs="Times New Roman"/>
          <w:sz w:val="24"/>
          <w:szCs w:val="24"/>
        </w:rPr>
        <w:t>zanotował</w:t>
      </w:r>
      <w:proofErr w:type="gramEnd"/>
      <w:r w:rsidRPr="00181ADD">
        <w:rPr>
          <w:rFonts w:ascii="Times New Roman" w:hAnsi="Times New Roman" w:cs="Times New Roman"/>
          <w:sz w:val="24"/>
          <w:szCs w:val="24"/>
        </w:rPr>
        <w:t xml:space="preserve"> spadek z 29,11% w roku 2008 do 27,57% w 2015 roku, PKOBP S.A.  </w:t>
      </w:r>
      <w:proofErr w:type="gramStart"/>
      <w:r w:rsidRPr="00181ADD">
        <w:rPr>
          <w:rFonts w:ascii="Times New Roman" w:hAnsi="Times New Roman" w:cs="Times New Roman"/>
          <w:sz w:val="24"/>
          <w:szCs w:val="24"/>
        </w:rPr>
        <w:t>z</w:t>
      </w:r>
      <w:proofErr w:type="gramEnd"/>
      <w:r w:rsidRPr="00181ADD">
        <w:rPr>
          <w:rFonts w:ascii="Times New Roman" w:hAnsi="Times New Roman" w:cs="Times New Roman"/>
          <w:sz w:val="24"/>
          <w:szCs w:val="24"/>
        </w:rPr>
        <w:t xml:space="preserve"> 23,7% w 2008 do 19,2% w 2015 roku. Natomiast Bank Millenium S.A. MBank S.A. ING BSK S.A., BZWBK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Bank Handlowy S.A. </w:t>
      </w:r>
      <w:proofErr w:type="gramStart"/>
      <w:r w:rsidRPr="00181ADD">
        <w:rPr>
          <w:rFonts w:ascii="Times New Roman" w:hAnsi="Times New Roman" w:cs="Times New Roman"/>
          <w:sz w:val="24"/>
          <w:szCs w:val="24"/>
        </w:rPr>
        <w:t>powiększyły</w:t>
      </w:r>
      <w:proofErr w:type="gramEnd"/>
      <w:r w:rsidRPr="00181ADD">
        <w:rPr>
          <w:rFonts w:ascii="Times New Roman" w:hAnsi="Times New Roman" w:cs="Times New Roman"/>
          <w:sz w:val="24"/>
          <w:szCs w:val="24"/>
        </w:rPr>
        <w:t xml:space="preserve"> dość znacząco rentowno</w:t>
      </w:r>
      <w:r w:rsidR="007C31E1">
        <w:rPr>
          <w:rFonts w:ascii="Times New Roman" w:hAnsi="Times New Roman" w:cs="Times New Roman"/>
          <w:sz w:val="24"/>
          <w:szCs w:val="24"/>
        </w:rPr>
        <w:t>ść sprzedaży ROS (patrz tabela 3</w:t>
      </w:r>
      <w:r w:rsidRPr="00181ADD">
        <w:rPr>
          <w:rFonts w:ascii="Times New Roman" w:hAnsi="Times New Roman" w:cs="Times New Roman"/>
          <w:sz w:val="24"/>
          <w:szCs w:val="24"/>
        </w:rPr>
        <w:t xml:space="preserve">).  </w:t>
      </w:r>
    </w:p>
    <w:p w:rsidR="007C31E1" w:rsidRPr="0038566B" w:rsidRDefault="007C31E1" w:rsidP="007C31E1">
      <w:pPr>
        <w:pStyle w:val="Legenda"/>
        <w:keepNext/>
        <w:jc w:val="both"/>
        <w:rPr>
          <w:rFonts w:ascii="Times New Roman" w:hAnsi="Times New Roman" w:cs="Times New Roman"/>
          <w:color w:val="auto"/>
          <w:sz w:val="20"/>
          <w:szCs w:val="20"/>
        </w:rPr>
      </w:pPr>
      <w:r w:rsidRPr="0038566B">
        <w:rPr>
          <w:rFonts w:ascii="Times New Roman" w:hAnsi="Times New Roman" w:cs="Times New Roman"/>
          <w:color w:val="auto"/>
          <w:sz w:val="20"/>
          <w:szCs w:val="20"/>
        </w:rPr>
        <w:t xml:space="preserve">Tabela </w:t>
      </w:r>
      <w:r>
        <w:rPr>
          <w:rFonts w:ascii="Times New Roman" w:hAnsi="Times New Roman" w:cs="Times New Roman"/>
          <w:color w:val="auto"/>
          <w:sz w:val="20"/>
          <w:szCs w:val="20"/>
        </w:rPr>
        <w:t>3</w:t>
      </w:r>
      <w:r w:rsidRPr="0038566B">
        <w:rPr>
          <w:rFonts w:ascii="Times New Roman" w:hAnsi="Times New Roman" w:cs="Times New Roman"/>
          <w:color w:val="auto"/>
          <w:sz w:val="20"/>
          <w:szCs w:val="20"/>
        </w:rPr>
        <w:t>. Wskaźniki ROS dla wybranych banków</w:t>
      </w:r>
      <w:r w:rsidR="002E7ADB">
        <w:rPr>
          <w:rFonts w:ascii="Times New Roman" w:hAnsi="Times New Roman" w:cs="Times New Roman"/>
          <w:color w:val="auto"/>
          <w:sz w:val="20"/>
          <w:szCs w:val="20"/>
        </w:rPr>
        <w:t xml:space="preserve"> w</w:t>
      </w:r>
      <w:r w:rsidRPr="0038566B">
        <w:rPr>
          <w:rFonts w:ascii="Times New Roman" w:hAnsi="Times New Roman" w:cs="Times New Roman"/>
          <w:color w:val="auto"/>
          <w:sz w:val="20"/>
          <w:szCs w:val="20"/>
        </w:rPr>
        <w:t xml:space="preserve"> latach 2008-15</w:t>
      </w:r>
    </w:p>
    <w:tbl>
      <w:tblPr>
        <w:tblStyle w:val="Tabela-Siatka3"/>
        <w:tblW w:w="0" w:type="auto"/>
        <w:jc w:val="center"/>
        <w:tblLook w:val="04A0" w:firstRow="1" w:lastRow="0" w:firstColumn="1" w:lastColumn="0" w:noHBand="0" w:noVBand="1"/>
      </w:tblPr>
      <w:tblGrid>
        <w:gridCol w:w="1857"/>
        <w:gridCol w:w="771"/>
        <w:gridCol w:w="771"/>
        <w:gridCol w:w="771"/>
        <w:gridCol w:w="771"/>
        <w:gridCol w:w="771"/>
        <w:gridCol w:w="771"/>
        <w:gridCol w:w="771"/>
        <w:gridCol w:w="831"/>
      </w:tblGrid>
      <w:tr w:rsidR="007C31E1" w:rsidRPr="00181ADD" w:rsidTr="007D6D0E">
        <w:trPr>
          <w:trHeight w:val="6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BANK/LATA</w:t>
            </w:r>
          </w:p>
        </w:tc>
        <w:tc>
          <w:tcPr>
            <w:tcW w:w="0" w:type="auto"/>
            <w:tcBorders>
              <w:top w:val="single" w:sz="4" w:space="0" w:color="auto"/>
              <w:left w:val="single" w:sz="4" w:space="0" w:color="auto"/>
              <w:bottom w:val="single" w:sz="4" w:space="0" w:color="auto"/>
              <w:right w:val="single" w:sz="4" w:space="0" w:color="auto"/>
            </w:tcBorders>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2009</w:t>
            </w:r>
          </w:p>
        </w:tc>
        <w:tc>
          <w:tcPr>
            <w:tcW w:w="0" w:type="auto"/>
            <w:tcBorders>
              <w:top w:val="single" w:sz="4" w:space="0" w:color="auto"/>
              <w:left w:val="single" w:sz="4" w:space="0" w:color="auto"/>
              <w:bottom w:val="single" w:sz="4" w:space="0" w:color="auto"/>
              <w:right w:val="single" w:sz="4" w:space="0" w:color="auto"/>
            </w:tcBorders>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2010</w:t>
            </w:r>
          </w:p>
        </w:tc>
        <w:tc>
          <w:tcPr>
            <w:tcW w:w="0" w:type="auto"/>
            <w:tcBorders>
              <w:top w:val="single" w:sz="4" w:space="0" w:color="auto"/>
              <w:left w:val="single" w:sz="4" w:space="0" w:color="auto"/>
              <w:bottom w:val="single" w:sz="4" w:space="0" w:color="auto"/>
              <w:right w:val="single" w:sz="4" w:space="0" w:color="auto"/>
            </w:tcBorders>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2011</w:t>
            </w:r>
          </w:p>
        </w:tc>
        <w:tc>
          <w:tcPr>
            <w:tcW w:w="0" w:type="auto"/>
            <w:tcBorders>
              <w:top w:val="single" w:sz="4" w:space="0" w:color="auto"/>
              <w:left w:val="single" w:sz="4" w:space="0" w:color="auto"/>
              <w:bottom w:val="single" w:sz="4" w:space="0" w:color="auto"/>
              <w:right w:val="single" w:sz="4" w:space="0" w:color="auto"/>
            </w:tcBorders>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2012</w:t>
            </w:r>
          </w:p>
        </w:tc>
        <w:tc>
          <w:tcPr>
            <w:tcW w:w="0" w:type="auto"/>
            <w:tcBorders>
              <w:top w:val="single" w:sz="4" w:space="0" w:color="auto"/>
              <w:left w:val="single" w:sz="4" w:space="0" w:color="auto"/>
              <w:bottom w:val="single" w:sz="4" w:space="0" w:color="auto"/>
              <w:right w:val="single" w:sz="4" w:space="0" w:color="auto"/>
            </w:tcBorders>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2015</w:t>
            </w:r>
          </w:p>
        </w:tc>
      </w:tr>
      <w:tr w:rsidR="007C31E1" w:rsidRPr="00181ADD" w:rsidTr="007D6D0E">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Bank Handlowy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17,33%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24,68%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24,58%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29,68%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31,48%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34,60%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26,36%</w:t>
            </w:r>
          </w:p>
        </w:tc>
      </w:tr>
      <w:tr w:rsidR="007C31E1" w:rsidRPr="00181ADD" w:rsidTr="007D6D0E">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BOŚ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0,92%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6,58%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5,88%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5,12%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6,49%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6,44%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-4,66%</w:t>
            </w:r>
          </w:p>
        </w:tc>
      </w:tr>
      <w:tr w:rsidR="007C31E1" w:rsidRPr="00181ADD" w:rsidTr="007D6D0E">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Bank BPH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12,22%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1,65%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-4,51%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7,14%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9,60%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13,26%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6,69%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-21,38%</w:t>
            </w:r>
          </w:p>
        </w:tc>
      </w:tr>
      <w:tr w:rsidR="007C31E1" w:rsidRPr="00181ADD" w:rsidTr="007D6D0E">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BZ WBK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18,26%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20,52%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20,28%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23,37%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24,64%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21,50%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26,69%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25,13%</w:t>
            </w:r>
          </w:p>
        </w:tc>
      </w:tr>
      <w:tr w:rsidR="007C31E1" w:rsidRPr="00181ADD" w:rsidTr="007D6D0E">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ING BSK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10,33%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13,69%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17,29%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19,64%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15,57%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19,37%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21,99%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23,32%</w:t>
            </w:r>
          </w:p>
        </w:tc>
      </w:tr>
      <w:tr w:rsidR="007C31E1" w:rsidRPr="00181ADD" w:rsidTr="007D6D0E">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MBank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18,74%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1,38%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12,07%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21,61%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21,02%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20,65%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22,46%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24,76%</w:t>
            </w:r>
          </w:p>
        </w:tc>
      </w:tr>
      <w:tr w:rsidR="007C31E1" w:rsidRPr="00181ADD" w:rsidTr="007D6D0E">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Bank Millennium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14,80%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2,65%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10,67%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12,36%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11,67%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14,47%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18,52%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23,99%</w:t>
            </w:r>
          </w:p>
        </w:tc>
      </w:tr>
      <w:tr w:rsidR="007C31E1" w:rsidRPr="00181ADD" w:rsidTr="007D6D0E">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Bank Pekao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29,11%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24,70%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26,66%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26,98%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25,76%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28,57%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28,91%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27,57%</w:t>
            </w:r>
          </w:p>
        </w:tc>
      </w:tr>
      <w:tr w:rsidR="007C31E1" w:rsidRPr="00181ADD" w:rsidTr="007D6D0E">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PKO BP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23,76%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23,23%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25,02%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21,18%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22,16%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21,91%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19,20%</w:t>
            </w:r>
          </w:p>
        </w:tc>
      </w:tr>
    </w:tbl>
    <w:p w:rsidR="007C31E1" w:rsidRDefault="007C31E1" w:rsidP="007C31E1">
      <w:pPr>
        <w:contextualSpacing/>
        <w:jc w:val="both"/>
        <w:rPr>
          <w:rFonts w:ascii="Times New Roman" w:hAnsi="Times New Roman" w:cs="Times New Roman"/>
          <w:sz w:val="20"/>
          <w:szCs w:val="20"/>
        </w:rPr>
      </w:pPr>
      <w:r w:rsidRPr="00181ADD">
        <w:rPr>
          <w:rFonts w:ascii="Times New Roman" w:hAnsi="Times New Roman" w:cs="Times New Roman"/>
          <w:sz w:val="20"/>
          <w:szCs w:val="20"/>
        </w:rPr>
        <w:t xml:space="preserve">Źródło: opracowanie własne na podstawie </w:t>
      </w:r>
      <w:r>
        <w:rPr>
          <w:rFonts w:ascii="Times New Roman" w:hAnsi="Times New Roman" w:cs="Times New Roman"/>
          <w:sz w:val="20"/>
          <w:szCs w:val="20"/>
        </w:rPr>
        <w:t>Bazy danych EMIS wykonanej przez NOTORIA S.A.</w:t>
      </w:r>
    </w:p>
    <w:p w:rsidR="007C31E1" w:rsidRDefault="007C31E1" w:rsidP="00181ADD">
      <w:pPr>
        <w:spacing w:after="0" w:line="360" w:lineRule="auto"/>
        <w:ind w:firstLine="425"/>
        <w:jc w:val="both"/>
        <w:rPr>
          <w:rFonts w:ascii="Times New Roman" w:hAnsi="Times New Roman" w:cs="Times New Roman"/>
          <w:sz w:val="24"/>
          <w:szCs w:val="24"/>
        </w:rPr>
      </w:pPr>
    </w:p>
    <w:p w:rsidR="007C31E1" w:rsidRDefault="00181ADD" w:rsidP="00181ADD">
      <w:pPr>
        <w:spacing w:after="0" w:line="360" w:lineRule="auto"/>
        <w:ind w:firstLine="425"/>
        <w:jc w:val="both"/>
        <w:rPr>
          <w:rFonts w:ascii="Times New Roman" w:hAnsi="Times New Roman" w:cs="Times New Roman"/>
          <w:sz w:val="24"/>
          <w:szCs w:val="24"/>
        </w:rPr>
      </w:pPr>
      <w:r w:rsidRPr="00181ADD">
        <w:rPr>
          <w:rFonts w:ascii="Times New Roman" w:hAnsi="Times New Roman" w:cs="Times New Roman"/>
          <w:sz w:val="24"/>
          <w:szCs w:val="24"/>
        </w:rPr>
        <w:t xml:space="preserve">Znaczną stratę zanotowały w 2015 r. Bank BPH S.A. ROS= -21,38% i BOŚ S.A. (ROS= -4,15%), który w całym badanym okresie miał relatywnie najniższą rentowność przychodów.  Najwyższą rentowność przychodów (ROS) wśród badanych banków w analizowanym okresie miał Bank Handlowy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Pekao S.A. Średnia w całym okresie wynosiła odpowiednio 27,18% i 26,03% przy małym odchyleniu standardowym wynoszącym 1,47% i 5,46% (patrz tabela </w:t>
      </w:r>
      <w:r w:rsidR="007C31E1">
        <w:rPr>
          <w:rFonts w:ascii="Times New Roman" w:hAnsi="Times New Roman" w:cs="Times New Roman"/>
          <w:sz w:val="24"/>
          <w:szCs w:val="24"/>
        </w:rPr>
        <w:t>4</w:t>
      </w:r>
      <w:r w:rsidRPr="00181ADD">
        <w:rPr>
          <w:rFonts w:ascii="Times New Roman" w:hAnsi="Times New Roman" w:cs="Times New Roman"/>
          <w:sz w:val="24"/>
          <w:szCs w:val="24"/>
        </w:rPr>
        <w:t xml:space="preserve">). </w:t>
      </w:r>
    </w:p>
    <w:p w:rsidR="007C31E1" w:rsidRDefault="007C31E1" w:rsidP="007C31E1">
      <w:pPr>
        <w:pStyle w:val="Legenda"/>
        <w:keepNext/>
        <w:spacing w:after="0"/>
        <w:jc w:val="both"/>
        <w:rPr>
          <w:rFonts w:ascii="Times New Roman" w:hAnsi="Times New Roman"/>
          <w:color w:val="auto"/>
          <w:sz w:val="20"/>
          <w:szCs w:val="20"/>
        </w:rPr>
      </w:pPr>
      <w:r>
        <w:rPr>
          <w:rFonts w:ascii="Times New Roman" w:hAnsi="Times New Roman"/>
          <w:color w:val="auto"/>
          <w:sz w:val="20"/>
          <w:szCs w:val="20"/>
        </w:rPr>
        <w:t>Tabela 4. Średnie wskaźników ROS dla wybranych banków</w:t>
      </w:r>
      <w:r w:rsidR="002E7ADB">
        <w:rPr>
          <w:rFonts w:ascii="Times New Roman" w:hAnsi="Times New Roman"/>
          <w:color w:val="auto"/>
          <w:sz w:val="20"/>
          <w:szCs w:val="20"/>
        </w:rPr>
        <w:t xml:space="preserve"> w</w:t>
      </w:r>
      <w:r>
        <w:rPr>
          <w:rFonts w:ascii="Times New Roman" w:hAnsi="Times New Roman"/>
          <w:color w:val="auto"/>
          <w:sz w:val="20"/>
          <w:szCs w:val="20"/>
        </w:rPr>
        <w:t xml:space="preserve"> latach 2008-15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1159"/>
        <w:gridCol w:w="1460"/>
        <w:gridCol w:w="1202"/>
        <w:gridCol w:w="1490"/>
        <w:gridCol w:w="1833"/>
      </w:tblGrid>
      <w:tr w:rsidR="007C31E1" w:rsidTr="007C31E1">
        <w:trPr>
          <w:trHeight w:val="264"/>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
                <w:bCs/>
                <w:sz w:val="18"/>
                <w:szCs w:val="18"/>
              </w:rPr>
            </w:pPr>
            <w:r>
              <w:rPr>
                <w:rFonts w:ascii="Times New Roman" w:hAnsi="Times New Roman"/>
                <w:b/>
                <w:bCs/>
                <w:sz w:val="18"/>
                <w:szCs w:val="18"/>
              </w:rPr>
              <w:t>BANK/WYNIK 08-15</w:t>
            </w:r>
          </w:p>
        </w:tc>
        <w:tc>
          <w:tcPr>
            <w:tcW w:w="62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
                <w:bCs/>
                <w:sz w:val="18"/>
                <w:szCs w:val="18"/>
              </w:rPr>
            </w:pPr>
            <w:r>
              <w:rPr>
                <w:rFonts w:ascii="Times New Roman" w:hAnsi="Times New Roman"/>
                <w:b/>
                <w:bCs/>
                <w:sz w:val="18"/>
                <w:szCs w:val="18"/>
              </w:rPr>
              <w:t>MIN</w:t>
            </w:r>
          </w:p>
        </w:tc>
        <w:tc>
          <w:tcPr>
            <w:tcW w:w="786"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
                <w:bCs/>
                <w:sz w:val="18"/>
                <w:szCs w:val="18"/>
              </w:rPr>
            </w:pPr>
            <w:r>
              <w:rPr>
                <w:rFonts w:ascii="Times New Roman" w:hAnsi="Times New Roman"/>
                <w:b/>
                <w:bCs/>
                <w:sz w:val="18"/>
                <w:szCs w:val="18"/>
              </w:rPr>
              <w:t>MAKS</w:t>
            </w:r>
          </w:p>
        </w:tc>
        <w:tc>
          <w:tcPr>
            <w:tcW w:w="647"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
                <w:bCs/>
                <w:sz w:val="18"/>
                <w:szCs w:val="18"/>
              </w:rPr>
            </w:pPr>
            <w:r>
              <w:rPr>
                <w:rFonts w:ascii="Times New Roman" w:hAnsi="Times New Roman"/>
                <w:b/>
                <w:bCs/>
                <w:sz w:val="18"/>
                <w:szCs w:val="18"/>
              </w:rPr>
              <w:t>ŚR</w:t>
            </w:r>
          </w:p>
        </w:tc>
        <w:tc>
          <w:tcPr>
            <w:tcW w:w="802"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
                <w:bCs/>
                <w:sz w:val="18"/>
                <w:szCs w:val="18"/>
              </w:rPr>
            </w:pPr>
            <w:r>
              <w:rPr>
                <w:rFonts w:ascii="Times New Roman" w:hAnsi="Times New Roman"/>
                <w:b/>
                <w:bCs/>
                <w:sz w:val="18"/>
                <w:szCs w:val="18"/>
              </w:rPr>
              <w:t>MEDIANA</w:t>
            </w:r>
          </w:p>
        </w:tc>
        <w:tc>
          <w:tcPr>
            <w:tcW w:w="987"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
                <w:bCs/>
                <w:sz w:val="18"/>
                <w:szCs w:val="18"/>
              </w:rPr>
            </w:pPr>
            <w:r>
              <w:rPr>
                <w:rFonts w:ascii="Times New Roman" w:hAnsi="Times New Roman"/>
                <w:b/>
                <w:bCs/>
                <w:sz w:val="18"/>
                <w:szCs w:val="18"/>
              </w:rPr>
              <w:t>ODCHYLENIE</w:t>
            </w:r>
          </w:p>
        </w:tc>
      </w:tr>
      <w:tr w:rsidR="007C31E1" w:rsidTr="007C31E1">
        <w:trPr>
          <w:trHeight w:val="396"/>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Cs/>
                <w:sz w:val="18"/>
                <w:szCs w:val="18"/>
              </w:rPr>
            </w:pPr>
            <w:r>
              <w:rPr>
                <w:rFonts w:ascii="Times New Roman" w:hAnsi="Times New Roman"/>
                <w:bCs/>
                <w:sz w:val="18"/>
                <w:szCs w:val="18"/>
              </w:rPr>
              <w:t>Bank Handlowy w Warszawie S.A.</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17,33%</w:t>
            </w:r>
          </w:p>
        </w:tc>
        <w:tc>
          <w:tcPr>
            <w:tcW w:w="786"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34,60%</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26,03%</w:t>
            </w:r>
          </w:p>
        </w:tc>
        <w:tc>
          <w:tcPr>
            <w:tcW w:w="802"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25,52%</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5,46%</w:t>
            </w:r>
          </w:p>
        </w:tc>
      </w:tr>
      <w:tr w:rsidR="007C31E1" w:rsidTr="007C31E1">
        <w:trPr>
          <w:trHeight w:val="300"/>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Cs/>
                <w:sz w:val="18"/>
                <w:szCs w:val="18"/>
              </w:rPr>
            </w:pPr>
            <w:r>
              <w:rPr>
                <w:rFonts w:ascii="Times New Roman" w:hAnsi="Times New Roman"/>
                <w:bCs/>
                <w:sz w:val="18"/>
                <w:szCs w:val="18"/>
              </w:rPr>
              <w:t>BOŚ S.A.</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-4,66%</w:t>
            </w:r>
          </w:p>
        </w:tc>
        <w:tc>
          <w:tcPr>
            <w:tcW w:w="786"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6,58%</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3,58%</w:t>
            </w:r>
          </w:p>
        </w:tc>
        <w:tc>
          <w:tcPr>
            <w:tcW w:w="802"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5,50%</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3,73%</w:t>
            </w:r>
          </w:p>
        </w:tc>
      </w:tr>
      <w:tr w:rsidR="007C31E1" w:rsidTr="007C31E1">
        <w:trPr>
          <w:trHeight w:val="300"/>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Cs/>
                <w:sz w:val="18"/>
                <w:szCs w:val="18"/>
              </w:rPr>
            </w:pPr>
            <w:r>
              <w:rPr>
                <w:rFonts w:ascii="Times New Roman" w:hAnsi="Times New Roman"/>
                <w:bCs/>
                <w:sz w:val="18"/>
                <w:szCs w:val="18"/>
              </w:rPr>
              <w:t>Bank BPH S.A.</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-21,38%</w:t>
            </w:r>
          </w:p>
        </w:tc>
        <w:tc>
          <w:tcPr>
            <w:tcW w:w="786"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13,26%</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3,08%</w:t>
            </w:r>
          </w:p>
        </w:tc>
        <w:tc>
          <w:tcPr>
            <w:tcW w:w="802"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6,91%</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10,71%</w:t>
            </w:r>
          </w:p>
        </w:tc>
      </w:tr>
      <w:tr w:rsidR="007C31E1" w:rsidTr="007C31E1">
        <w:trPr>
          <w:trHeight w:val="300"/>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Cs/>
                <w:sz w:val="18"/>
                <w:szCs w:val="18"/>
              </w:rPr>
            </w:pPr>
            <w:r>
              <w:rPr>
                <w:rFonts w:ascii="Times New Roman" w:hAnsi="Times New Roman"/>
                <w:bCs/>
                <w:sz w:val="18"/>
                <w:szCs w:val="18"/>
              </w:rPr>
              <w:t>BZ WBK S.A.</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18,26%</w:t>
            </w:r>
          </w:p>
        </w:tc>
        <w:tc>
          <w:tcPr>
            <w:tcW w:w="786"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26,69%</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22,55%</w:t>
            </w:r>
          </w:p>
        </w:tc>
        <w:tc>
          <w:tcPr>
            <w:tcW w:w="802"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22,44%</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2,68%</w:t>
            </w:r>
          </w:p>
        </w:tc>
      </w:tr>
      <w:tr w:rsidR="007C31E1" w:rsidTr="007C31E1">
        <w:trPr>
          <w:trHeight w:val="300"/>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Cs/>
                <w:sz w:val="18"/>
                <w:szCs w:val="18"/>
              </w:rPr>
            </w:pPr>
            <w:r>
              <w:rPr>
                <w:rFonts w:ascii="Times New Roman" w:hAnsi="Times New Roman"/>
                <w:bCs/>
                <w:sz w:val="18"/>
                <w:szCs w:val="18"/>
              </w:rPr>
              <w:t>ING BSK S.A.</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10,33%</w:t>
            </w:r>
          </w:p>
        </w:tc>
        <w:tc>
          <w:tcPr>
            <w:tcW w:w="786"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23,32%</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17,65%</w:t>
            </w:r>
          </w:p>
        </w:tc>
        <w:tc>
          <w:tcPr>
            <w:tcW w:w="802"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18,33%</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4,06%</w:t>
            </w:r>
          </w:p>
        </w:tc>
      </w:tr>
      <w:tr w:rsidR="007C31E1" w:rsidTr="007C31E1">
        <w:trPr>
          <w:trHeight w:val="300"/>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Cs/>
                <w:sz w:val="18"/>
                <w:szCs w:val="18"/>
              </w:rPr>
            </w:pPr>
            <w:proofErr w:type="spellStart"/>
            <w:r>
              <w:rPr>
                <w:rFonts w:ascii="Times New Roman" w:hAnsi="Times New Roman"/>
                <w:bCs/>
                <w:sz w:val="18"/>
                <w:szCs w:val="18"/>
              </w:rPr>
              <w:t>Mbank</w:t>
            </w:r>
            <w:proofErr w:type="spellEnd"/>
            <w:r>
              <w:rPr>
                <w:rFonts w:ascii="Times New Roman" w:hAnsi="Times New Roman"/>
                <w:bCs/>
                <w:sz w:val="18"/>
                <w:szCs w:val="18"/>
              </w:rPr>
              <w:t xml:space="preserve"> S.A.</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1,38%</w:t>
            </w:r>
          </w:p>
        </w:tc>
        <w:tc>
          <w:tcPr>
            <w:tcW w:w="786"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24,76%</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17,84%</w:t>
            </w:r>
          </w:p>
        </w:tc>
        <w:tc>
          <w:tcPr>
            <w:tcW w:w="802"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20,84%</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7,13%</w:t>
            </w:r>
          </w:p>
        </w:tc>
      </w:tr>
      <w:tr w:rsidR="007C31E1" w:rsidTr="007C31E1">
        <w:trPr>
          <w:trHeight w:val="300"/>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Cs/>
                <w:sz w:val="18"/>
                <w:szCs w:val="18"/>
              </w:rPr>
            </w:pPr>
            <w:r>
              <w:rPr>
                <w:rFonts w:ascii="Times New Roman" w:hAnsi="Times New Roman"/>
                <w:bCs/>
                <w:sz w:val="18"/>
                <w:szCs w:val="18"/>
              </w:rPr>
              <w:t>Bank Millennium S.A.</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2,65%</w:t>
            </w:r>
          </w:p>
        </w:tc>
        <w:tc>
          <w:tcPr>
            <w:tcW w:w="786"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23,99%</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13,64%</w:t>
            </w:r>
          </w:p>
        </w:tc>
        <w:tc>
          <w:tcPr>
            <w:tcW w:w="802"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13,41%</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5,79%</w:t>
            </w:r>
          </w:p>
        </w:tc>
      </w:tr>
      <w:tr w:rsidR="007C31E1" w:rsidTr="007C31E1">
        <w:trPr>
          <w:trHeight w:val="300"/>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Cs/>
                <w:sz w:val="18"/>
                <w:szCs w:val="18"/>
              </w:rPr>
            </w:pPr>
            <w:r>
              <w:rPr>
                <w:rFonts w:ascii="Times New Roman" w:hAnsi="Times New Roman"/>
                <w:bCs/>
                <w:sz w:val="18"/>
                <w:szCs w:val="18"/>
              </w:rPr>
              <w:t>Bank Pekao S.A.</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24,70%</w:t>
            </w:r>
          </w:p>
        </w:tc>
        <w:tc>
          <w:tcPr>
            <w:tcW w:w="786"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29,11%</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27,28%</w:t>
            </w:r>
          </w:p>
        </w:tc>
        <w:tc>
          <w:tcPr>
            <w:tcW w:w="802"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27,27%</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1,47%</w:t>
            </w:r>
          </w:p>
        </w:tc>
      </w:tr>
      <w:tr w:rsidR="007C31E1" w:rsidTr="007C31E1">
        <w:trPr>
          <w:trHeight w:val="300"/>
        </w:trPr>
        <w:tc>
          <w:tcPr>
            <w:tcW w:w="1154" w:type="pct"/>
            <w:tcBorders>
              <w:top w:val="single" w:sz="4" w:space="0" w:color="auto"/>
              <w:left w:val="single" w:sz="4" w:space="0" w:color="auto"/>
              <w:bottom w:val="single" w:sz="4" w:space="0" w:color="auto"/>
              <w:right w:val="single" w:sz="4" w:space="0" w:color="auto"/>
            </w:tcBorders>
            <w:vAlign w:val="center"/>
            <w:hideMark/>
          </w:tcPr>
          <w:p w:rsidR="007C31E1" w:rsidRDefault="007C31E1">
            <w:pPr>
              <w:spacing w:after="0" w:line="240" w:lineRule="auto"/>
              <w:jc w:val="center"/>
              <w:rPr>
                <w:rFonts w:ascii="Times New Roman" w:hAnsi="Times New Roman"/>
                <w:bCs/>
                <w:sz w:val="18"/>
                <w:szCs w:val="18"/>
              </w:rPr>
            </w:pPr>
            <w:r>
              <w:rPr>
                <w:rFonts w:ascii="Times New Roman" w:hAnsi="Times New Roman"/>
                <w:bCs/>
                <w:sz w:val="18"/>
                <w:szCs w:val="18"/>
              </w:rPr>
              <w:t>PKO BP S.A.</w:t>
            </w:r>
          </w:p>
        </w:tc>
        <w:tc>
          <w:tcPr>
            <w:tcW w:w="624"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19,09%</w:t>
            </w:r>
          </w:p>
        </w:tc>
        <w:tc>
          <w:tcPr>
            <w:tcW w:w="786"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25,02%</w:t>
            </w:r>
          </w:p>
        </w:tc>
        <w:tc>
          <w:tcPr>
            <w:tcW w:w="64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21,94%</w:t>
            </w:r>
          </w:p>
        </w:tc>
        <w:tc>
          <w:tcPr>
            <w:tcW w:w="802"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22,03%</w:t>
            </w:r>
          </w:p>
        </w:tc>
        <w:tc>
          <w:tcPr>
            <w:tcW w:w="987" w:type="pct"/>
            <w:tcBorders>
              <w:top w:val="single" w:sz="4" w:space="0" w:color="auto"/>
              <w:left w:val="single" w:sz="4" w:space="0" w:color="auto"/>
              <w:bottom w:val="single" w:sz="4" w:space="0" w:color="auto"/>
              <w:right w:val="single" w:sz="4" w:space="0" w:color="auto"/>
            </w:tcBorders>
            <w:noWrap/>
            <w:vAlign w:val="center"/>
            <w:hideMark/>
          </w:tcPr>
          <w:p w:rsidR="007C31E1" w:rsidRDefault="007C31E1">
            <w:pPr>
              <w:spacing w:after="0" w:line="240" w:lineRule="auto"/>
              <w:jc w:val="center"/>
              <w:rPr>
                <w:rFonts w:ascii="Times New Roman" w:hAnsi="Times New Roman"/>
                <w:sz w:val="18"/>
                <w:szCs w:val="18"/>
              </w:rPr>
            </w:pPr>
            <w:r>
              <w:rPr>
                <w:rFonts w:ascii="Times New Roman" w:hAnsi="Times New Roman"/>
                <w:sz w:val="18"/>
                <w:szCs w:val="18"/>
              </w:rPr>
              <w:t>1,96%</w:t>
            </w:r>
          </w:p>
        </w:tc>
      </w:tr>
    </w:tbl>
    <w:p w:rsidR="007C31E1" w:rsidRDefault="007C31E1" w:rsidP="007C31E1">
      <w:pPr>
        <w:spacing w:before="240" w:after="240"/>
        <w:contextualSpacing/>
        <w:jc w:val="both"/>
        <w:rPr>
          <w:rFonts w:ascii="Times New Roman" w:hAnsi="Times New Roman"/>
          <w:sz w:val="20"/>
          <w:szCs w:val="20"/>
        </w:rPr>
      </w:pPr>
      <w:r>
        <w:rPr>
          <w:rFonts w:ascii="Times New Roman" w:hAnsi="Times New Roman"/>
          <w:sz w:val="20"/>
          <w:szCs w:val="20"/>
        </w:rPr>
        <w:lastRenderedPageBreak/>
        <w:t>Źródło: opracowanie własne na podstawie Bazy danych EMIS wykonanej przez NOTORIA S.A.</w:t>
      </w:r>
    </w:p>
    <w:p w:rsidR="007C31E1" w:rsidRPr="007C31E1" w:rsidRDefault="007C31E1" w:rsidP="007C31E1">
      <w:pPr>
        <w:spacing w:before="240" w:after="240"/>
        <w:contextualSpacing/>
        <w:jc w:val="both"/>
        <w:rPr>
          <w:rFonts w:ascii="Times New Roman" w:hAnsi="Times New Roman"/>
          <w:sz w:val="20"/>
          <w:szCs w:val="20"/>
        </w:rPr>
      </w:pPr>
    </w:p>
    <w:p w:rsidR="00D7727D" w:rsidRDefault="00181ADD" w:rsidP="007C31E1">
      <w:pPr>
        <w:spacing w:after="0" w:line="360" w:lineRule="auto"/>
        <w:ind w:firstLine="425"/>
        <w:jc w:val="both"/>
        <w:rPr>
          <w:rFonts w:ascii="Times New Roman" w:hAnsi="Times New Roman" w:cs="Times New Roman"/>
          <w:sz w:val="24"/>
          <w:szCs w:val="24"/>
        </w:rPr>
      </w:pPr>
      <w:r w:rsidRPr="00181ADD">
        <w:rPr>
          <w:rFonts w:ascii="Times New Roman" w:hAnsi="Times New Roman" w:cs="Times New Roman"/>
          <w:sz w:val="24"/>
          <w:szCs w:val="24"/>
        </w:rPr>
        <w:t xml:space="preserve">Bardzo dobrym wynikiem w zakresie ROS może pochwalić się BZWBK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PKOBP S.A. </w:t>
      </w:r>
      <w:proofErr w:type="gramStart"/>
      <w:r w:rsidRPr="00181ADD">
        <w:rPr>
          <w:rFonts w:ascii="Times New Roman" w:hAnsi="Times New Roman" w:cs="Times New Roman"/>
          <w:sz w:val="24"/>
          <w:szCs w:val="24"/>
        </w:rPr>
        <w:t>dla</w:t>
      </w:r>
      <w:proofErr w:type="gramEnd"/>
      <w:r w:rsidRPr="00181ADD">
        <w:rPr>
          <w:rFonts w:ascii="Times New Roman" w:hAnsi="Times New Roman" w:cs="Times New Roman"/>
          <w:sz w:val="24"/>
          <w:szCs w:val="24"/>
        </w:rPr>
        <w:t xml:space="preserve"> których średnia rentowność przychodów w badanych latach wynosiła odpowiednio 22,55% i 21,94% przy odchyleniu w</w:t>
      </w:r>
      <w:r w:rsidR="00A77883">
        <w:rPr>
          <w:rFonts w:ascii="Times New Roman" w:hAnsi="Times New Roman" w:cs="Times New Roman"/>
          <w:sz w:val="24"/>
          <w:szCs w:val="24"/>
        </w:rPr>
        <w:t>ynoszącym 2,68% i 1,96% (patrz tabela 4).</w:t>
      </w:r>
      <w:r w:rsidRPr="00181ADD">
        <w:rPr>
          <w:rFonts w:ascii="Times New Roman" w:hAnsi="Times New Roman" w:cs="Times New Roman"/>
          <w:sz w:val="24"/>
          <w:szCs w:val="24"/>
        </w:rPr>
        <w:t xml:space="preserve"> Wymienione banki charakteryzuje silna i stabilna pozycja w zakresie rentowności przychodów a ich działalność jest obarczona mniejszą zmiennością i związanym z tym ryzykiem. Na drugim skrajnym biegunie plasują się Bank BPH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BOŚ S.A. z najniższymi średnimi rentownościami ROS wynoszącym odpowiednio 3,08% i 3,58% oraz największym odchyleniem standardowym </w:t>
      </w:r>
      <w:proofErr w:type="gramStart"/>
      <w:r w:rsidRPr="00181ADD">
        <w:rPr>
          <w:rFonts w:ascii="Times New Roman" w:hAnsi="Times New Roman" w:cs="Times New Roman"/>
          <w:sz w:val="24"/>
          <w:szCs w:val="24"/>
        </w:rPr>
        <w:t>dla  BPH</w:t>
      </w:r>
      <w:proofErr w:type="gramEnd"/>
      <w:r w:rsidRPr="00181ADD">
        <w:rPr>
          <w:rFonts w:ascii="Times New Roman" w:hAnsi="Times New Roman" w:cs="Times New Roman"/>
          <w:sz w:val="24"/>
          <w:szCs w:val="24"/>
        </w:rPr>
        <w:t xml:space="preserve"> S.A.  (10,71% ). Pozostałe banki tj. ING BSK S.A., MBank S.A. </w:t>
      </w:r>
      <w:proofErr w:type="gramStart"/>
      <w:r w:rsidRPr="00181ADD">
        <w:rPr>
          <w:rFonts w:ascii="Times New Roman" w:hAnsi="Times New Roman" w:cs="Times New Roman"/>
          <w:sz w:val="24"/>
          <w:szCs w:val="24"/>
        </w:rPr>
        <w:t>oraz</w:t>
      </w:r>
      <w:proofErr w:type="gramEnd"/>
      <w:r w:rsidRPr="00181ADD">
        <w:rPr>
          <w:rFonts w:ascii="Times New Roman" w:hAnsi="Times New Roman" w:cs="Times New Roman"/>
          <w:sz w:val="24"/>
          <w:szCs w:val="24"/>
        </w:rPr>
        <w:t xml:space="preserve"> Bank Millenium S.A. </w:t>
      </w:r>
      <w:proofErr w:type="gramStart"/>
      <w:r w:rsidRPr="00181ADD">
        <w:rPr>
          <w:rFonts w:ascii="Times New Roman" w:hAnsi="Times New Roman" w:cs="Times New Roman"/>
          <w:sz w:val="24"/>
          <w:szCs w:val="24"/>
        </w:rPr>
        <w:t>należą</w:t>
      </w:r>
      <w:proofErr w:type="gramEnd"/>
      <w:r w:rsidRPr="00181ADD">
        <w:rPr>
          <w:rFonts w:ascii="Times New Roman" w:hAnsi="Times New Roman" w:cs="Times New Roman"/>
          <w:sz w:val="24"/>
          <w:szCs w:val="24"/>
        </w:rPr>
        <w:t xml:space="preserve"> do grupy „średniaków” pod względem rentowności przychodów</w:t>
      </w:r>
      <w:r w:rsidR="00D7727D">
        <w:rPr>
          <w:rFonts w:ascii="Times New Roman" w:hAnsi="Times New Roman" w:cs="Times New Roman"/>
          <w:sz w:val="24"/>
          <w:szCs w:val="24"/>
        </w:rPr>
        <w:t>.</w:t>
      </w:r>
    </w:p>
    <w:p w:rsidR="00D7727D" w:rsidRPr="00181ADD" w:rsidRDefault="00D7727D" w:rsidP="00181ADD">
      <w:pPr>
        <w:spacing w:after="0" w:line="360" w:lineRule="auto"/>
        <w:ind w:firstLine="425"/>
        <w:jc w:val="both"/>
        <w:rPr>
          <w:rFonts w:ascii="Times New Roman" w:hAnsi="Times New Roman" w:cs="Times New Roman"/>
          <w:sz w:val="24"/>
          <w:szCs w:val="24"/>
        </w:rPr>
      </w:pPr>
      <w:r>
        <w:rPr>
          <w:noProof/>
          <w:lang w:eastAsia="pl-PL"/>
        </w:rPr>
        <w:drawing>
          <wp:inline distT="0" distB="0" distL="0" distR="0" wp14:anchorId="233BCD98" wp14:editId="484B0155">
            <wp:extent cx="5760720" cy="2742293"/>
            <wp:effectExtent l="0" t="0" r="0" b="127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727D" w:rsidRDefault="00D7727D" w:rsidP="00D7727D">
      <w:pPr>
        <w:pStyle w:val="Legenda"/>
        <w:spacing w:after="0"/>
        <w:rPr>
          <w:rFonts w:ascii="Times New Roman" w:hAnsi="Times New Roman" w:cs="Times New Roman"/>
          <w:color w:val="auto"/>
          <w:sz w:val="20"/>
          <w:szCs w:val="20"/>
        </w:rPr>
      </w:pPr>
      <w:r w:rsidRPr="00B12F7A">
        <w:rPr>
          <w:rFonts w:ascii="Times New Roman" w:hAnsi="Times New Roman" w:cs="Times New Roman"/>
          <w:color w:val="auto"/>
          <w:sz w:val="20"/>
          <w:szCs w:val="20"/>
        </w:rPr>
        <w:t xml:space="preserve">Rys. </w:t>
      </w:r>
      <w:r w:rsidR="00412417">
        <w:rPr>
          <w:rFonts w:ascii="Times New Roman" w:hAnsi="Times New Roman" w:cs="Times New Roman"/>
          <w:color w:val="auto"/>
          <w:sz w:val="20"/>
          <w:szCs w:val="20"/>
        </w:rPr>
        <w:t>1.</w:t>
      </w:r>
      <w:r w:rsidRPr="00B12F7A">
        <w:rPr>
          <w:rFonts w:ascii="Times New Roman" w:hAnsi="Times New Roman" w:cs="Times New Roman"/>
          <w:color w:val="auto"/>
          <w:sz w:val="20"/>
          <w:szCs w:val="20"/>
        </w:rPr>
        <w:t xml:space="preserve"> Przebieg wskaźnika </w:t>
      </w:r>
      <w:r>
        <w:rPr>
          <w:rFonts w:ascii="Times New Roman" w:hAnsi="Times New Roman" w:cs="Times New Roman"/>
          <w:color w:val="auto"/>
          <w:sz w:val="20"/>
          <w:szCs w:val="20"/>
        </w:rPr>
        <w:t>ROS</w:t>
      </w:r>
      <w:r w:rsidRPr="00B12F7A">
        <w:rPr>
          <w:rFonts w:ascii="Times New Roman" w:hAnsi="Times New Roman" w:cs="Times New Roman"/>
          <w:color w:val="auto"/>
          <w:sz w:val="20"/>
          <w:szCs w:val="20"/>
        </w:rPr>
        <w:t xml:space="preserve"> dla wybranych banków w latach 2008-15</w:t>
      </w:r>
    </w:p>
    <w:p w:rsidR="00D7727D" w:rsidRPr="00020097" w:rsidRDefault="00D7727D" w:rsidP="00D7727D">
      <w:pPr>
        <w:spacing w:after="0" w:line="240" w:lineRule="auto"/>
        <w:contextualSpacing/>
        <w:jc w:val="both"/>
        <w:rPr>
          <w:rFonts w:ascii="Times New Roman" w:hAnsi="Times New Roman" w:cs="Times New Roman"/>
          <w:sz w:val="20"/>
          <w:szCs w:val="20"/>
        </w:rPr>
      </w:pPr>
      <w:r w:rsidRPr="00181ADD">
        <w:rPr>
          <w:rFonts w:ascii="Times New Roman" w:hAnsi="Times New Roman" w:cs="Times New Roman"/>
          <w:sz w:val="20"/>
          <w:szCs w:val="20"/>
        </w:rPr>
        <w:t xml:space="preserve">Źródło: opracowanie własne na podstawie </w:t>
      </w:r>
      <w:r>
        <w:rPr>
          <w:rFonts w:ascii="Times New Roman" w:hAnsi="Times New Roman" w:cs="Times New Roman"/>
          <w:sz w:val="20"/>
          <w:szCs w:val="20"/>
        </w:rPr>
        <w:t>Bazy danych EMIS wykonanej przez NOTORIA S.A.</w:t>
      </w:r>
    </w:p>
    <w:p w:rsidR="00D7727D" w:rsidRDefault="00D7727D" w:rsidP="00D7727D">
      <w:pPr>
        <w:spacing w:after="0" w:line="360" w:lineRule="auto"/>
        <w:jc w:val="both"/>
        <w:rPr>
          <w:rFonts w:ascii="Times New Roman" w:hAnsi="Times New Roman" w:cs="Times New Roman"/>
          <w:sz w:val="24"/>
          <w:szCs w:val="24"/>
        </w:rPr>
      </w:pPr>
    </w:p>
    <w:p w:rsidR="00181ADD" w:rsidRDefault="00181ADD" w:rsidP="00181ADD">
      <w:pPr>
        <w:spacing w:after="0" w:line="360" w:lineRule="auto"/>
        <w:ind w:firstLine="425"/>
        <w:jc w:val="both"/>
        <w:rPr>
          <w:rFonts w:ascii="Times New Roman" w:hAnsi="Times New Roman" w:cs="Times New Roman"/>
          <w:sz w:val="24"/>
          <w:szCs w:val="24"/>
        </w:rPr>
      </w:pPr>
      <w:r w:rsidRPr="00181ADD">
        <w:rPr>
          <w:rFonts w:ascii="Times New Roman" w:hAnsi="Times New Roman" w:cs="Times New Roman"/>
          <w:sz w:val="24"/>
          <w:szCs w:val="24"/>
        </w:rPr>
        <w:t>Analizując rentowność aktywów (RO</w:t>
      </w:r>
      <w:r w:rsidR="00621C79">
        <w:rPr>
          <w:rFonts w:ascii="Times New Roman" w:hAnsi="Times New Roman" w:cs="Times New Roman"/>
          <w:sz w:val="24"/>
          <w:szCs w:val="24"/>
        </w:rPr>
        <w:t>A) należy stwierdzić, że 2 banki</w:t>
      </w:r>
      <w:r w:rsidRPr="00181ADD">
        <w:rPr>
          <w:rFonts w:ascii="Times New Roman" w:hAnsi="Times New Roman" w:cs="Times New Roman"/>
          <w:sz w:val="24"/>
          <w:szCs w:val="24"/>
        </w:rPr>
        <w:t xml:space="preserve"> </w:t>
      </w:r>
      <w:r w:rsidR="00621C79">
        <w:rPr>
          <w:rFonts w:ascii="Times New Roman" w:hAnsi="Times New Roman" w:cs="Times New Roman"/>
          <w:sz w:val="24"/>
          <w:szCs w:val="24"/>
        </w:rPr>
        <w:t xml:space="preserve">ING BSK S.A. </w:t>
      </w:r>
      <w:proofErr w:type="gramStart"/>
      <w:r w:rsidR="00621C79">
        <w:rPr>
          <w:rFonts w:ascii="Times New Roman" w:hAnsi="Times New Roman" w:cs="Times New Roman"/>
          <w:sz w:val="24"/>
          <w:szCs w:val="24"/>
        </w:rPr>
        <w:t>oraz</w:t>
      </w:r>
      <w:proofErr w:type="gramEnd"/>
      <w:r w:rsidR="00621C79">
        <w:rPr>
          <w:rFonts w:ascii="Times New Roman" w:hAnsi="Times New Roman" w:cs="Times New Roman"/>
          <w:sz w:val="24"/>
          <w:szCs w:val="24"/>
        </w:rPr>
        <w:t xml:space="preserve"> Millenium</w:t>
      </w:r>
      <w:r w:rsidRPr="00181ADD">
        <w:rPr>
          <w:rFonts w:ascii="Times New Roman" w:hAnsi="Times New Roman" w:cs="Times New Roman"/>
          <w:sz w:val="24"/>
          <w:szCs w:val="24"/>
        </w:rPr>
        <w:t xml:space="preserve"> podwyższył</w:t>
      </w:r>
      <w:r w:rsidR="00621C79">
        <w:rPr>
          <w:rFonts w:ascii="Times New Roman" w:hAnsi="Times New Roman" w:cs="Times New Roman"/>
          <w:sz w:val="24"/>
          <w:szCs w:val="24"/>
        </w:rPr>
        <w:t>y</w:t>
      </w:r>
      <w:r w:rsidRPr="00181ADD">
        <w:rPr>
          <w:rFonts w:ascii="Times New Roman" w:hAnsi="Times New Roman" w:cs="Times New Roman"/>
          <w:sz w:val="24"/>
          <w:szCs w:val="24"/>
        </w:rPr>
        <w:t xml:space="preserve"> wskaźnik ROA </w:t>
      </w:r>
      <w:r w:rsidR="00117FE5">
        <w:rPr>
          <w:rFonts w:ascii="Times New Roman" w:hAnsi="Times New Roman" w:cs="Times New Roman"/>
          <w:sz w:val="24"/>
          <w:szCs w:val="24"/>
        </w:rPr>
        <w:t>odpowiednio b</w:t>
      </w:r>
      <w:r w:rsidR="007C31E1">
        <w:rPr>
          <w:rFonts w:ascii="Times New Roman" w:hAnsi="Times New Roman" w:cs="Times New Roman"/>
          <w:sz w:val="24"/>
          <w:szCs w:val="24"/>
        </w:rPr>
        <w:t>ank</w:t>
      </w:r>
      <w:r w:rsidR="00117FE5">
        <w:rPr>
          <w:rFonts w:ascii="Times New Roman" w:hAnsi="Times New Roman" w:cs="Times New Roman"/>
          <w:sz w:val="24"/>
          <w:szCs w:val="24"/>
        </w:rPr>
        <w:t xml:space="preserve"> ING BSK S.A. </w:t>
      </w:r>
      <w:proofErr w:type="gramStart"/>
      <w:r w:rsidR="00621C79" w:rsidRPr="00181ADD">
        <w:rPr>
          <w:rFonts w:ascii="Times New Roman" w:hAnsi="Times New Roman" w:cs="Times New Roman"/>
          <w:sz w:val="24"/>
          <w:szCs w:val="24"/>
        </w:rPr>
        <w:t>z</w:t>
      </w:r>
      <w:proofErr w:type="gramEnd"/>
      <w:r w:rsidR="00621C79" w:rsidRPr="00181ADD">
        <w:rPr>
          <w:rFonts w:ascii="Times New Roman" w:hAnsi="Times New Roman" w:cs="Times New Roman"/>
          <w:sz w:val="24"/>
          <w:szCs w:val="24"/>
        </w:rPr>
        <w:t xml:space="preserve"> </w:t>
      </w:r>
      <w:r w:rsidR="00621C79">
        <w:rPr>
          <w:rFonts w:ascii="Times New Roman" w:hAnsi="Times New Roman" w:cs="Times New Roman"/>
          <w:sz w:val="24"/>
          <w:szCs w:val="24"/>
        </w:rPr>
        <w:t>0</w:t>
      </w:r>
      <w:r w:rsidR="00621C79" w:rsidRPr="00181ADD">
        <w:rPr>
          <w:rFonts w:ascii="Times New Roman" w:hAnsi="Times New Roman" w:cs="Times New Roman"/>
          <w:sz w:val="24"/>
          <w:szCs w:val="24"/>
        </w:rPr>
        <w:t>,</w:t>
      </w:r>
      <w:r w:rsidR="00621C79">
        <w:rPr>
          <w:rFonts w:ascii="Times New Roman" w:hAnsi="Times New Roman" w:cs="Times New Roman"/>
          <w:sz w:val="24"/>
          <w:szCs w:val="24"/>
        </w:rPr>
        <w:t>66</w:t>
      </w:r>
      <w:r w:rsidR="00621C79" w:rsidRPr="00181ADD">
        <w:rPr>
          <w:rFonts w:ascii="Times New Roman" w:hAnsi="Times New Roman" w:cs="Times New Roman"/>
          <w:sz w:val="24"/>
          <w:szCs w:val="24"/>
        </w:rPr>
        <w:t xml:space="preserve"> % w 2008 r do 1,07% w 2015 r</w:t>
      </w:r>
      <w:r w:rsidR="00117FE5">
        <w:rPr>
          <w:rFonts w:ascii="Times New Roman" w:hAnsi="Times New Roman" w:cs="Times New Roman"/>
          <w:sz w:val="24"/>
          <w:szCs w:val="24"/>
        </w:rPr>
        <w:t>. a Millenium S.A.</w:t>
      </w:r>
      <w:r w:rsidR="00621C79" w:rsidRPr="00181ADD">
        <w:rPr>
          <w:rFonts w:ascii="Times New Roman" w:hAnsi="Times New Roman" w:cs="Times New Roman"/>
          <w:sz w:val="24"/>
          <w:szCs w:val="24"/>
        </w:rPr>
        <w:t xml:space="preserve"> </w:t>
      </w:r>
      <w:proofErr w:type="gramStart"/>
      <w:r w:rsidRPr="00181ADD">
        <w:rPr>
          <w:rFonts w:ascii="Times New Roman" w:hAnsi="Times New Roman" w:cs="Times New Roman"/>
          <w:sz w:val="24"/>
          <w:szCs w:val="24"/>
        </w:rPr>
        <w:t>z 1,08%  w</w:t>
      </w:r>
      <w:proofErr w:type="gramEnd"/>
      <w:r w:rsidRPr="00181ADD">
        <w:rPr>
          <w:rFonts w:ascii="Times New Roman" w:hAnsi="Times New Roman" w:cs="Times New Roman"/>
          <w:sz w:val="24"/>
          <w:szCs w:val="24"/>
        </w:rPr>
        <w:t xml:space="preserve"> 2008 r. do 1,23% w 2015</w:t>
      </w:r>
      <w:r w:rsidR="00412417">
        <w:rPr>
          <w:rFonts w:ascii="Times New Roman" w:hAnsi="Times New Roman" w:cs="Times New Roman"/>
          <w:sz w:val="24"/>
          <w:szCs w:val="24"/>
        </w:rPr>
        <w:t xml:space="preserve"> (zob. rys.2</w:t>
      </w:r>
      <w:r w:rsidR="003150B1">
        <w:rPr>
          <w:rFonts w:ascii="Times New Roman" w:hAnsi="Times New Roman" w:cs="Times New Roman"/>
          <w:sz w:val="24"/>
          <w:szCs w:val="24"/>
        </w:rPr>
        <w:t>)</w:t>
      </w:r>
      <w:r w:rsidRPr="00181ADD">
        <w:rPr>
          <w:rFonts w:ascii="Times New Roman" w:hAnsi="Times New Roman" w:cs="Times New Roman"/>
          <w:sz w:val="24"/>
          <w:szCs w:val="24"/>
        </w:rPr>
        <w:t xml:space="preserve">. Status quo w zasadzie z minimalnymi spadkami ROA zachowały BZWBK S.A. z 1,48% w 2008 r </w:t>
      </w:r>
      <w:proofErr w:type="gramStart"/>
      <w:r w:rsidR="00117FE5">
        <w:rPr>
          <w:rFonts w:ascii="Times New Roman" w:hAnsi="Times New Roman" w:cs="Times New Roman"/>
          <w:sz w:val="24"/>
          <w:szCs w:val="24"/>
        </w:rPr>
        <w:t>do 1,40%  w</w:t>
      </w:r>
      <w:proofErr w:type="gramEnd"/>
      <w:r w:rsidR="00117FE5">
        <w:rPr>
          <w:rFonts w:ascii="Times New Roman" w:hAnsi="Times New Roman" w:cs="Times New Roman"/>
          <w:sz w:val="24"/>
          <w:szCs w:val="24"/>
        </w:rPr>
        <w:t xml:space="preserve"> 2015 r., MBank S.A. </w:t>
      </w:r>
      <w:proofErr w:type="gramStart"/>
      <w:r w:rsidR="00117FE5">
        <w:rPr>
          <w:rFonts w:ascii="Times New Roman" w:hAnsi="Times New Roman" w:cs="Times New Roman"/>
          <w:sz w:val="24"/>
          <w:szCs w:val="24"/>
        </w:rPr>
        <w:t>z</w:t>
      </w:r>
      <w:proofErr w:type="gramEnd"/>
      <w:r w:rsidR="00117FE5">
        <w:rPr>
          <w:rFonts w:ascii="Times New Roman" w:hAnsi="Times New Roman" w:cs="Times New Roman"/>
          <w:sz w:val="24"/>
          <w:szCs w:val="24"/>
        </w:rPr>
        <w:t xml:space="preserve"> 1,23% w 2008 r. do 1,07% w 2015 r</w:t>
      </w:r>
      <w:r w:rsidRPr="00181ADD">
        <w:rPr>
          <w:rFonts w:ascii="Times New Roman" w:hAnsi="Times New Roman" w:cs="Times New Roman"/>
          <w:sz w:val="24"/>
          <w:szCs w:val="24"/>
        </w:rPr>
        <w:t xml:space="preserve">. i Bank Handlowy S.A. </w:t>
      </w:r>
      <w:proofErr w:type="gramStart"/>
      <w:r w:rsidRPr="00181ADD">
        <w:rPr>
          <w:rFonts w:ascii="Times New Roman" w:hAnsi="Times New Roman" w:cs="Times New Roman"/>
          <w:sz w:val="24"/>
          <w:szCs w:val="24"/>
        </w:rPr>
        <w:t>z</w:t>
      </w:r>
      <w:proofErr w:type="gramEnd"/>
      <w:r w:rsidRPr="00181ADD">
        <w:rPr>
          <w:rFonts w:ascii="Times New Roman" w:hAnsi="Times New Roman" w:cs="Times New Roman"/>
          <w:sz w:val="24"/>
          <w:szCs w:val="24"/>
        </w:rPr>
        <w:t xml:space="preserve"> 1,57% w 2008 r do 1,25 w 2015 r. Ujemny wskaźnik ROA w 2015 r. odnotowały Bank BPH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BOŚ S.A. odpowiednio -0,98% i -0,19% w 2015 r. Pozostałe banki </w:t>
      </w:r>
      <w:proofErr w:type="gramStart"/>
      <w:r w:rsidRPr="00181ADD">
        <w:rPr>
          <w:rFonts w:ascii="Times New Roman" w:hAnsi="Times New Roman" w:cs="Times New Roman"/>
          <w:sz w:val="24"/>
          <w:szCs w:val="24"/>
        </w:rPr>
        <w:t>tj.  Pekao</w:t>
      </w:r>
      <w:proofErr w:type="gramEnd"/>
      <w:r w:rsidRPr="00181ADD">
        <w:rPr>
          <w:rFonts w:ascii="Times New Roman" w:hAnsi="Times New Roman" w:cs="Times New Roman"/>
          <w:sz w:val="24"/>
          <w:szCs w:val="24"/>
        </w:rPr>
        <w:t xml:space="preserve">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PKO BP S.A. </w:t>
      </w:r>
      <w:proofErr w:type="gramStart"/>
      <w:r w:rsidRPr="00181ADD">
        <w:rPr>
          <w:rFonts w:ascii="Times New Roman" w:hAnsi="Times New Roman" w:cs="Times New Roman"/>
          <w:sz w:val="24"/>
          <w:szCs w:val="24"/>
        </w:rPr>
        <w:t>odnotowały</w:t>
      </w:r>
      <w:proofErr w:type="gramEnd"/>
      <w:r w:rsidRPr="00181ADD">
        <w:rPr>
          <w:rFonts w:ascii="Times New Roman" w:hAnsi="Times New Roman" w:cs="Times New Roman"/>
          <w:sz w:val="24"/>
          <w:szCs w:val="24"/>
        </w:rPr>
        <w:t xml:space="preserve"> prawie dwukrotny spadek ROA w 2015 r w porównani</w:t>
      </w:r>
      <w:r w:rsidR="003150B1">
        <w:rPr>
          <w:rFonts w:ascii="Times New Roman" w:hAnsi="Times New Roman" w:cs="Times New Roman"/>
          <w:sz w:val="24"/>
          <w:szCs w:val="24"/>
        </w:rPr>
        <w:t>u do roku 2008 (patrz t</w:t>
      </w:r>
      <w:r w:rsidR="001473C0">
        <w:rPr>
          <w:rFonts w:ascii="Times New Roman" w:hAnsi="Times New Roman" w:cs="Times New Roman"/>
          <w:sz w:val="24"/>
          <w:szCs w:val="24"/>
        </w:rPr>
        <w:t>abela 5</w:t>
      </w:r>
      <w:r w:rsidR="00306A30">
        <w:rPr>
          <w:rFonts w:ascii="Times New Roman" w:hAnsi="Times New Roman" w:cs="Times New Roman"/>
          <w:sz w:val="24"/>
          <w:szCs w:val="24"/>
        </w:rPr>
        <w:t>)</w:t>
      </w:r>
      <w:r w:rsidRPr="00181ADD">
        <w:rPr>
          <w:rFonts w:ascii="Times New Roman" w:hAnsi="Times New Roman" w:cs="Times New Roman"/>
          <w:sz w:val="24"/>
          <w:szCs w:val="24"/>
        </w:rPr>
        <w:t xml:space="preserve">. </w:t>
      </w:r>
    </w:p>
    <w:p w:rsidR="007C31E1" w:rsidRPr="0038566B" w:rsidRDefault="007C31E1" w:rsidP="007C31E1">
      <w:pPr>
        <w:pStyle w:val="Legenda"/>
        <w:keepNext/>
        <w:jc w:val="both"/>
        <w:rPr>
          <w:rFonts w:ascii="Times New Roman" w:hAnsi="Times New Roman" w:cs="Times New Roman"/>
          <w:color w:val="auto"/>
          <w:sz w:val="20"/>
          <w:szCs w:val="20"/>
        </w:rPr>
      </w:pPr>
      <w:r w:rsidRPr="0038566B">
        <w:rPr>
          <w:rFonts w:ascii="Times New Roman" w:hAnsi="Times New Roman" w:cs="Times New Roman"/>
          <w:color w:val="auto"/>
          <w:sz w:val="20"/>
          <w:szCs w:val="20"/>
        </w:rPr>
        <w:lastRenderedPageBreak/>
        <w:t xml:space="preserve">Tabela </w:t>
      </w:r>
      <w:r w:rsidR="001473C0">
        <w:rPr>
          <w:rFonts w:ascii="Times New Roman" w:hAnsi="Times New Roman" w:cs="Times New Roman"/>
          <w:color w:val="auto"/>
          <w:sz w:val="20"/>
          <w:szCs w:val="20"/>
        </w:rPr>
        <w:t>5</w:t>
      </w:r>
      <w:r w:rsidRPr="0038566B">
        <w:rPr>
          <w:rFonts w:ascii="Times New Roman" w:hAnsi="Times New Roman" w:cs="Times New Roman"/>
          <w:color w:val="auto"/>
          <w:sz w:val="20"/>
          <w:szCs w:val="20"/>
        </w:rPr>
        <w:t>. Wskaźniki RO</w:t>
      </w:r>
      <w:r>
        <w:rPr>
          <w:rFonts w:ascii="Times New Roman" w:hAnsi="Times New Roman" w:cs="Times New Roman"/>
          <w:color w:val="auto"/>
          <w:sz w:val="20"/>
          <w:szCs w:val="20"/>
        </w:rPr>
        <w:t>A</w:t>
      </w:r>
      <w:r w:rsidRPr="0038566B">
        <w:rPr>
          <w:rFonts w:ascii="Times New Roman" w:hAnsi="Times New Roman" w:cs="Times New Roman"/>
          <w:color w:val="auto"/>
          <w:sz w:val="20"/>
          <w:szCs w:val="20"/>
        </w:rPr>
        <w:t xml:space="preserve"> dla wybranych banków latach 2008-15</w:t>
      </w:r>
    </w:p>
    <w:tbl>
      <w:tblPr>
        <w:tblStyle w:val="Tabela-Siatka3"/>
        <w:tblW w:w="0" w:type="auto"/>
        <w:jc w:val="center"/>
        <w:tblLook w:val="04A0" w:firstRow="1" w:lastRow="0" w:firstColumn="1" w:lastColumn="0" w:noHBand="0" w:noVBand="1"/>
      </w:tblPr>
      <w:tblGrid>
        <w:gridCol w:w="1857"/>
        <w:gridCol w:w="733"/>
        <w:gridCol w:w="733"/>
        <w:gridCol w:w="741"/>
        <w:gridCol w:w="733"/>
        <w:gridCol w:w="733"/>
        <w:gridCol w:w="733"/>
        <w:gridCol w:w="733"/>
        <w:gridCol w:w="741"/>
      </w:tblGrid>
      <w:tr w:rsidR="007C31E1" w:rsidRPr="00181ADD" w:rsidTr="007D6D0E">
        <w:trPr>
          <w:trHeight w:val="600"/>
          <w:jc w:val="center"/>
        </w:trPr>
        <w:tc>
          <w:tcPr>
            <w:tcW w:w="0" w:type="auto"/>
            <w:noWrap/>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BANK/LATA</w:t>
            </w:r>
          </w:p>
        </w:tc>
        <w:tc>
          <w:tcPr>
            <w:tcW w:w="0" w:type="auto"/>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2008</w:t>
            </w:r>
          </w:p>
        </w:tc>
        <w:tc>
          <w:tcPr>
            <w:tcW w:w="0" w:type="auto"/>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2009</w:t>
            </w:r>
          </w:p>
        </w:tc>
        <w:tc>
          <w:tcPr>
            <w:tcW w:w="0" w:type="auto"/>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2010</w:t>
            </w:r>
          </w:p>
        </w:tc>
        <w:tc>
          <w:tcPr>
            <w:tcW w:w="0" w:type="auto"/>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2011</w:t>
            </w:r>
          </w:p>
        </w:tc>
        <w:tc>
          <w:tcPr>
            <w:tcW w:w="0" w:type="auto"/>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2012</w:t>
            </w:r>
          </w:p>
        </w:tc>
        <w:tc>
          <w:tcPr>
            <w:tcW w:w="0" w:type="auto"/>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2013</w:t>
            </w:r>
          </w:p>
        </w:tc>
        <w:tc>
          <w:tcPr>
            <w:tcW w:w="0" w:type="auto"/>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2014</w:t>
            </w:r>
          </w:p>
        </w:tc>
        <w:tc>
          <w:tcPr>
            <w:tcW w:w="0" w:type="auto"/>
            <w:vAlign w:val="center"/>
            <w:hideMark/>
          </w:tcPr>
          <w:p w:rsidR="007C31E1" w:rsidRPr="00181ADD" w:rsidRDefault="007C31E1" w:rsidP="007D6D0E">
            <w:pPr>
              <w:jc w:val="center"/>
              <w:rPr>
                <w:rFonts w:ascii="Times New Roman" w:hAnsi="Times New Roman" w:cs="Times New Roman"/>
                <w:b/>
                <w:sz w:val="18"/>
                <w:szCs w:val="18"/>
              </w:rPr>
            </w:pPr>
            <w:r w:rsidRPr="00181ADD">
              <w:rPr>
                <w:rFonts w:ascii="Times New Roman" w:hAnsi="Times New Roman" w:cs="Times New Roman"/>
                <w:b/>
                <w:sz w:val="18"/>
                <w:szCs w:val="18"/>
              </w:rPr>
              <w:t>2015</w:t>
            </w:r>
          </w:p>
        </w:tc>
      </w:tr>
      <w:tr w:rsidR="007C31E1" w:rsidRPr="00181ADD" w:rsidTr="007D6D0E">
        <w:trPr>
          <w:trHeight w:val="300"/>
          <w:jc w:val="center"/>
        </w:trPr>
        <w:tc>
          <w:tcPr>
            <w:tcW w:w="0" w:type="auto"/>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Bank Handlowy S.A.</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1,57%</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1,44%</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2,04%</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1,74%</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2,35%</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2,08%</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1,96%</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1,25%</w:t>
            </w:r>
          </w:p>
        </w:tc>
      </w:tr>
      <w:tr w:rsidR="007C31E1" w:rsidRPr="00181ADD" w:rsidTr="007D6D0E">
        <w:trPr>
          <w:trHeight w:val="300"/>
          <w:jc w:val="center"/>
        </w:trPr>
        <w:tc>
          <w:tcPr>
            <w:tcW w:w="0" w:type="auto"/>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BOŚ S.A.</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0,06%</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0,11%</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0,36%</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0,38%</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0,33%</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0,33%</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0,31%</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-0,19%</w:t>
            </w:r>
          </w:p>
        </w:tc>
      </w:tr>
      <w:tr w:rsidR="007C31E1" w:rsidRPr="00181ADD" w:rsidTr="007D6D0E">
        <w:trPr>
          <w:trHeight w:val="300"/>
          <w:jc w:val="center"/>
        </w:trPr>
        <w:tc>
          <w:tcPr>
            <w:tcW w:w="0" w:type="auto"/>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Bank BPH S.A.</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1,20%</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0,16%</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-0,40%</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0,57%</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0,75%</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0,90%</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0,40%</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-0,98%</w:t>
            </w:r>
          </w:p>
        </w:tc>
      </w:tr>
      <w:tr w:rsidR="007C31E1" w:rsidRPr="00181ADD" w:rsidTr="007D6D0E">
        <w:trPr>
          <w:trHeight w:val="300"/>
          <w:jc w:val="center"/>
        </w:trPr>
        <w:tc>
          <w:tcPr>
            <w:tcW w:w="0" w:type="auto"/>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BZ WBK S.A.</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1,48%</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1,90%</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1,76%</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1,96%</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2,31%</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1,56%</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1,64%</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1,40%</w:t>
            </w:r>
          </w:p>
        </w:tc>
      </w:tr>
      <w:tr w:rsidR="007C31E1" w:rsidRPr="00181ADD" w:rsidTr="007D6D0E">
        <w:trPr>
          <w:trHeight w:val="300"/>
          <w:jc w:val="center"/>
        </w:trPr>
        <w:tc>
          <w:tcPr>
            <w:tcW w:w="0" w:type="auto"/>
            <w:noWrap/>
            <w:vAlign w:val="center"/>
            <w:hideMark/>
          </w:tcPr>
          <w:p w:rsidR="007C31E1" w:rsidRPr="00D7727D" w:rsidRDefault="007C31E1" w:rsidP="007D6D0E">
            <w:pPr>
              <w:jc w:val="center"/>
              <w:rPr>
                <w:rFonts w:ascii="Times New Roman" w:hAnsi="Times New Roman" w:cs="Times New Roman"/>
                <w:bCs/>
                <w:sz w:val="18"/>
                <w:szCs w:val="18"/>
              </w:rPr>
            </w:pPr>
            <w:r w:rsidRPr="00D7727D">
              <w:rPr>
                <w:rFonts w:ascii="Times New Roman" w:hAnsi="Times New Roman" w:cs="Times New Roman"/>
                <w:bCs/>
                <w:sz w:val="18"/>
                <w:szCs w:val="18"/>
              </w:rPr>
              <w:t>ING BSK S.A.</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0,66%</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0,97%</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1,09%</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1,30%</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1,01%</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1,10%</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1,10%</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1,07%</w:t>
            </w:r>
          </w:p>
        </w:tc>
      </w:tr>
      <w:tr w:rsidR="007C31E1" w:rsidRPr="00181ADD" w:rsidTr="007D6D0E">
        <w:trPr>
          <w:trHeight w:val="300"/>
          <w:jc w:val="center"/>
        </w:trPr>
        <w:tc>
          <w:tcPr>
            <w:tcW w:w="0" w:type="auto"/>
            <w:noWrap/>
            <w:vAlign w:val="center"/>
            <w:hideMark/>
          </w:tcPr>
          <w:p w:rsidR="007C31E1" w:rsidRPr="00D7727D" w:rsidRDefault="007C31E1" w:rsidP="007D6D0E">
            <w:pPr>
              <w:jc w:val="center"/>
              <w:rPr>
                <w:rFonts w:ascii="Times New Roman" w:hAnsi="Times New Roman" w:cs="Times New Roman"/>
                <w:bCs/>
                <w:sz w:val="18"/>
                <w:szCs w:val="18"/>
              </w:rPr>
            </w:pPr>
            <w:r w:rsidRPr="00D7727D">
              <w:rPr>
                <w:rFonts w:ascii="Times New Roman" w:hAnsi="Times New Roman" w:cs="Times New Roman"/>
                <w:bCs/>
                <w:sz w:val="18"/>
                <w:szCs w:val="18"/>
              </w:rPr>
              <w:t>MBank S.A.</w:t>
            </w:r>
          </w:p>
        </w:tc>
        <w:tc>
          <w:tcPr>
            <w:tcW w:w="0" w:type="auto"/>
            <w:noWrap/>
            <w:vAlign w:val="center"/>
            <w:hideMark/>
          </w:tcPr>
          <w:p w:rsidR="007C31E1" w:rsidRPr="00D7727D" w:rsidRDefault="007C31E1" w:rsidP="007D6D0E">
            <w:pPr>
              <w:jc w:val="center"/>
              <w:rPr>
                <w:rFonts w:ascii="Times New Roman" w:hAnsi="Times New Roman" w:cs="Times New Roman"/>
                <w:sz w:val="18"/>
                <w:szCs w:val="18"/>
              </w:rPr>
            </w:pPr>
            <w:r w:rsidRPr="00D7727D">
              <w:rPr>
                <w:rFonts w:ascii="Times New Roman" w:hAnsi="Times New Roman" w:cs="Times New Roman"/>
                <w:sz w:val="18"/>
                <w:szCs w:val="18"/>
              </w:rPr>
              <w:t>1,15%</w:t>
            </w:r>
          </w:p>
        </w:tc>
        <w:tc>
          <w:tcPr>
            <w:tcW w:w="0" w:type="auto"/>
            <w:noWrap/>
            <w:vAlign w:val="center"/>
            <w:hideMark/>
          </w:tcPr>
          <w:p w:rsidR="007C31E1" w:rsidRPr="00D7727D" w:rsidRDefault="007C31E1" w:rsidP="007D6D0E">
            <w:pPr>
              <w:jc w:val="center"/>
              <w:rPr>
                <w:rFonts w:ascii="Times New Roman" w:hAnsi="Times New Roman" w:cs="Times New Roman"/>
                <w:sz w:val="18"/>
                <w:szCs w:val="18"/>
              </w:rPr>
            </w:pPr>
            <w:r w:rsidRPr="00D7727D">
              <w:rPr>
                <w:rFonts w:ascii="Times New Roman" w:hAnsi="Times New Roman" w:cs="Times New Roman"/>
                <w:sz w:val="18"/>
                <w:szCs w:val="18"/>
              </w:rPr>
              <w:t>0,08%</w:t>
            </w:r>
          </w:p>
        </w:tc>
        <w:tc>
          <w:tcPr>
            <w:tcW w:w="0" w:type="auto"/>
            <w:noWrap/>
            <w:vAlign w:val="center"/>
            <w:hideMark/>
          </w:tcPr>
          <w:p w:rsidR="007C31E1" w:rsidRPr="00D7727D" w:rsidRDefault="007C31E1" w:rsidP="007D6D0E">
            <w:pPr>
              <w:jc w:val="center"/>
              <w:rPr>
                <w:rFonts w:ascii="Times New Roman" w:hAnsi="Times New Roman" w:cs="Times New Roman"/>
                <w:sz w:val="18"/>
                <w:szCs w:val="18"/>
              </w:rPr>
            </w:pPr>
            <w:r w:rsidRPr="00D7727D">
              <w:rPr>
                <w:rFonts w:ascii="Times New Roman" w:hAnsi="Times New Roman" w:cs="Times New Roman"/>
                <w:sz w:val="18"/>
                <w:szCs w:val="18"/>
              </w:rPr>
              <w:t>0,62%</w:t>
            </w:r>
          </w:p>
        </w:tc>
        <w:tc>
          <w:tcPr>
            <w:tcW w:w="0" w:type="auto"/>
            <w:noWrap/>
            <w:vAlign w:val="center"/>
            <w:hideMark/>
          </w:tcPr>
          <w:p w:rsidR="007C31E1" w:rsidRPr="00D7727D" w:rsidRDefault="007C31E1" w:rsidP="007D6D0E">
            <w:pPr>
              <w:jc w:val="center"/>
              <w:rPr>
                <w:rFonts w:ascii="Times New Roman" w:hAnsi="Times New Roman" w:cs="Times New Roman"/>
                <w:sz w:val="18"/>
                <w:szCs w:val="18"/>
              </w:rPr>
            </w:pPr>
            <w:r w:rsidRPr="00D7727D">
              <w:rPr>
                <w:rFonts w:ascii="Times New Roman" w:hAnsi="Times New Roman" w:cs="Times New Roman"/>
                <w:sz w:val="18"/>
                <w:szCs w:val="18"/>
              </w:rPr>
              <w:t>1,14%</w:t>
            </w:r>
          </w:p>
        </w:tc>
        <w:tc>
          <w:tcPr>
            <w:tcW w:w="0" w:type="auto"/>
            <w:noWrap/>
            <w:vAlign w:val="center"/>
            <w:hideMark/>
          </w:tcPr>
          <w:p w:rsidR="007C31E1" w:rsidRPr="00D7727D" w:rsidRDefault="007C31E1" w:rsidP="007D6D0E">
            <w:pPr>
              <w:jc w:val="center"/>
              <w:rPr>
                <w:rFonts w:ascii="Times New Roman" w:hAnsi="Times New Roman" w:cs="Times New Roman"/>
                <w:sz w:val="18"/>
                <w:szCs w:val="18"/>
              </w:rPr>
            </w:pPr>
            <w:r w:rsidRPr="00D7727D">
              <w:rPr>
                <w:rFonts w:ascii="Times New Roman" w:hAnsi="Times New Roman" w:cs="Times New Roman"/>
                <w:sz w:val="18"/>
                <w:szCs w:val="18"/>
              </w:rPr>
              <w:t>1,22%</w:t>
            </w:r>
          </w:p>
        </w:tc>
        <w:tc>
          <w:tcPr>
            <w:tcW w:w="0" w:type="auto"/>
            <w:noWrap/>
            <w:vAlign w:val="center"/>
            <w:hideMark/>
          </w:tcPr>
          <w:p w:rsidR="007C31E1" w:rsidRPr="00D7727D" w:rsidRDefault="007C31E1" w:rsidP="007D6D0E">
            <w:pPr>
              <w:jc w:val="center"/>
              <w:rPr>
                <w:rFonts w:ascii="Times New Roman" w:hAnsi="Times New Roman" w:cs="Times New Roman"/>
                <w:sz w:val="18"/>
                <w:szCs w:val="18"/>
              </w:rPr>
            </w:pPr>
            <w:r w:rsidRPr="00D7727D">
              <w:rPr>
                <w:rFonts w:ascii="Times New Roman" w:hAnsi="Times New Roman" w:cs="Times New Roman"/>
                <w:sz w:val="18"/>
                <w:szCs w:val="18"/>
              </w:rPr>
              <w:t>1,07%</w:t>
            </w:r>
          </w:p>
        </w:tc>
        <w:tc>
          <w:tcPr>
            <w:tcW w:w="0" w:type="auto"/>
            <w:noWrap/>
            <w:vAlign w:val="center"/>
            <w:hideMark/>
          </w:tcPr>
          <w:p w:rsidR="007C31E1" w:rsidRPr="00D7727D" w:rsidRDefault="007C31E1" w:rsidP="007D6D0E">
            <w:pPr>
              <w:jc w:val="center"/>
              <w:rPr>
                <w:rFonts w:ascii="Times New Roman" w:hAnsi="Times New Roman" w:cs="Times New Roman"/>
                <w:sz w:val="18"/>
                <w:szCs w:val="18"/>
              </w:rPr>
            </w:pPr>
            <w:r w:rsidRPr="00D7727D">
              <w:rPr>
                <w:rFonts w:ascii="Times New Roman" w:hAnsi="Times New Roman" w:cs="Times New Roman"/>
                <w:sz w:val="18"/>
                <w:szCs w:val="18"/>
              </w:rPr>
              <w:t>1,03%</w:t>
            </w:r>
          </w:p>
        </w:tc>
        <w:tc>
          <w:tcPr>
            <w:tcW w:w="0" w:type="auto"/>
            <w:noWrap/>
            <w:vAlign w:val="center"/>
            <w:hideMark/>
          </w:tcPr>
          <w:p w:rsidR="007C31E1" w:rsidRPr="00D7727D" w:rsidRDefault="007C31E1" w:rsidP="007D6D0E">
            <w:pPr>
              <w:jc w:val="center"/>
              <w:rPr>
                <w:rFonts w:ascii="Times New Roman" w:hAnsi="Times New Roman" w:cs="Times New Roman"/>
                <w:sz w:val="18"/>
                <w:szCs w:val="18"/>
              </w:rPr>
            </w:pPr>
            <w:r w:rsidRPr="00D7727D">
              <w:rPr>
                <w:rFonts w:ascii="Times New Roman" w:hAnsi="Times New Roman" w:cs="Times New Roman"/>
                <w:sz w:val="18"/>
                <w:szCs w:val="18"/>
              </w:rPr>
              <w:t>1,07%</w:t>
            </w:r>
          </w:p>
        </w:tc>
      </w:tr>
      <w:tr w:rsidR="007C31E1" w:rsidRPr="00181ADD" w:rsidTr="007D6D0E">
        <w:trPr>
          <w:trHeight w:val="300"/>
          <w:jc w:val="center"/>
        </w:trPr>
        <w:tc>
          <w:tcPr>
            <w:tcW w:w="0" w:type="auto"/>
            <w:noWrap/>
            <w:vAlign w:val="center"/>
            <w:hideMark/>
          </w:tcPr>
          <w:p w:rsidR="007C31E1" w:rsidRPr="00D7727D" w:rsidRDefault="007C31E1" w:rsidP="007D6D0E">
            <w:pPr>
              <w:jc w:val="center"/>
              <w:rPr>
                <w:rFonts w:ascii="Times New Roman" w:hAnsi="Times New Roman" w:cs="Times New Roman"/>
                <w:bCs/>
                <w:sz w:val="18"/>
                <w:szCs w:val="18"/>
              </w:rPr>
            </w:pPr>
            <w:r w:rsidRPr="00D7727D">
              <w:rPr>
                <w:rFonts w:ascii="Times New Roman" w:hAnsi="Times New Roman" w:cs="Times New Roman"/>
                <w:bCs/>
                <w:sz w:val="18"/>
                <w:szCs w:val="18"/>
              </w:rPr>
              <w:t>Bank Millennium S.A.</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1,08%</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0,19%</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0,70%</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0,84%</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0,86%</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0,88%</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1,02%</w:t>
            </w:r>
          </w:p>
        </w:tc>
        <w:tc>
          <w:tcPr>
            <w:tcW w:w="0" w:type="auto"/>
            <w:noWrap/>
            <w:vAlign w:val="bottom"/>
            <w:hideMark/>
          </w:tcPr>
          <w:p w:rsidR="007C31E1" w:rsidRPr="00D7727D" w:rsidRDefault="007C31E1" w:rsidP="007D6D0E">
            <w:pPr>
              <w:jc w:val="center"/>
              <w:rPr>
                <w:rFonts w:ascii="Times New Roman" w:hAnsi="Times New Roman" w:cs="Times New Roman"/>
                <w:color w:val="000000"/>
                <w:sz w:val="20"/>
                <w:szCs w:val="20"/>
              </w:rPr>
            </w:pPr>
            <w:r w:rsidRPr="00D7727D">
              <w:rPr>
                <w:rFonts w:ascii="Times New Roman" w:hAnsi="Times New Roman" w:cs="Times New Roman"/>
                <w:color w:val="000000"/>
                <w:sz w:val="20"/>
                <w:szCs w:val="20"/>
              </w:rPr>
              <w:t>1,23%</w:t>
            </w:r>
          </w:p>
        </w:tc>
      </w:tr>
      <w:tr w:rsidR="007C31E1" w:rsidRPr="00181ADD" w:rsidTr="007D6D0E">
        <w:trPr>
          <w:trHeight w:val="300"/>
          <w:jc w:val="center"/>
        </w:trPr>
        <w:tc>
          <w:tcPr>
            <w:tcW w:w="0" w:type="auto"/>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Bank Pekao S.A.</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2,61%</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1,94%</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1,96%</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1,98%</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1,99%</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1,80%</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1,62%</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1,38%</w:t>
            </w:r>
          </w:p>
        </w:tc>
      </w:tr>
      <w:tr w:rsidR="007C31E1" w:rsidRPr="00181ADD" w:rsidTr="007D6D0E">
        <w:trPr>
          <w:trHeight w:val="300"/>
          <w:jc w:val="center"/>
        </w:trPr>
        <w:tc>
          <w:tcPr>
            <w:tcW w:w="0" w:type="auto"/>
            <w:noWrap/>
            <w:vAlign w:val="center"/>
            <w:hideMark/>
          </w:tcPr>
          <w:p w:rsidR="007C31E1" w:rsidRPr="00181ADD" w:rsidRDefault="007C31E1" w:rsidP="007D6D0E">
            <w:pPr>
              <w:jc w:val="center"/>
              <w:rPr>
                <w:rFonts w:ascii="Times New Roman" w:hAnsi="Times New Roman" w:cs="Times New Roman"/>
                <w:bCs/>
                <w:sz w:val="18"/>
                <w:szCs w:val="18"/>
              </w:rPr>
            </w:pPr>
            <w:r w:rsidRPr="00181ADD">
              <w:rPr>
                <w:rFonts w:ascii="Times New Roman" w:hAnsi="Times New Roman" w:cs="Times New Roman"/>
                <w:bCs/>
                <w:sz w:val="18"/>
                <w:szCs w:val="18"/>
              </w:rPr>
              <w:t>PKO BP S.A.</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2,20%</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1,58%</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1,98%</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2,10%</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1,88%</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1,65%</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1,26%</w:t>
            </w:r>
          </w:p>
        </w:tc>
        <w:tc>
          <w:tcPr>
            <w:tcW w:w="0" w:type="auto"/>
            <w:noWrap/>
            <w:vAlign w:val="center"/>
            <w:hideMark/>
          </w:tcPr>
          <w:p w:rsidR="007C31E1" w:rsidRPr="00181ADD" w:rsidRDefault="007C31E1" w:rsidP="007D6D0E">
            <w:pPr>
              <w:jc w:val="center"/>
              <w:rPr>
                <w:rFonts w:ascii="Times New Roman" w:hAnsi="Times New Roman" w:cs="Times New Roman"/>
                <w:sz w:val="18"/>
                <w:szCs w:val="18"/>
              </w:rPr>
            </w:pPr>
            <w:r w:rsidRPr="00181ADD">
              <w:rPr>
                <w:rFonts w:ascii="Times New Roman" w:hAnsi="Times New Roman" w:cs="Times New Roman"/>
                <w:sz w:val="18"/>
                <w:szCs w:val="18"/>
              </w:rPr>
              <w:t>0,98%</w:t>
            </w:r>
          </w:p>
        </w:tc>
      </w:tr>
    </w:tbl>
    <w:p w:rsidR="007C31E1" w:rsidRDefault="007C31E1" w:rsidP="007C31E1">
      <w:pPr>
        <w:contextualSpacing/>
        <w:jc w:val="both"/>
        <w:rPr>
          <w:rFonts w:ascii="Times New Roman" w:hAnsi="Times New Roman" w:cs="Times New Roman"/>
          <w:sz w:val="20"/>
          <w:szCs w:val="20"/>
        </w:rPr>
      </w:pPr>
      <w:r w:rsidRPr="00181ADD">
        <w:rPr>
          <w:rFonts w:ascii="Times New Roman" w:hAnsi="Times New Roman" w:cs="Times New Roman"/>
          <w:sz w:val="20"/>
          <w:szCs w:val="20"/>
        </w:rPr>
        <w:t xml:space="preserve">Źródło: opracowanie własne na podstawie </w:t>
      </w:r>
      <w:r>
        <w:rPr>
          <w:rFonts w:ascii="Times New Roman" w:hAnsi="Times New Roman" w:cs="Times New Roman"/>
          <w:sz w:val="20"/>
          <w:szCs w:val="20"/>
        </w:rPr>
        <w:t>Bazy danych EMIS wykonanej przez NOTORIA S.A.</w:t>
      </w:r>
    </w:p>
    <w:p w:rsidR="007C31E1" w:rsidRPr="00181ADD" w:rsidRDefault="007C31E1" w:rsidP="00181ADD">
      <w:pPr>
        <w:spacing w:after="0" w:line="360" w:lineRule="auto"/>
        <w:ind w:firstLine="425"/>
        <w:jc w:val="both"/>
        <w:rPr>
          <w:rFonts w:ascii="Times New Roman" w:hAnsi="Times New Roman" w:cs="Times New Roman"/>
          <w:sz w:val="24"/>
          <w:szCs w:val="24"/>
        </w:rPr>
      </w:pPr>
    </w:p>
    <w:p w:rsidR="00FF016A" w:rsidRDefault="00181ADD" w:rsidP="00181ADD">
      <w:pPr>
        <w:spacing w:after="0" w:line="360" w:lineRule="auto"/>
        <w:ind w:firstLine="425"/>
        <w:jc w:val="both"/>
        <w:rPr>
          <w:rFonts w:ascii="Times New Roman" w:hAnsi="Times New Roman" w:cs="Times New Roman"/>
          <w:sz w:val="24"/>
          <w:szCs w:val="24"/>
        </w:rPr>
      </w:pPr>
      <w:r w:rsidRPr="00181ADD">
        <w:rPr>
          <w:rFonts w:ascii="Times New Roman" w:hAnsi="Times New Roman" w:cs="Times New Roman"/>
          <w:sz w:val="24"/>
          <w:szCs w:val="24"/>
        </w:rPr>
        <w:t xml:space="preserve">Największą średnią wskaźnika ROA w badanym okresie </w:t>
      </w:r>
      <w:r w:rsidR="005C62BF">
        <w:rPr>
          <w:rFonts w:ascii="Times New Roman" w:hAnsi="Times New Roman" w:cs="Times New Roman"/>
          <w:sz w:val="24"/>
          <w:szCs w:val="24"/>
        </w:rPr>
        <w:t>wykazał się</w:t>
      </w:r>
      <w:r w:rsidRPr="00181ADD">
        <w:rPr>
          <w:rFonts w:ascii="Times New Roman" w:hAnsi="Times New Roman" w:cs="Times New Roman"/>
          <w:sz w:val="24"/>
          <w:szCs w:val="24"/>
        </w:rPr>
        <w:t xml:space="preserve"> Pekao S.A., Bank Handlowy S.A.</w:t>
      </w:r>
      <w:r w:rsidR="005C62BF">
        <w:rPr>
          <w:rFonts w:ascii="Times New Roman" w:hAnsi="Times New Roman" w:cs="Times New Roman"/>
          <w:sz w:val="24"/>
          <w:szCs w:val="24"/>
        </w:rPr>
        <w:t xml:space="preserve">, PKO BP S.A. </w:t>
      </w:r>
      <w:r w:rsidRPr="00181ADD">
        <w:rPr>
          <w:rFonts w:ascii="Times New Roman" w:hAnsi="Times New Roman" w:cs="Times New Roman"/>
          <w:sz w:val="24"/>
          <w:szCs w:val="24"/>
        </w:rPr>
        <w:t xml:space="preserve">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BZWBK S.A. </w:t>
      </w:r>
      <w:proofErr w:type="gramStart"/>
      <w:r w:rsidRPr="00181ADD">
        <w:rPr>
          <w:rFonts w:ascii="Times New Roman" w:hAnsi="Times New Roman" w:cs="Times New Roman"/>
          <w:sz w:val="24"/>
          <w:szCs w:val="24"/>
        </w:rPr>
        <w:t>jednocześnie</w:t>
      </w:r>
      <w:proofErr w:type="gramEnd"/>
      <w:r w:rsidRPr="00181ADD">
        <w:rPr>
          <w:rFonts w:ascii="Times New Roman" w:hAnsi="Times New Roman" w:cs="Times New Roman"/>
          <w:sz w:val="24"/>
          <w:szCs w:val="24"/>
        </w:rPr>
        <w:t xml:space="preserve"> przy umiarkowanym </w:t>
      </w:r>
      <w:r w:rsidR="003150B1">
        <w:rPr>
          <w:rFonts w:ascii="Times New Roman" w:hAnsi="Times New Roman" w:cs="Times New Roman"/>
          <w:sz w:val="24"/>
          <w:szCs w:val="24"/>
        </w:rPr>
        <w:t>odchyleniu standardowym (patrz t</w:t>
      </w:r>
      <w:r w:rsidRPr="00181ADD">
        <w:rPr>
          <w:rFonts w:ascii="Times New Roman" w:hAnsi="Times New Roman" w:cs="Times New Roman"/>
          <w:sz w:val="24"/>
          <w:szCs w:val="24"/>
        </w:rPr>
        <w:t xml:space="preserve">abela </w:t>
      </w:r>
      <w:r w:rsidR="001473C0">
        <w:rPr>
          <w:rFonts w:ascii="Times New Roman" w:hAnsi="Times New Roman" w:cs="Times New Roman"/>
          <w:sz w:val="24"/>
          <w:szCs w:val="24"/>
        </w:rPr>
        <w:t>6</w:t>
      </w:r>
      <w:r w:rsidR="003150B1">
        <w:rPr>
          <w:rFonts w:ascii="Times New Roman" w:hAnsi="Times New Roman" w:cs="Times New Roman"/>
          <w:sz w:val="24"/>
          <w:szCs w:val="24"/>
        </w:rPr>
        <w:t xml:space="preserve">). </w:t>
      </w:r>
    </w:p>
    <w:p w:rsidR="00FF016A" w:rsidRPr="00FF016A" w:rsidRDefault="00FF016A" w:rsidP="00FF016A">
      <w:pPr>
        <w:keepNext/>
        <w:spacing w:after="0" w:line="240" w:lineRule="auto"/>
        <w:jc w:val="both"/>
        <w:rPr>
          <w:rFonts w:ascii="Times New Roman" w:eastAsia="Calibri" w:hAnsi="Times New Roman" w:cs="Times New Roman"/>
          <w:b/>
          <w:bCs/>
          <w:sz w:val="20"/>
          <w:szCs w:val="20"/>
        </w:rPr>
      </w:pPr>
      <w:r w:rsidRPr="00FF016A">
        <w:rPr>
          <w:rFonts w:ascii="Times New Roman" w:eastAsia="Calibri" w:hAnsi="Times New Roman" w:cs="Times New Roman"/>
          <w:b/>
          <w:bCs/>
          <w:sz w:val="20"/>
          <w:szCs w:val="20"/>
        </w:rPr>
        <w:t xml:space="preserve">Tabela </w:t>
      </w:r>
      <w:r w:rsidR="001473C0">
        <w:rPr>
          <w:rFonts w:ascii="Times New Roman" w:eastAsia="Calibri" w:hAnsi="Times New Roman" w:cs="Times New Roman"/>
          <w:b/>
          <w:bCs/>
          <w:sz w:val="20"/>
          <w:szCs w:val="20"/>
        </w:rPr>
        <w:t>6</w:t>
      </w:r>
      <w:r w:rsidRPr="00FF016A">
        <w:rPr>
          <w:rFonts w:ascii="Times New Roman" w:eastAsia="Calibri" w:hAnsi="Times New Roman" w:cs="Times New Roman"/>
          <w:b/>
          <w:bCs/>
          <w:sz w:val="20"/>
          <w:szCs w:val="20"/>
        </w:rPr>
        <w:t xml:space="preserve">. Średnie wskaźników ROA dla wybranych banków </w:t>
      </w:r>
      <w:r w:rsidR="002E7ADB">
        <w:rPr>
          <w:rFonts w:ascii="Times New Roman" w:eastAsia="Calibri" w:hAnsi="Times New Roman" w:cs="Times New Roman"/>
          <w:b/>
          <w:bCs/>
          <w:sz w:val="20"/>
          <w:szCs w:val="20"/>
        </w:rPr>
        <w:t xml:space="preserve">w </w:t>
      </w:r>
      <w:r w:rsidRPr="00FF016A">
        <w:rPr>
          <w:rFonts w:ascii="Times New Roman" w:eastAsia="Calibri" w:hAnsi="Times New Roman" w:cs="Times New Roman"/>
          <w:b/>
          <w:bCs/>
          <w:sz w:val="20"/>
          <w:szCs w:val="20"/>
        </w:rPr>
        <w:t>latach 2008-15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741"/>
        <w:gridCol w:w="756"/>
        <w:gridCol w:w="681"/>
        <w:gridCol w:w="1096"/>
        <w:gridCol w:w="1447"/>
      </w:tblGrid>
      <w:tr w:rsidR="00FF016A" w:rsidRPr="00FF016A" w:rsidTr="007D6D0E">
        <w:trPr>
          <w:trHeight w:val="218"/>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BANK/WYNIK 08-15</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MIN</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MAKS</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ŚR</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MEDIANA</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ODCHYLENIE</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Bank Handlowy w Warszawie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1,25%</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2,35%</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1,80%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1,85%</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0,34%</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BOŚ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-0,19%</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0,38%</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0,21%</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0,32%</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0,19%</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Bank BPH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-0,98%</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1,20%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0,33%</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0,49%</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0,67%</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BZ WBK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1,40%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2,31%</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1,75%</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1,70%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0,28%</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ING BSK S.A.</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0,66%</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1,30%</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1,04%</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1,08%</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0,17%</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proofErr w:type="spellStart"/>
            <w:r w:rsidRPr="00FF016A">
              <w:rPr>
                <w:rFonts w:ascii="Times New Roman" w:eastAsia="Calibri" w:hAnsi="Times New Roman" w:cs="Times New Roman"/>
                <w:bCs/>
                <w:sz w:val="18"/>
                <w:szCs w:val="18"/>
              </w:rPr>
              <w:t>Mbank</w:t>
            </w:r>
            <w:proofErr w:type="spellEnd"/>
            <w:r w:rsidRPr="00FF016A">
              <w:rPr>
                <w:rFonts w:ascii="Times New Roman" w:eastAsia="Calibri" w:hAnsi="Times New Roman" w:cs="Times New Roman"/>
                <w:bCs/>
                <w:sz w:val="18"/>
                <w:szCs w:val="18"/>
              </w:rPr>
              <w:t xml:space="preserve"> S.A.</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0,08%</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1,22%</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0,92%</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1,07%</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0,36%</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Bank Millennium S.A.</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0,19%</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1,23%</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0,85%</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0,87%</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0,29%</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Bank Pekao S.A.</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1,38%</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2,61%</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1,91%</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1,95%</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0,33%</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PKO BP S.A.</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0,98%</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2,20%</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1,70%</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1,77%</w:t>
            </w:r>
          </w:p>
        </w:tc>
        <w:tc>
          <w:tcPr>
            <w:tcW w:w="0" w:type="auto"/>
            <w:shd w:val="clear" w:color="auto" w:fill="auto"/>
            <w:noWrap/>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0,40%</w:t>
            </w:r>
          </w:p>
        </w:tc>
      </w:tr>
    </w:tbl>
    <w:p w:rsidR="00FF016A" w:rsidRDefault="00FF016A" w:rsidP="00FF016A">
      <w:pPr>
        <w:contextualSpacing/>
        <w:jc w:val="both"/>
        <w:rPr>
          <w:rFonts w:ascii="Times New Roman" w:eastAsia="Calibri" w:hAnsi="Times New Roman" w:cs="Times New Roman"/>
          <w:sz w:val="20"/>
          <w:szCs w:val="20"/>
        </w:rPr>
      </w:pPr>
      <w:r w:rsidRPr="00FF016A">
        <w:rPr>
          <w:rFonts w:ascii="Times New Roman" w:eastAsia="Calibri" w:hAnsi="Times New Roman" w:cs="Times New Roman"/>
          <w:sz w:val="20"/>
          <w:szCs w:val="20"/>
        </w:rPr>
        <w:t>Źródło: opracowanie własne na podstawie Bazy danych EMIS wykonanej przez NOTORIA S.A.</w:t>
      </w:r>
    </w:p>
    <w:p w:rsidR="00FF016A" w:rsidRPr="00FF016A" w:rsidRDefault="00FF016A" w:rsidP="00FF016A">
      <w:pPr>
        <w:contextualSpacing/>
        <w:jc w:val="both"/>
        <w:rPr>
          <w:rFonts w:ascii="Times New Roman" w:eastAsia="Calibri" w:hAnsi="Times New Roman" w:cs="Times New Roman"/>
          <w:sz w:val="20"/>
          <w:szCs w:val="20"/>
        </w:rPr>
      </w:pPr>
    </w:p>
    <w:p w:rsidR="001B2692" w:rsidRDefault="00181ADD" w:rsidP="00FF016A">
      <w:pPr>
        <w:spacing w:after="0" w:line="360" w:lineRule="auto"/>
        <w:ind w:firstLine="425"/>
        <w:jc w:val="both"/>
        <w:rPr>
          <w:rFonts w:ascii="Times New Roman" w:hAnsi="Times New Roman" w:cs="Times New Roman"/>
          <w:sz w:val="24"/>
          <w:szCs w:val="24"/>
        </w:rPr>
      </w:pPr>
      <w:r w:rsidRPr="00181ADD">
        <w:rPr>
          <w:rFonts w:ascii="Times New Roman" w:hAnsi="Times New Roman" w:cs="Times New Roman"/>
          <w:sz w:val="24"/>
          <w:szCs w:val="24"/>
        </w:rPr>
        <w:t>Stosunkowo niski wskaźniki średni RO</w:t>
      </w:r>
      <w:r w:rsidR="0092552F">
        <w:rPr>
          <w:rFonts w:ascii="Times New Roman" w:hAnsi="Times New Roman" w:cs="Times New Roman"/>
          <w:sz w:val="24"/>
          <w:szCs w:val="24"/>
        </w:rPr>
        <w:t xml:space="preserve">A odnotował MBank S.A. i </w:t>
      </w:r>
      <w:proofErr w:type="gramStart"/>
      <w:r w:rsidR="0092552F">
        <w:rPr>
          <w:rFonts w:ascii="Times New Roman" w:hAnsi="Times New Roman" w:cs="Times New Roman"/>
          <w:sz w:val="24"/>
          <w:szCs w:val="24"/>
        </w:rPr>
        <w:t xml:space="preserve">Millenium </w:t>
      </w:r>
      <w:r w:rsidRPr="00181ADD">
        <w:rPr>
          <w:rFonts w:ascii="Times New Roman" w:hAnsi="Times New Roman" w:cs="Times New Roman"/>
          <w:sz w:val="24"/>
          <w:szCs w:val="24"/>
        </w:rPr>
        <w:t xml:space="preserve"> S</w:t>
      </w:r>
      <w:proofErr w:type="gramEnd"/>
      <w:r w:rsidRPr="00181ADD">
        <w:rPr>
          <w:rFonts w:ascii="Times New Roman" w:hAnsi="Times New Roman" w:cs="Times New Roman"/>
          <w:sz w:val="24"/>
          <w:szCs w:val="24"/>
        </w:rPr>
        <w:t xml:space="preserve">.A., </w:t>
      </w:r>
      <w:proofErr w:type="gramStart"/>
      <w:r w:rsidRPr="00181ADD">
        <w:rPr>
          <w:rFonts w:ascii="Times New Roman" w:hAnsi="Times New Roman" w:cs="Times New Roman"/>
          <w:sz w:val="24"/>
          <w:szCs w:val="24"/>
        </w:rPr>
        <w:t>w</w:t>
      </w:r>
      <w:proofErr w:type="gramEnd"/>
      <w:r w:rsidRPr="00181ADD">
        <w:rPr>
          <w:rFonts w:ascii="Times New Roman" w:hAnsi="Times New Roman" w:cs="Times New Roman"/>
          <w:sz w:val="24"/>
          <w:szCs w:val="24"/>
        </w:rPr>
        <w:t xml:space="preserve"> których ROA po kryzysie w latach 2009 i 2010 znacznie spadła. Dużą zmienność ROA odnotow</w:t>
      </w:r>
      <w:r w:rsidR="00D7727D">
        <w:rPr>
          <w:rFonts w:ascii="Times New Roman" w:hAnsi="Times New Roman" w:cs="Times New Roman"/>
          <w:sz w:val="24"/>
          <w:szCs w:val="24"/>
        </w:rPr>
        <w:t xml:space="preserve">ał w badanym </w:t>
      </w:r>
      <w:proofErr w:type="gramStart"/>
      <w:r w:rsidR="00D7727D">
        <w:rPr>
          <w:rFonts w:ascii="Times New Roman" w:hAnsi="Times New Roman" w:cs="Times New Roman"/>
          <w:sz w:val="24"/>
          <w:szCs w:val="24"/>
        </w:rPr>
        <w:t xml:space="preserve">okresie </w:t>
      </w:r>
      <w:r w:rsidR="0092552F">
        <w:rPr>
          <w:rFonts w:ascii="Times New Roman" w:hAnsi="Times New Roman" w:cs="Times New Roman"/>
          <w:sz w:val="24"/>
          <w:szCs w:val="24"/>
        </w:rPr>
        <w:t xml:space="preserve"> BPH</w:t>
      </w:r>
      <w:proofErr w:type="gramEnd"/>
      <w:r w:rsidR="0092552F">
        <w:rPr>
          <w:rFonts w:ascii="Times New Roman" w:hAnsi="Times New Roman" w:cs="Times New Roman"/>
          <w:sz w:val="24"/>
          <w:szCs w:val="24"/>
        </w:rPr>
        <w:t xml:space="preserve"> S.A.  </w:t>
      </w:r>
      <w:proofErr w:type="gramStart"/>
      <w:r w:rsidR="0092552F">
        <w:rPr>
          <w:rFonts w:ascii="Times New Roman" w:hAnsi="Times New Roman" w:cs="Times New Roman"/>
          <w:sz w:val="24"/>
          <w:szCs w:val="24"/>
        </w:rPr>
        <w:t>a</w:t>
      </w:r>
      <w:proofErr w:type="gramEnd"/>
      <w:r w:rsidR="0092552F">
        <w:rPr>
          <w:rFonts w:ascii="Times New Roman" w:hAnsi="Times New Roman" w:cs="Times New Roman"/>
          <w:sz w:val="24"/>
          <w:szCs w:val="24"/>
        </w:rPr>
        <w:t xml:space="preserve"> także </w:t>
      </w:r>
      <w:r w:rsidR="00D7727D">
        <w:rPr>
          <w:rFonts w:ascii="Times New Roman" w:hAnsi="Times New Roman" w:cs="Times New Roman"/>
          <w:sz w:val="24"/>
          <w:szCs w:val="24"/>
        </w:rPr>
        <w:t>PKO BP S.A.</w:t>
      </w:r>
    </w:p>
    <w:p w:rsidR="001B2692" w:rsidRPr="00181ADD" w:rsidRDefault="001B2692" w:rsidP="00B12F7A">
      <w:pPr>
        <w:jc w:val="center"/>
        <w:rPr>
          <w:rFonts w:ascii="Times New Roman" w:hAnsi="Times New Roman" w:cs="Times New Roman"/>
          <w:sz w:val="24"/>
          <w:szCs w:val="24"/>
        </w:rPr>
      </w:pPr>
      <w:r>
        <w:rPr>
          <w:noProof/>
          <w:lang w:eastAsia="pl-PL"/>
        </w:rPr>
        <w:lastRenderedPageBreak/>
        <w:drawing>
          <wp:inline distT="0" distB="0" distL="0" distR="0" wp14:anchorId="7CE23D91" wp14:editId="0E60CBD5">
            <wp:extent cx="5762625" cy="2943225"/>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2F7A" w:rsidRDefault="00B12F7A" w:rsidP="00020097">
      <w:pPr>
        <w:pStyle w:val="Legenda"/>
        <w:spacing w:after="0"/>
        <w:rPr>
          <w:rFonts w:ascii="Times New Roman" w:hAnsi="Times New Roman" w:cs="Times New Roman"/>
          <w:color w:val="auto"/>
          <w:sz w:val="20"/>
          <w:szCs w:val="20"/>
        </w:rPr>
      </w:pPr>
      <w:r w:rsidRPr="00B12F7A">
        <w:rPr>
          <w:rFonts w:ascii="Times New Roman" w:hAnsi="Times New Roman" w:cs="Times New Roman"/>
          <w:color w:val="auto"/>
          <w:sz w:val="20"/>
          <w:szCs w:val="20"/>
        </w:rPr>
        <w:t xml:space="preserve">Rys. </w:t>
      </w:r>
      <w:r w:rsidR="00412417">
        <w:rPr>
          <w:rFonts w:ascii="Times New Roman" w:hAnsi="Times New Roman" w:cs="Times New Roman"/>
          <w:color w:val="auto"/>
          <w:sz w:val="20"/>
          <w:szCs w:val="20"/>
        </w:rPr>
        <w:t>2.</w:t>
      </w:r>
      <w:r w:rsidRPr="00B12F7A">
        <w:rPr>
          <w:rFonts w:ascii="Times New Roman" w:hAnsi="Times New Roman" w:cs="Times New Roman"/>
          <w:color w:val="auto"/>
          <w:sz w:val="20"/>
          <w:szCs w:val="20"/>
        </w:rPr>
        <w:t xml:space="preserve"> Przebieg wskaźnika </w:t>
      </w:r>
      <w:r>
        <w:rPr>
          <w:rFonts w:ascii="Times New Roman" w:hAnsi="Times New Roman" w:cs="Times New Roman"/>
          <w:color w:val="auto"/>
          <w:sz w:val="20"/>
          <w:szCs w:val="20"/>
        </w:rPr>
        <w:t>ROA</w:t>
      </w:r>
      <w:r w:rsidRPr="00B12F7A">
        <w:rPr>
          <w:rFonts w:ascii="Times New Roman" w:hAnsi="Times New Roman" w:cs="Times New Roman"/>
          <w:color w:val="auto"/>
          <w:sz w:val="20"/>
          <w:szCs w:val="20"/>
        </w:rPr>
        <w:t xml:space="preserve"> dla wybranych banków w latach 2008-15</w:t>
      </w:r>
    </w:p>
    <w:p w:rsidR="00B12F7A" w:rsidRDefault="00C626D0" w:rsidP="00FF016A">
      <w:pPr>
        <w:spacing w:after="0" w:line="240" w:lineRule="auto"/>
        <w:contextualSpacing/>
        <w:jc w:val="both"/>
        <w:rPr>
          <w:rFonts w:ascii="Times New Roman" w:hAnsi="Times New Roman" w:cs="Times New Roman"/>
          <w:sz w:val="20"/>
          <w:szCs w:val="20"/>
        </w:rPr>
      </w:pPr>
      <w:r w:rsidRPr="00181ADD">
        <w:rPr>
          <w:rFonts w:ascii="Times New Roman" w:hAnsi="Times New Roman" w:cs="Times New Roman"/>
          <w:sz w:val="20"/>
          <w:szCs w:val="20"/>
        </w:rPr>
        <w:t xml:space="preserve">Źródło: opracowanie własne na podstawie </w:t>
      </w:r>
      <w:r>
        <w:rPr>
          <w:rFonts w:ascii="Times New Roman" w:hAnsi="Times New Roman" w:cs="Times New Roman"/>
          <w:sz w:val="20"/>
          <w:szCs w:val="20"/>
        </w:rPr>
        <w:t>Bazy danych EM</w:t>
      </w:r>
      <w:r w:rsidR="00FF016A">
        <w:rPr>
          <w:rFonts w:ascii="Times New Roman" w:hAnsi="Times New Roman" w:cs="Times New Roman"/>
          <w:sz w:val="20"/>
          <w:szCs w:val="20"/>
        </w:rPr>
        <w:t>IS wykonanej przez NOTORIA S.A.</w:t>
      </w:r>
    </w:p>
    <w:p w:rsidR="00FF016A" w:rsidRPr="00FF016A" w:rsidRDefault="00FF016A" w:rsidP="00FF016A">
      <w:pPr>
        <w:spacing w:after="0" w:line="240" w:lineRule="auto"/>
        <w:contextualSpacing/>
        <w:jc w:val="both"/>
        <w:rPr>
          <w:rFonts w:ascii="Times New Roman" w:hAnsi="Times New Roman" w:cs="Times New Roman"/>
          <w:sz w:val="20"/>
          <w:szCs w:val="20"/>
        </w:rPr>
      </w:pPr>
    </w:p>
    <w:p w:rsidR="00181ADD" w:rsidRPr="00FF016A" w:rsidRDefault="00181ADD" w:rsidP="00FF016A">
      <w:pPr>
        <w:spacing w:after="0" w:line="360" w:lineRule="auto"/>
        <w:ind w:firstLine="567"/>
        <w:jc w:val="both"/>
        <w:rPr>
          <w:rFonts w:ascii="Times New Roman" w:hAnsi="Times New Roman" w:cs="Times New Roman"/>
          <w:sz w:val="24"/>
          <w:szCs w:val="24"/>
        </w:rPr>
      </w:pPr>
      <w:r w:rsidRPr="00181ADD">
        <w:rPr>
          <w:rFonts w:ascii="Times New Roman" w:hAnsi="Times New Roman" w:cs="Times New Roman"/>
          <w:sz w:val="24"/>
          <w:szCs w:val="24"/>
        </w:rPr>
        <w:t>W analizowanych latach 2008-15 widoczny jest spadek rentowności kapitałów własnych (ROE) w wielu bankach</w:t>
      </w:r>
      <w:r w:rsidR="00412417">
        <w:rPr>
          <w:rFonts w:ascii="Times New Roman" w:hAnsi="Times New Roman" w:cs="Times New Roman"/>
          <w:sz w:val="24"/>
          <w:szCs w:val="24"/>
        </w:rPr>
        <w:t xml:space="preserve"> (rys</w:t>
      </w:r>
      <w:proofErr w:type="gramStart"/>
      <w:r w:rsidR="00412417">
        <w:rPr>
          <w:rFonts w:ascii="Times New Roman" w:hAnsi="Times New Roman" w:cs="Times New Roman"/>
          <w:sz w:val="24"/>
          <w:szCs w:val="24"/>
        </w:rPr>
        <w:t>.3</w:t>
      </w:r>
      <w:r w:rsidR="003150B1">
        <w:rPr>
          <w:rFonts w:ascii="Times New Roman" w:hAnsi="Times New Roman" w:cs="Times New Roman"/>
          <w:sz w:val="24"/>
          <w:szCs w:val="24"/>
        </w:rPr>
        <w:t>)</w:t>
      </w:r>
      <w:r w:rsidR="00A77883">
        <w:rPr>
          <w:rFonts w:ascii="Times New Roman" w:hAnsi="Times New Roman" w:cs="Times New Roman"/>
          <w:sz w:val="24"/>
          <w:szCs w:val="24"/>
        </w:rPr>
        <w:t>. I</w:t>
      </w:r>
      <w:proofErr w:type="gramEnd"/>
      <w:r w:rsidR="00A77883">
        <w:rPr>
          <w:rFonts w:ascii="Times New Roman" w:hAnsi="Times New Roman" w:cs="Times New Roman"/>
          <w:sz w:val="24"/>
          <w:szCs w:val="24"/>
        </w:rPr>
        <w:t xml:space="preserve"> tak np. w PKO BP S.A. </w:t>
      </w:r>
      <w:proofErr w:type="gramStart"/>
      <w:r w:rsidRPr="00181ADD">
        <w:rPr>
          <w:rFonts w:ascii="Times New Roman" w:hAnsi="Times New Roman" w:cs="Times New Roman"/>
          <w:sz w:val="24"/>
          <w:szCs w:val="24"/>
        </w:rPr>
        <w:t>wskaźnik</w:t>
      </w:r>
      <w:proofErr w:type="gramEnd"/>
      <w:r w:rsidRPr="00181ADD">
        <w:rPr>
          <w:rFonts w:ascii="Times New Roman" w:hAnsi="Times New Roman" w:cs="Times New Roman"/>
          <w:sz w:val="24"/>
          <w:szCs w:val="24"/>
        </w:rPr>
        <w:t xml:space="preserve"> ROE zmniejszył się z 21,3% w 2008 r. do 8,51% w 2015 r. w Pekao S.A./ </w:t>
      </w:r>
      <w:proofErr w:type="gramStart"/>
      <w:r w:rsidRPr="00181ADD">
        <w:rPr>
          <w:rFonts w:ascii="Times New Roman" w:hAnsi="Times New Roman" w:cs="Times New Roman"/>
          <w:sz w:val="24"/>
          <w:szCs w:val="24"/>
        </w:rPr>
        <w:t>z 21,4%  w</w:t>
      </w:r>
      <w:proofErr w:type="gramEnd"/>
      <w:r w:rsidRPr="00181ADD">
        <w:rPr>
          <w:rFonts w:ascii="Times New Roman" w:hAnsi="Times New Roman" w:cs="Times New Roman"/>
          <w:sz w:val="24"/>
          <w:szCs w:val="24"/>
        </w:rPr>
        <w:t xml:space="preserve"> 2008 r. do 10,05% w 2015 r, w BZWBK S.A. </w:t>
      </w:r>
      <w:proofErr w:type="gramStart"/>
      <w:r w:rsidRPr="00181ADD">
        <w:rPr>
          <w:rFonts w:ascii="Times New Roman" w:hAnsi="Times New Roman" w:cs="Times New Roman"/>
          <w:sz w:val="24"/>
          <w:szCs w:val="24"/>
        </w:rPr>
        <w:t>z</w:t>
      </w:r>
      <w:proofErr w:type="gramEnd"/>
      <w:r w:rsidRPr="00181ADD">
        <w:rPr>
          <w:rFonts w:ascii="Times New Roman" w:hAnsi="Times New Roman" w:cs="Times New Roman"/>
          <w:sz w:val="24"/>
          <w:szCs w:val="24"/>
        </w:rPr>
        <w:t xml:space="preserve"> 18,3% w 20</w:t>
      </w:r>
      <w:r w:rsidR="00306A30">
        <w:rPr>
          <w:rFonts w:ascii="Times New Roman" w:hAnsi="Times New Roman" w:cs="Times New Roman"/>
          <w:sz w:val="24"/>
          <w:szCs w:val="24"/>
        </w:rPr>
        <w:t>08 r, d 9,36 % w 2015 r (patrz t</w:t>
      </w:r>
      <w:r w:rsidRPr="00181ADD">
        <w:rPr>
          <w:rFonts w:ascii="Times New Roman" w:hAnsi="Times New Roman" w:cs="Times New Roman"/>
          <w:sz w:val="24"/>
          <w:szCs w:val="24"/>
        </w:rPr>
        <w:t xml:space="preserve">abela </w:t>
      </w:r>
      <w:r w:rsidR="001473C0">
        <w:rPr>
          <w:rFonts w:ascii="Times New Roman" w:hAnsi="Times New Roman" w:cs="Times New Roman"/>
          <w:sz w:val="24"/>
          <w:szCs w:val="24"/>
        </w:rPr>
        <w:t>7</w:t>
      </w:r>
      <w:r w:rsidRPr="00181ADD">
        <w:rPr>
          <w:rFonts w:ascii="Times New Roman" w:hAnsi="Times New Roman" w:cs="Times New Roman"/>
          <w:sz w:val="24"/>
          <w:szCs w:val="24"/>
        </w:rPr>
        <w:t xml:space="preserve">).  Najmniejszy spadek odnotowały ING BSK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Bank Handlowy S.A. </w:t>
      </w:r>
      <w:proofErr w:type="gramStart"/>
      <w:r w:rsidRPr="00181ADD">
        <w:rPr>
          <w:rFonts w:ascii="Times New Roman" w:hAnsi="Times New Roman" w:cs="Times New Roman"/>
          <w:sz w:val="24"/>
          <w:szCs w:val="24"/>
        </w:rPr>
        <w:t>odpowiednio</w:t>
      </w:r>
      <w:proofErr w:type="gramEnd"/>
      <w:r w:rsidRPr="00181ADD">
        <w:rPr>
          <w:rFonts w:ascii="Times New Roman" w:hAnsi="Times New Roman" w:cs="Times New Roman"/>
          <w:sz w:val="24"/>
          <w:szCs w:val="24"/>
        </w:rPr>
        <w:t xml:space="preserve"> z 11,20% i 11,66% w 2008 </w:t>
      </w:r>
      <w:r w:rsidR="00FF016A">
        <w:rPr>
          <w:rFonts w:ascii="Times New Roman" w:hAnsi="Times New Roman" w:cs="Times New Roman"/>
          <w:sz w:val="24"/>
          <w:szCs w:val="24"/>
        </w:rPr>
        <w:t xml:space="preserve">r. do 10,78% i 9,14% w 2015 r. </w:t>
      </w:r>
    </w:p>
    <w:p w:rsidR="0038566B" w:rsidRPr="0038566B" w:rsidRDefault="0038566B" w:rsidP="0038566B">
      <w:pPr>
        <w:pStyle w:val="Legenda"/>
        <w:keepNext/>
        <w:jc w:val="both"/>
        <w:rPr>
          <w:rFonts w:ascii="Times New Roman" w:hAnsi="Times New Roman" w:cs="Times New Roman"/>
          <w:color w:val="auto"/>
          <w:sz w:val="20"/>
          <w:szCs w:val="20"/>
        </w:rPr>
      </w:pPr>
      <w:r w:rsidRPr="0038566B">
        <w:rPr>
          <w:rFonts w:ascii="Times New Roman" w:hAnsi="Times New Roman" w:cs="Times New Roman"/>
          <w:color w:val="auto"/>
          <w:sz w:val="20"/>
          <w:szCs w:val="20"/>
        </w:rPr>
        <w:t xml:space="preserve">Tabela </w:t>
      </w:r>
      <w:r w:rsidR="001473C0">
        <w:rPr>
          <w:rFonts w:ascii="Times New Roman" w:hAnsi="Times New Roman" w:cs="Times New Roman"/>
          <w:color w:val="auto"/>
          <w:sz w:val="20"/>
          <w:szCs w:val="20"/>
        </w:rPr>
        <w:t>7</w:t>
      </w:r>
      <w:r w:rsidRPr="0038566B">
        <w:rPr>
          <w:rFonts w:ascii="Times New Roman" w:hAnsi="Times New Roman" w:cs="Times New Roman"/>
          <w:color w:val="auto"/>
          <w:sz w:val="20"/>
          <w:szCs w:val="20"/>
        </w:rPr>
        <w:t>. Wskaźniki RO</w:t>
      </w:r>
      <w:r>
        <w:rPr>
          <w:rFonts w:ascii="Times New Roman" w:hAnsi="Times New Roman" w:cs="Times New Roman"/>
          <w:color w:val="auto"/>
          <w:sz w:val="20"/>
          <w:szCs w:val="20"/>
        </w:rPr>
        <w:t>E</w:t>
      </w:r>
      <w:r w:rsidRPr="0038566B">
        <w:rPr>
          <w:rFonts w:ascii="Times New Roman" w:hAnsi="Times New Roman" w:cs="Times New Roman"/>
          <w:color w:val="auto"/>
          <w:sz w:val="20"/>
          <w:szCs w:val="20"/>
        </w:rPr>
        <w:t xml:space="preserve"> dla wybranych banków </w:t>
      </w:r>
      <w:r w:rsidR="002E7ADB">
        <w:rPr>
          <w:rFonts w:ascii="Times New Roman" w:hAnsi="Times New Roman" w:cs="Times New Roman"/>
          <w:color w:val="auto"/>
          <w:sz w:val="20"/>
          <w:szCs w:val="20"/>
        </w:rPr>
        <w:t xml:space="preserve">w </w:t>
      </w:r>
      <w:r w:rsidRPr="0038566B">
        <w:rPr>
          <w:rFonts w:ascii="Times New Roman" w:hAnsi="Times New Roman" w:cs="Times New Roman"/>
          <w:color w:val="auto"/>
          <w:sz w:val="20"/>
          <w:szCs w:val="20"/>
        </w:rPr>
        <w:t>latach 2008-15</w:t>
      </w:r>
    </w:p>
    <w:tbl>
      <w:tblPr>
        <w:tblStyle w:val="Tabela-Siatka4"/>
        <w:tblW w:w="0" w:type="auto"/>
        <w:tblInd w:w="542" w:type="dxa"/>
        <w:tblLook w:val="04A0" w:firstRow="1" w:lastRow="0" w:firstColumn="1" w:lastColumn="0" w:noHBand="0" w:noVBand="1"/>
      </w:tblPr>
      <w:tblGrid>
        <w:gridCol w:w="1857"/>
        <w:gridCol w:w="771"/>
        <w:gridCol w:w="771"/>
        <w:gridCol w:w="771"/>
        <w:gridCol w:w="771"/>
        <w:gridCol w:w="771"/>
        <w:gridCol w:w="771"/>
        <w:gridCol w:w="771"/>
        <w:gridCol w:w="771"/>
      </w:tblGrid>
      <w:tr w:rsidR="00181ADD" w:rsidRPr="00181ADD" w:rsidTr="001B2692">
        <w:trPr>
          <w:trHeight w:val="600"/>
        </w:trPr>
        <w:tc>
          <w:tcPr>
            <w:tcW w:w="0" w:type="auto"/>
            <w:noWrap/>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BANK/LATA</w:t>
            </w:r>
          </w:p>
        </w:tc>
        <w:tc>
          <w:tcPr>
            <w:tcW w:w="0" w:type="auto"/>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2008</w:t>
            </w:r>
          </w:p>
        </w:tc>
        <w:tc>
          <w:tcPr>
            <w:tcW w:w="0" w:type="auto"/>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2009</w:t>
            </w:r>
          </w:p>
        </w:tc>
        <w:tc>
          <w:tcPr>
            <w:tcW w:w="0" w:type="auto"/>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2010</w:t>
            </w:r>
          </w:p>
        </w:tc>
        <w:tc>
          <w:tcPr>
            <w:tcW w:w="0" w:type="auto"/>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2011</w:t>
            </w:r>
          </w:p>
        </w:tc>
        <w:tc>
          <w:tcPr>
            <w:tcW w:w="0" w:type="auto"/>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2012</w:t>
            </w:r>
          </w:p>
        </w:tc>
        <w:tc>
          <w:tcPr>
            <w:tcW w:w="0" w:type="auto"/>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2013</w:t>
            </w:r>
          </w:p>
        </w:tc>
        <w:tc>
          <w:tcPr>
            <w:tcW w:w="0" w:type="auto"/>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2014</w:t>
            </w:r>
          </w:p>
        </w:tc>
        <w:tc>
          <w:tcPr>
            <w:tcW w:w="0" w:type="auto"/>
            <w:vAlign w:val="center"/>
            <w:hideMark/>
          </w:tcPr>
          <w:p w:rsidR="00181ADD" w:rsidRPr="00181ADD" w:rsidRDefault="00181ADD" w:rsidP="00181ADD">
            <w:pPr>
              <w:jc w:val="center"/>
              <w:rPr>
                <w:rFonts w:ascii="Times New Roman" w:hAnsi="Times New Roman" w:cs="Times New Roman"/>
                <w:b/>
                <w:sz w:val="18"/>
                <w:szCs w:val="18"/>
              </w:rPr>
            </w:pPr>
            <w:r w:rsidRPr="00181ADD">
              <w:rPr>
                <w:rFonts w:ascii="Times New Roman" w:hAnsi="Times New Roman" w:cs="Times New Roman"/>
                <w:b/>
                <w:sz w:val="18"/>
                <w:szCs w:val="18"/>
              </w:rPr>
              <w:t>2015</w:t>
            </w:r>
          </w:p>
        </w:tc>
      </w:tr>
      <w:tr w:rsidR="00181ADD" w:rsidRPr="00181ADD" w:rsidTr="001B2692">
        <w:trPr>
          <w:trHeight w:val="300"/>
        </w:trPr>
        <w:tc>
          <w:tcPr>
            <w:tcW w:w="0" w:type="auto"/>
            <w:noWrap/>
            <w:vAlign w:val="center"/>
            <w:hideMark/>
          </w:tcPr>
          <w:p w:rsidR="00181ADD" w:rsidRPr="00181ADD" w:rsidRDefault="00181ADD" w:rsidP="00181ADD">
            <w:pPr>
              <w:jc w:val="center"/>
              <w:rPr>
                <w:rFonts w:ascii="Times New Roman" w:hAnsi="Times New Roman" w:cs="Times New Roman"/>
                <w:bCs/>
                <w:sz w:val="18"/>
                <w:szCs w:val="18"/>
              </w:rPr>
            </w:pPr>
            <w:r w:rsidRPr="00181ADD">
              <w:rPr>
                <w:rFonts w:ascii="Times New Roman" w:hAnsi="Times New Roman" w:cs="Times New Roman"/>
                <w:bCs/>
                <w:sz w:val="18"/>
                <w:szCs w:val="18"/>
              </w:rPr>
              <w:t>Bank Handlowy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11,66%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8,56%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11,65%</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11,35%</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13,74%</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12,94%</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13,22%</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9,14%</w:t>
            </w:r>
          </w:p>
        </w:tc>
      </w:tr>
      <w:tr w:rsidR="00181ADD" w:rsidRPr="00181ADD" w:rsidTr="001B2692">
        <w:trPr>
          <w:trHeight w:val="300"/>
        </w:trPr>
        <w:tc>
          <w:tcPr>
            <w:tcW w:w="0" w:type="auto"/>
            <w:noWrap/>
            <w:vAlign w:val="center"/>
            <w:hideMark/>
          </w:tcPr>
          <w:p w:rsidR="00181ADD" w:rsidRPr="00181ADD" w:rsidRDefault="00181ADD" w:rsidP="00181ADD">
            <w:pPr>
              <w:jc w:val="center"/>
              <w:rPr>
                <w:rFonts w:ascii="Times New Roman" w:hAnsi="Times New Roman" w:cs="Times New Roman"/>
                <w:bCs/>
                <w:sz w:val="18"/>
                <w:szCs w:val="18"/>
              </w:rPr>
            </w:pPr>
            <w:r w:rsidRPr="00181ADD">
              <w:rPr>
                <w:rFonts w:ascii="Times New Roman" w:hAnsi="Times New Roman" w:cs="Times New Roman"/>
                <w:bCs/>
                <w:sz w:val="18"/>
                <w:szCs w:val="18"/>
              </w:rPr>
              <w:t>BOŚ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0,76%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1,56%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5,23%</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5,30%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3,90%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4,25%</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4,02%</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-2,75%</w:t>
            </w:r>
          </w:p>
        </w:tc>
      </w:tr>
      <w:tr w:rsidR="00181ADD" w:rsidRPr="00181ADD" w:rsidTr="001B2692">
        <w:trPr>
          <w:trHeight w:val="300"/>
        </w:trPr>
        <w:tc>
          <w:tcPr>
            <w:tcW w:w="0" w:type="auto"/>
            <w:noWrap/>
            <w:vAlign w:val="center"/>
            <w:hideMark/>
          </w:tcPr>
          <w:p w:rsidR="00181ADD" w:rsidRPr="00181ADD" w:rsidRDefault="00181ADD" w:rsidP="00181ADD">
            <w:pPr>
              <w:jc w:val="center"/>
              <w:rPr>
                <w:rFonts w:ascii="Times New Roman" w:hAnsi="Times New Roman" w:cs="Times New Roman"/>
                <w:bCs/>
                <w:sz w:val="18"/>
                <w:szCs w:val="18"/>
              </w:rPr>
            </w:pPr>
            <w:r w:rsidRPr="00181ADD">
              <w:rPr>
                <w:rFonts w:ascii="Times New Roman" w:hAnsi="Times New Roman" w:cs="Times New Roman"/>
                <w:bCs/>
                <w:sz w:val="18"/>
                <w:szCs w:val="18"/>
              </w:rPr>
              <w:t>Bank BPH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12,51%</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1,64%</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-4,37%</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5,88%</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6,67%</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7,15%</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2,96%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-7,73%</w:t>
            </w:r>
          </w:p>
        </w:tc>
      </w:tr>
      <w:tr w:rsidR="00181ADD" w:rsidRPr="00181ADD" w:rsidTr="001B2692">
        <w:trPr>
          <w:trHeight w:val="300"/>
        </w:trPr>
        <w:tc>
          <w:tcPr>
            <w:tcW w:w="0" w:type="auto"/>
            <w:noWrap/>
            <w:vAlign w:val="center"/>
            <w:hideMark/>
          </w:tcPr>
          <w:p w:rsidR="00181ADD" w:rsidRPr="00181ADD" w:rsidRDefault="00181ADD" w:rsidP="00181ADD">
            <w:pPr>
              <w:jc w:val="center"/>
              <w:rPr>
                <w:rFonts w:ascii="Times New Roman" w:hAnsi="Times New Roman" w:cs="Times New Roman"/>
                <w:bCs/>
                <w:sz w:val="18"/>
                <w:szCs w:val="18"/>
              </w:rPr>
            </w:pPr>
            <w:r w:rsidRPr="00181ADD">
              <w:rPr>
                <w:rFonts w:ascii="Times New Roman" w:hAnsi="Times New Roman" w:cs="Times New Roman"/>
                <w:bCs/>
                <w:sz w:val="18"/>
                <w:szCs w:val="18"/>
              </w:rPr>
              <w:t>BZ WBK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18,30%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18,00%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15,01%</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16,98%</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16,51%</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11,86%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11,66%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9,39%</w:t>
            </w:r>
          </w:p>
        </w:tc>
      </w:tr>
      <w:tr w:rsidR="00181ADD" w:rsidRPr="00181ADD" w:rsidTr="001B2692">
        <w:trPr>
          <w:trHeight w:val="300"/>
        </w:trPr>
        <w:tc>
          <w:tcPr>
            <w:tcW w:w="0" w:type="auto"/>
            <w:noWrap/>
            <w:vAlign w:val="center"/>
            <w:hideMark/>
          </w:tcPr>
          <w:p w:rsidR="00181ADD" w:rsidRPr="00181ADD" w:rsidRDefault="00181ADD" w:rsidP="00181ADD">
            <w:pPr>
              <w:jc w:val="center"/>
              <w:rPr>
                <w:rFonts w:ascii="Times New Roman" w:hAnsi="Times New Roman" w:cs="Times New Roman"/>
                <w:bCs/>
                <w:sz w:val="18"/>
                <w:szCs w:val="18"/>
              </w:rPr>
            </w:pPr>
            <w:r w:rsidRPr="00181ADD">
              <w:rPr>
                <w:rFonts w:ascii="Times New Roman" w:hAnsi="Times New Roman" w:cs="Times New Roman"/>
                <w:bCs/>
                <w:sz w:val="18"/>
                <w:szCs w:val="18"/>
              </w:rPr>
              <w:t>ING BSK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11,20%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12,35%</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12,91%</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14,50%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9,62%</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11,05%</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10,42%</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10,87%</w:t>
            </w:r>
          </w:p>
        </w:tc>
      </w:tr>
      <w:tr w:rsidR="00181ADD" w:rsidRPr="00181ADD" w:rsidTr="001B2692">
        <w:trPr>
          <w:trHeight w:val="300"/>
        </w:trPr>
        <w:tc>
          <w:tcPr>
            <w:tcW w:w="0" w:type="auto"/>
            <w:noWrap/>
            <w:vAlign w:val="center"/>
            <w:hideMark/>
          </w:tcPr>
          <w:p w:rsidR="00181ADD" w:rsidRPr="00181ADD" w:rsidRDefault="00181ADD" w:rsidP="00181ADD">
            <w:pPr>
              <w:jc w:val="center"/>
              <w:rPr>
                <w:rFonts w:ascii="Times New Roman" w:hAnsi="Times New Roman" w:cs="Times New Roman"/>
                <w:bCs/>
                <w:sz w:val="18"/>
                <w:szCs w:val="18"/>
              </w:rPr>
            </w:pPr>
            <w:r w:rsidRPr="00181ADD">
              <w:rPr>
                <w:rFonts w:ascii="Times New Roman" w:hAnsi="Times New Roman" w:cs="Times New Roman"/>
                <w:bCs/>
                <w:sz w:val="18"/>
                <w:szCs w:val="18"/>
              </w:rPr>
              <w:t>MBank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22,89%</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1,50%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7,93%</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14,01%</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13,16%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11,18%</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11,43%</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10,64%</w:t>
            </w:r>
          </w:p>
        </w:tc>
      </w:tr>
      <w:tr w:rsidR="00181ADD" w:rsidRPr="00181ADD" w:rsidTr="001B2692">
        <w:trPr>
          <w:trHeight w:val="300"/>
        </w:trPr>
        <w:tc>
          <w:tcPr>
            <w:tcW w:w="0" w:type="auto"/>
            <w:noWrap/>
            <w:vAlign w:val="center"/>
            <w:hideMark/>
          </w:tcPr>
          <w:p w:rsidR="00181ADD" w:rsidRPr="00181ADD" w:rsidRDefault="00181ADD" w:rsidP="00181ADD">
            <w:pPr>
              <w:jc w:val="center"/>
              <w:rPr>
                <w:rFonts w:ascii="Times New Roman" w:hAnsi="Times New Roman" w:cs="Times New Roman"/>
                <w:bCs/>
                <w:sz w:val="18"/>
                <w:szCs w:val="18"/>
              </w:rPr>
            </w:pPr>
            <w:r w:rsidRPr="00181ADD">
              <w:rPr>
                <w:rFonts w:ascii="Times New Roman" w:hAnsi="Times New Roman" w:cs="Times New Roman"/>
                <w:bCs/>
                <w:sz w:val="18"/>
                <w:szCs w:val="18"/>
              </w:rPr>
              <w:t>Bank Millennium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20,18%</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3,34%</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8,41%</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9,75%</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10,06%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9,98%</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11,59%</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12,94%</w:t>
            </w:r>
          </w:p>
        </w:tc>
      </w:tr>
      <w:tr w:rsidR="00181ADD" w:rsidRPr="00181ADD" w:rsidTr="001B2692">
        <w:trPr>
          <w:trHeight w:val="300"/>
        </w:trPr>
        <w:tc>
          <w:tcPr>
            <w:tcW w:w="0" w:type="auto"/>
            <w:noWrap/>
            <w:vAlign w:val="center"/>
            <w:hideMark/>
          </w:tcPr>
          <w:p w:rsidR="00181ADD" w:rsidRPr="00181ADD" w:rsidRDefault="00181ADD" w:rsidP="00181ADD">
            <w:pPr>
              <w:jc w:val="center"/>
              <w:rPr>
                <w:rFonts w:ascii="Times New Roman" w:hAnsi="Times New Roman" w:cs="Times New Roman"/>
                <w:bCs/>
                <w:sz w:val="18"/>
                <w:szCs w:val="18"/>
              </w:rPr>
            </w:pPr>
            <w:r w:rsidRPr="00181ADD">
              <w:rPr>
                <w:rFonts w:ascii="Times New Roman" w:hAnsi="Times New Roman" w:cs="Times New Roman"/>
                <w:bCs/>
                <w:sz w:val="18"/>
                <w:szCs w:val="18"/>
              </w:rPr>
              <w:t>Bank Pekao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21,49%</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13,70%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12,87%</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13,59%</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12,88%</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12,25%</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11,38%</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10,05%</w:t>
            </w:r>
          </w:p>
        </w:tc>
      </w:tr>
      <w:tr w:rsidR="00181ADD" w:rsidRPr="00181ADD" w:rsidTr="001B2692">
        <w:trPr>
          <w:trHeight w:val="300"/>
        </w:trPr>
        <w:tc>
          <w:tcPr>
            <w:tcW w:w="0" w:type="auto"/>
            <w:noWrap/>
            <w:vAlign w:val="center"/>
            <w:hideMark/>
          </w:tcPr>
          <w:p w:rsidR="00181ADD" w:rsidRPr="00181ADD" w:rsidRDefault="00181ADD" w:rsidP="00181ADD">
            <w:pPr>
              <w:jc w:val="center"/>
              <w:rPr>
                <w:rFonts w:ascii="Times New Roman" w:hAnsi="Times New Roman" w:cs="Times New Roman"/>
                <w:bCs/>
                <w:sz w:val="18"/>
                <w:szCs w:val="18"/>
              </w:rPr>
            </w:pPr>
            <w:r w:rsidRPr="00181ADD">
              <w:rPr>
                <w:rFonts w:ascii="Times New Roman" w:hAnsi="Times New Roman" w:cs="Times New Roman"/>
                <w:bCs/>
                <w:sz w:val="18"/>
                <w:szCs w:val="18"/>
              </w:rPr>
              <w:t>PKO BP S.A.</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21,30%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12,05%</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15,62%</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17,34%</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14,70%</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12,88%</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11,16%</w:t>
            </w:r>
          </w:p>
        </w:tc>
        <w:tc>
          <w:tcPr>
            <w:tcW w:w="0" w:type="auto"/>
            <w:vAlign w:val="center"/>
            <w:hideMark/>
          </w:tcPr>
          <w:p w:rsidR="00181ADD" w:rsidRPr="00181ADD" w:rsidRDefault="00181ADD" w:rsidP="00181ADD">
            <w:pPr>
              <w:jc w:val="center"/>
              <w:rPr>
                <w:rFonts w:ascii="Times New Roman" w:hAnsi="Times New Roman" w:cs="Times New Roman"/>
                <w:sz w:val="18"/>
                <w:szCs w:val="18"/>
              </w:rPr>
            </w:pPr>
            <w:r w:rsidRPr="00181ADD">
              <w:rPr>
                <w:rFonts w:ascii="Times New Roman" w:hAnsi="Times New Roman" w:cs="Times New Roman"/>
                <w:sz w:val="18"/>
                <w:szCs w:val="18"/>
              </w:rPr>
              <w:t>8,51%</w:t>
            </w:r>
          </w:p>
        </w:tc>
      </w:tr>
    </w:tbl>
    <w:p w:rsidR="00181ADD" w:rsidRDefault="003150B1" w:rsidP="003150B1">
      <w:pPr>
        <w:spacing w:after="0" w:line="240" w:lineRule="auto"/>
        <w:contextualSpacing/>
        <w:jc w:val="both"/>
        <w:rPr>
          <w:rFonts w:ascii="Times New Roman" w:hAnsi="Times New Roman" w:cs="Times New Roman"/>
          <w:sz w:val="20"/>
          <w:szCs w:val="20"/>
        </w:rPr>
      </w:pPr>
      <w:r w:rsidRPr="003150B1">
        <w:rPr>
          <w:rFonts w:ascii="Times New Roman" w:hAnsi="Times New Roman" w:cs="Times New Roman"/>
          <w:sz w:val="20"/>
          <w:szCs w:val="20"/>
        </w:rPr>
        <w:t xml:space="preserve">Źródło: </w:t>
      </w:r>
      <w:r w:rsidRPr="00181ADD">
        <w:rPr>
          <w:rFonts w:ascii="Times New Roman" w:hAnsi="Times New Roman" w:cs="Times New Roman"/>
          <w:sz w:val="20"/>
          <w:szCs w:val="20"/>
        </w:rPr>
        <w:t xml:space="preserve">Źródło: opracowanie własne na podstawie </w:t>
      </w:r>
      <w:r>
        <w:rPr>
          <w:rFonts w:ascii="Times New Roman" w:hAnsi="Times New Roman" w:cs="Times New Roman"/>
          <w:sz w:val="20"/>
          <w:szCs w:val="20"/>
        </w:rPr>
        <w:t>Bazy danych EMIS wykonanej przez NOTORIA S.A.</w:t>
      </w:r>
    </w:p>
    <w:p w:rsidR="00FF016A" w:rsidRDefault="00FF016A" w:rsidP="003150B1">
      <w:pPr>
        <w:spacing w:after="0" w:line="240" w:lineRule="auto"/>
        <w:contextualSpacing/>
        <w:jc w:val="both"/>
        <w:rPr>
          <w:rFonts w:ascii="Times New Roman" w:hAnsi="Times New Roman" w:cs="Times New Roman"/>
          <w:sz w:val="20"/>
          <w:szCs w:val="20"/>
        </w:rPr>
      </w:pPr>
    </w:p>
    <w:p w:rsidR="00FF016A" w:rsidRDefault="00FF016A" w:rsidP="00FF016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81ADD">
        <w:rPr>
          <w:rFonts w:ascii="Times New Roman" w:hAnsi="Times New Roman" w:cs="Times New Roman"/>
          <w:sz w:val="24"/>
          <w:szCs w:val="24"/>
        </w:rPr>
        <w:t xml:space="preserve">Najwyższą średnią rentowność kapitałów własnych w badanym okresie osiągnął BZWBK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PKO BP S.A. </w:t>
      </w:r>
      <w:proofErr w:type="gramStart"/>
      <w:r w:rsidRPr="00181ADD">
        <w:rPr>
          <w:rFonts w:ascii="Times New Roman" w:hAnsi="Times New Roman" w:cs="Times New Roman"/>
          <w:sz w:val="24"/>
          <w:szCs w:val="24"/>
        </w:rPr>
        <w:t>odpowiednio</w:t>
      </w:r>
      <w:proofErr w:type="gramEnd"/>
      <w:r w:rsidRPr="00181ADD">
        <w:rPr>
          <w:rFonts w:ascii="Times New Roman" w:hAnsi="Times New Roman" w:cs="Times New Roman"/>
          <w:sz w:val="24"/>
          <w:szCs w:val="24"/>
        </w:rPr>
        <w:t xml:space="preserve"> 14,71% i 145,2% przy małej zmienności (odchylenie standardowe wyniosło 3,12% i 3,72%) (patr</w:t>
      </w:r>
      <w:r w:rsidR="00A77883">
        <w:rPr>
          <w:rFonts w:ascii="Times New Roman" w:hAnsi="Times New Roman" w:cs="Times New Roman"/>
          <w:sz w:val="24"/>
          <w:szCs w:val="24"/>
        </w:rPr>
        <w:t>z t</w:t>
      </w:r>
      <w:r w:rsidR="001473C0">
        <w:rPr>
          <w:rFonts w:ascii="Times New Roman" w:hAnsi="Times New Roman" w:cs="Times New Roman"/>
          <w:sz w:val="24"/>
          <w:szCs w:val="24"/>
        </w:rPr>
        <w:t>abela 8</w:t>
      </w:r>
      <w:r w:rsidRPr="00181ADD">
        <w:rPr>
          <w:rFonts w:ascii="Times New Roman" w:hAnsi="Times New Roman" w:cs="Times New Roman"/>
          <w:sz w:val="24"/>
          <w:szCs w:val="24"/>
        </w:rPr>
        <w:t>).</w:t>
      </w:r>
    </w:p>
    <w:p w:rsidR="00FF016A" w:rsidRPr="00FF016A" w:rsidRDefault="00FF016A" w:rsidP="00FF016A">
      <w:pPr>
        <w:keepNext/>
        <w:spacing w:after="0" w:line="240" w:lineRule="auto"/>
        <w:jc w:val="both"/>
        <w:rPr>
          <w:rFonts w:ascii="Times New Roman" w:eastAsia="Calibri" w:hAnsi="Times New Roman" w:cs="Times New Roman"/>
          <w:b/>
          <w:bCs/>
          <w:sz w:val="20"/>
          <w:szCs w:val="20"/>
        </w:rPr>
      </w:pPr>
      <w:r w:rsidRPr="00FF016A">
        <w:rPr>
          <w:rFonts w:ascii="Times New Roman" w:eastAsia="Calibri" w:hAnsi="Times New Roman" w:cs="Times New Roman"/>
          <w:b/>
          <w:bCs/>
          <w:sz w:val="20"/>
          <w:szCs w:val="20"/>
        </w:rPr>
        <w:lastRenderedPageBreak/>
        <w:t>Tabela</w:t>
      </w:r>
      <w:r>
        <w:rPr>
          <w:rFonts w:ascii="Times New Roman" w:eastAsia="Calibri" w:hAnsi="Times New Roman" w:cs="Times New Roman"/>
          <w:b/>
          <w:bCs/>
          <w:sz w:val="20"/>
          <w:szCs w:val="20"/>
        </w:rPr>
        <w:t xml:space="preserve"> </w:t>
      </w:r>
      <w:r w:rsidR="001473C0">
        <w:rPr>
          <w:rFonts w:ascii="Times New Roman" w:eastAsia="Calibri" w:hAnsi="Times New Roman" w:cs="Times New Roman"/>
          <w:b/>
          <w:bCs/>
          <w:sz w:val="20"/>
          <w:szCs w:val="20"/>
        </w:rPr>
        <w:t>8</w:t>
      </w:r>
      <w:r w:rsidRPr="00FF016A">
        <w:rPr>
          <w:rFonts w:ascii="Times New Roman" w:eastAsia="Calibri" w:hAnsi="Times New Roman" w:cs="Times New Roman"/>
          <w:b/>
          <w:bCs/>
          <w:sz w:val="20"/>
          <w:szCs w:val="20"/>
        </w:rPr>
        <w:t xml:space="preserve">. Średnie wskaźniki ROE dla wybranych banków </w:t>
      </w:r>
      <w:r w:rsidR="002E7ADB">
        <w:rPr>
          <w:rFonts w:ascii="Times New Roman" w:eastAsia="Calibri" w:hAnsi="Times New Roman" w:cs="Times New Roman"/>
          <w:b/>
          <w:bCs/>
          <w:sz w:val="20"/>
          <w:szCs w:val="20"/>
        </w:rPr>
        <w:t xml:space="preserve">w </w:t>
      </w:r>
      <w:r w:rsidRPr="00FF016A">
        <w:rPr>
          <w:rFonts w:ascii="Times New Roman" w:eastAsia="Calibri" w:hAnsi="Times New Roman" w:cs="Times New Roman"/>
          <w:b/>
          <w:bCs/>
          <w:sz w:val="20"/>
          <w:szCs w:val="20"/>
        </w:rPr>
        <w:t>latach 2008-15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771"/>
        <w:gridCol w:w="771"/>
        <w:gridCol w:w="771"/>
        <w:gridCol w:w="1096"/>
        <w:gridCol w:w="1447"/>
      </w:tblGrid>
      <w:tr w:rsidR="00FF016A" w:rsidRPr="00FF016A" w:rsidTr="007D6D0E">
        <w:trPr>
          <w:trHeight w:val="274"/>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BANK/WYNIK 08-15</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MIN</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MAKS</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ŚR</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MEDIANA</w:t>
            </w:r>
          </w:p>
        </w:tc>
        <w:tc>
          <w:tcPr>
            <w:tcW w:w="0" w:type="auto"/>
            <w:shd w:val="clear" w:color="auto" w:fill="auto"/>
            <w:vAlign w:val="center"/>
            <w:hideMark/>
          </w:tcPr>
          <w:p w:rsidR="00FF016A" w:rsidRPr="00FF016A" w:rsidRDefault="00FF016A" w:rsidP="00FF016A">
            <w:pPr>
              <w:spacing w:after="0" w:line="240" w:lineRule="auto"/>
              <w:jc w:val="center"/>
              <w:rPr>
                <w:rFonts w:ascii="Times New Roman" w:eastAsia="Calibri" w:hAnsi="Times New Roman" w:cs="Times New Roman"/>
                <w:b/>
                <w:bCs/>
                <w:sz w:val="18"/>
                <w:szCs w:val="18"/>
              </w:rPr>
            </w:pPr>
            <w:r w:rsidRPr="00FF016A">
              <w:rPr>
                <w:rFonts w:ascii="Times New Roman" w:eastAsia="Calibri" w:hAnsi="Times New Roman" w:cs="Times New Roman"/>
                <w:b/>
                <w:bCs/>
                <w:sz w:val="18"/>
                <w:szCs w:val="18"/>
              </w:rPr>
              <w:t>ODCHYLENIE</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Bank Handlowy w Warszawie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8,56%</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13,74%</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11,53%</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11,66%</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1,74%</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BOŚ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-2,75%</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5,30%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2,78%</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3,96%</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2,58%</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Bank BPH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-7,73%</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12,51%</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3,09%</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4,42%</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6,13%</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BZ WBK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9,39%</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18,30%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14,71%</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15,76%</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3,12%</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ING BSK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9,62%</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14,50%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11,62%</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11,13%</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1,46%</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proofErr w:type="spellStart"/>
            <w:r w:rsidRPr="00FF016A">
              <w:rPr>
                <w:rFonts w:ascii="Times New Roman" w:eastAsia="Calibri" w:hAnsi="Times New Roman" w:cs="Times New Roman"/>
                <w:bCs/>
                <w:sz w:val="18"/>
                <w:szCs w:val="18"/>
              </w:rPr>
              <w:t>Mbank</w:t>
            </w:r>
            <w:proofErr w:type="spellEnd"/>
            <w:r w:rsidRPr="00FF016A">
              <w:rPr>
                <w:rFonts w:ascii="Times New Roman" w:eastAsia="Calibri" w:hAnsi="Times New Roman" w:cs="Times New Roman"/>
                <w:bCs/>
                <w:sz w:val="18"/>
                <w:szCs w:val="18"/>
              </w:rPr>
              <w:t xml:space="preserve">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1,50%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22,89%</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11,59%</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11,31%</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5,62%</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Bank Millennium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3,34%</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20,18%</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10,78%</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10,02%</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4,43%</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Bank Pekao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10,05%</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21,49%</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13,53%</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12,88%</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3,21%</w:t>
            </w:r>
          </w:p>
        </w:tc>
      </w:tr>
      <w:tr w:rsidR="00FF016A" w:rsidRPr="00FF016A" w:rsidTr="007D6D0E">
        <w:trPr>
          <w:trHeight w:val="300"/>
          <w:jc w:val="center"/>
        </w:trPr>
        <w:tc>
          <w:tcPr>
            <w:tcW w:w="0" w:type="auto"/>
            <w:shd w:val="clear" w:color="auto" w:fill="auto"/>
            <w:vAlign w:val="center"/>
          </w:tcPr>
          <w:p w:rsidR="00FF016A" w:rsidRPr="00FF016A" w:rsidRDefault="00FF016A" w:rsidP="00FF016A">
            <w:pPr>
              <w:spacing w:after="0" w:line="240" w:lineRule="auto"/>
              <w:jc w:val="center"/>
              <w:rPr>
                <w:rFonts w:ascii="Times New Roman" w:eastAsia="Calibri" w:hAnsi="Times New Roman" w:cs="Times New Roman"/>
                <w:bCs/>
                <w:sz w:val="18"/>
                <w:szCs w:val="18"/>
              </w:rPr>
            </w:pPr>
            <w:r w:rsidRPr="00FF016A">
              <w:rPr>
                <w:rFonts w:ascii="Times New Roman" w:eastAsia="Calibri" w:hAnsi="Times New Roman" w:cs="Times New Roman"/>
                <w:bCs/>
                <w:sz w:val="18"/>
                <w:szCs w:val="18"/>
              </w:rPr>
              <w:t>PKO BP S.A.</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8,51%</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21,30%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14,20%</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13,79%</w:t>
            </w:r>
          </w:p>
        </w:tc>
        <w:tc>
          <w:tcPr>
            <w:tcW w:w="0" w:type="auto"/>
            <w:shd w:val="clear" w:color="auto" w:fill="auto"/>
            <w:noWrap/>
            <w:vAlign w:val="center"/>
            <w:hideMark/>
          </w:tcPr>
          <w:p w:rsidR="00FF016A" w:rsidRPr="00FF016A" w:rsidRDefault="00FF016A" w:rsidP="00FF016A">
            <w:pPr>
              <w:spacing w:after="0" w:line="240" w:lineRule="auto"/>
              <w:jc w:val="center"/>
              <w:rPr>
                <w:rFonts w:ascii="Times New Roman" w:eastAsia="Calibri" w:hAnsi="Times New Roman" w:cs="Times New Roman"/>
                <w:sz w:val="18"/>
                <w:szCs w:val="18"/>
              </w:rPr>
            </w:pPr>
            <w:r w:rsidRPr="00FF016A">
              <w:rPr>
                <w:rFonts w:ascii="Times New Roman" w:eastAsia="Calibri" w:hAnsi="Times New Roman" w:cs="Times New Roman"/>
                <w:sz w:val="18"/>
                <w:szCs w:val="18"/>
              </w:rPr>
              <w:t>3,72%</w:t>
            </w:r>
          </w:p>
        </w:tc>
      </w:tr>
    </w:tbl>
    <w:p w:rsidR="00FF016A" w:rsidRPr="00FF016A" w:rsidRDefault="00FF016A" w:rsidP="00FF016A">
      <w:pPr>
        <w:spacing w:after="0" w:line="360" w:lineRule="auto"/>
        <w:contextualSpacing/>
        <w:jc w:val="both"/>
        <w:rPr>
          <w:rFonts w:ascii="Times New Roman" w:eastAsia="Calibri" w:hAnsi="Times New Roman" w:cs="Times New Roman"/>
          <w:sz w:val="20"/>
          <w:szCs w:val="20"/>
        </w:rPr>
      </w:pPr>
      <w:r w:rsidRPr="00FF016A">
        <w:rPr>
          <w:rFonts w:ascii="Times New Roman" w:eastAsia="Calibri" w:hAnsi="Times New Roman" w:cs="Times New Roman"/>
          <w:sz w:val="20"/>
          <w:szCs w:val="20"/>
        </w:rPr>
        <w:t>Źródło: opracowanie własne na podstawie Bazy danych EMIS wykonanej przez NOTORIA S.A.</w:t>
      </w:r>
    </w:p>
    <w:p w:rsidR="00FF016A" w:rsidRPr="003150B1" w:rsidRDefault="00FF016A" w:rsidP="00FF016A">
      <w:pPr>
        <w:spacing w:after="0" w:line="360" w:lineRule="auto"/>
        <w:contextualSpacing/>
        <w:jc w:val="both"/>
        <w:rPr>
          <w:rFonts w:ascii="Times New Roman" w:hAnsi="Times New Roman" w:cs="Times New Roman"/>
          <w:sz w:val="20"/>
          <w:szCs w:val="20"/>
        </w:rPr>
      </w:pPr>
    </w:p>
    <w:p w:rsidR="00181ADD" w:rsidRDefault="001B2692" w:rsidP="00181ADD">
      <w:pPr>
        <w:jc w:val="both"/>
        <w:rPr>
          <w:rFonts w:ascii="Times New Roman" w:hAnsi="Times New Roman" w:cs="Times New Roman"/>
        </w:rPr>
      </w:pPr>
      <w:r>
        <w:rPr>
          <w:noProof/>
          <w:lang w:eastAsia="pl-PL"/>
        </w:rPr>
        <w:drawing>
          <wp:inline distT="0" distB="0" distL="0" distR="0" wp14:anchorId="32786101" wp14:editId="4F2E26CC">
            <wp:extent cx="5772150" cy="280035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2F7A" w:rsidRDefault="00B12F7A" w:rsidP="003150B1">
      <w:pPr>
        <w:pStyle w:val="Legenda"/>
        <w:spacing w:after="0"/>
        <w:rPr>
          <w:rFonts w:ascii="Times New Roman" w:hAnsi="Times New Roman" w:cs="Times New Roman"/>
          <w:color w:val="auto"/>
          <w:sz w:val="20"/>
          <w:szCs w:val="20"/>
        </w:rPr>
      </w:pPr>
      <w:r w:rsidRPr="00B12F7A">
        <w:rPr>
          <w:rFonts w:ascii="Times New Roman" w:hAnsi="Times New Roman" w:cs="Times New Roman"/>
          <w:color w:val="auto"/>
          <w:sz w:val="20"/>
          <w:szCs w:val="20"/>
        </w:rPr>
        <w:t xml:space="preserve">Rys. </w:t>
      </w:r>
      <w:r w:rsidR="00412417">
        <w:rPr>
          <w:rFonts w:ascii="Times New Roman" w:hAnsi="Times New Roman" w:cs="Times New Roman"/>
          <w:color w:val="auto"/>
          <w:sz w:val="20"/>
          <w:szCs w:val="20"/>
        </w:rPr>
        <w:t>3.</w:t>
      </w:r>
      <w:r w:rsidRPr="00B12F7A">
        <w:rPr>
          <w:rFonts w:ascii="Times New Roman" w:hAnsi="Times New Roman" w:cs="Times New Roman"/>
          <w:color w:val="auto"/>
          <w:sz w:val="20"/>
          <w:szCs w:val="20"/>
        </w:rPr>
        <w:t xml:space="preserve"> Przebieg wskaźnika ROE dla wybranych banków w latach 2008-15</w:t>
      </w:r>
    </w:p>
    <w:p w:rsidR="00C626D0" w:rsidRDefault="00C626D0" w:rsidP="003150B1">
      <w:pPr>
        <w:spacing w:after="0" w:line="240" w:lineRule="auto"/>
        <w:contextualSpacing/>
        <w:jc w:val="both"/>
        <w:rPr>
          <w:rFonts w:ascii="Times New Roman" w:hAnsi="Times New Roman" w:cs="Times New Roman"/>
          <w:sz w:val="20"/>
          <w:szCs w:val="20"/>
        </w:rPr>
      </w:pPr>
      <w:r w:rsidRPr="00181ADD">
        <w:rPr>
          <w:rFonts w:ascii="Times New Roman" w:hAnsi="Times New Roman" w:cs="Times New Roman"/>
          <w:sz w:val="20"/>
          <w:szCs w:val="20"/>
        </w:rPr>
        <w:t xml:space="preserve">Źródło: opracowanie własne na podstawie </w:t>
      </w:r>
      <w:r>
        <w:rPr>
          <w:rFonts w:ascii="Times New Roman" w:hAnsi="Times New Roman" w:cs="Times New Roman"/>
          <w:sz w:val="20"/>
          <w:szCs w:val="20"/>
        </w:rPr>
        <w:t>Bazy danych EMIS wykonanej przez NOTORIA S.A.</w:t>
      </w:r>
    </w:p>
    <w:p w:rsidR="003150B1" w:rsidRDefault="003150B1" w:rsidP="003150B1">
      <w:pPr>
        <w:spacing w:after="0" w:line="240" w:lineRule="auto"/>
        <w:contextualSpacing/>
        <w:jc w:val="both"/>
        <w:rPr>
          <w:rFonts w:ascii="Times New Roman" w:hAnsi="Times New Roman" w:cs="Times New Roman"/>
          <w:sz w:val="20"/>
          <w:szCs w:val="20"/>
        </w:rPr>
      </w:pPr>
    </w:p>
    <w:p w:rsidR="003150B1" w:rsidRPr="00181ADD" w:rsidRDefault="003150B1" w:rsidP="003150B1">
      <w:pPr>
        <w:spacing w:after="0" w:line="360" w:lineRule="auto"/>
        <w:ind w:firstLine="567"/>
        <w:jc w:val="both"/>
        <w:rPr>
          <w:rFonts w:ascii="Times New Roman" w:hAnsi="Times New Roman" w:cs="Times New Roman"/>
          <w:sz w:val="24"/>
          <w:szCs w:val="24"/>
        </w:rPr>
      </w:pPr>
      <w:r w:rsidRPr="00181ADD">
        <w:rPr>
          <w:rFonts w:ascii="Times New Roman" w:hAnsi="Times New Roman" w:cs="Times New Roman"/>
          <w:sz w:val="24"/>
          <w:szCs w:val="24"/>
        </w:rPr>
        <w:t xml:space="preserve">Najniższą średnią rentowność ROE odnotowały banki BOŚ S.A. – 2,78%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Bank BPH S.A. 3,09%, </w:t>
      </w:r>
      <w:proofErr w:type="gramStart"/>
      <w:r w:rsidRPr="00181ADD">
        <w:rPr>
          <w:rFonts w:ascii="Times New Roman" w:hAnsi="Times New Roman" w:cs="Times New Roman"/>
          <w:sz w:val="24"/>
          <w:szCs w:val="24"/>
        </w:rPr>
        <w:t>które</w:t>
      </w:r>
      <w:proofErr w:type="gramEnd"/>
      <w:r w:rsidRPr="00181ADD">
        <w:rPr>
          <w:rFonts w:ascii="Times New Roman" w:hAnsi="Times New Roman" w:cs="Times New Roman"/>
          <w:sz w:val="24"/>
          <w:szCs w:val="24"/>
        </w:rPr>
        <w:t xml:space="preserve"> również najbardziej obniżyły swoją rentowność kapitałów własnych po kryzysie w latach 2008-2010.</w:t>
      </w:r>
    </w:p>
    <w:p w:rsidR="00B12F7A" w:rsidRPr="00B12F7A" w:rsidRDefault="00B12F7A" w:rsidP="00B12F7A"/>
    <w:p w:rsidR="00181ADD" w:rsidRPr="00181ADD" w:rsidRDefault="00181ADD" w:rsidP="00181ADD">
      <w:pPr>
        <w:pStyle w:val="Styl1"/>
      </w:pPr>
      <w:r w:rsidRPr="00181ADD">
        <w:t xml:space="preserve">Wnioski końcowe </w:t>
      </w:r>
    </w:p>
    <w:p w:rsidR="00C626D0" w:rsidRDefault="00181ADD" w:rsidP="00C626D0">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05520F">
        <w:rPr>
          <w:rFonts w:ascii="Times New Roman" w:hAnsi="Times New Roman" w:cs="Times New Roman"/>
          <w:sz w:val="24"/>
          <w:szCs w:val="24"/>
        </w:rPr>
        <w:t>Celem artykułu była analiza rentowności banków</w:t>
      </w:r>
      <w:r w:rsidRPr="00181ADD">
        <w:rPr>
          <w:rFonts w:ascii="Times New Roman" w:hAnsi="Times New Roman" w:cs="Times New Roman"/>
          <w:sz w:val="24"/>
          <w:szCs w:val="24"/>
        </w:rPr>
        <w:t xml:space="preserve"> </w:t>
      </w:r>
      <w:r w:rsidR="0005520F">
        <w:rPr>
          <w:rFonts w:ascii="Times New Roman" w:hAnsi="Times New Roman" w:cs="Times New Roman"/>
          <w:sz w:val="24"/>
          <w:szCs w:val="24"/>
        </w:rPr>
        <w:t xml:space="preserve">- </w:t>
      </w:r>
      <w:r w:rsidRPr="00181ADD">
        <w:rPr>
          <w:rFonts w:ascii="Times New Roman" w:hAnsi="Times New Roman" w:cs="Times New Roman"/>
          <w:sz w:val="24"/>
          <w:szCs w:val="24"/>
        </w:rPr>
        <w:t>podmiotów zasilających finansowo gospodarkę</w:t>
      </w:r>
      <w:r w:rsidR="0005520F">
        <w:rPr>
          <w:rFonts w:ascii="Times New Roman" w:hAnsi="Times New Roman" w:cs="Times New Roman"/>
          <w:sz w:val="24"/>
          <w:szCs w:val="24"/>
        </w:rPr>
        <w:t>. Rentowność</w:t>
      </w:r>
      <w:r w:rsidRPr="00181ADD">
        <w:rPr>
          <w:rFonts w:ascii="Times New Roman" w:hAnsi="Times New Roman" w:cs="Times New Roman"/>
          <w:sz w:val="24"/>
          <w:szCs w:val="24"/>
        </w:rPr>
        <w:t xml:space="preserve"> jest jedną z najważniejszych kategorii finansowych, która warunkuje funkcjonowanie i rozwój pojedynczych podmiotów gospodarczych, a w skali makroekonomicznej jest motorem rozwoju poszczególnych sektorów oraz całej gospodarki. Analizę rentowności banku przeprowadza się za pomocą wskaźników rentowności, które </w:t>
      </w:r>
      <w:r w:rsidRPr="00181ADD">
        <w:rPr>
          <w:rFonts w:ascii="Times New Roman" w:hAnsi="Times New Roman" w:cs="Times New Roman"/>
          <w:sz w:val="24"/>
          <w:szCs w:val="24"/>
        </w:rPr>
        <w:lastRenderedPageBreak/>
        <w:t>stanowią najważniejszą grupę wskaźników finansowych wykorzystywanych do oceny kondycji banku.</w:t>
      </w:r>
    </w:p>
    <w:p w:rsidR="00C626D0" w:rsidRDefault="00181ADD" w:rsidP="00C626D0">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Pomimo ogólnoświatowego kryzysu finansowego i związanych z tym niestabilnych warunków działania oraz wzrastającej konkurencji sektor bankowy w Polsce a w szczególności banki komercyjne w trudnym okresie 2007-2014 uzyskały rekordowy wynik finansowy netto</w:t>
      </w:r>
      <w:r w:rsidR="00DF6612" w:rsidRPr="00DF6612">
        <w:rPr>
          <w:rFonts w:ascii="Times New Roman" w:hAnsi="Times New Roman" w:cs="Times New Roman"/>
          <w:sz w:val="24"/>
          <w:szCs w:val="24"/>
        </w:rPr>
        <w:t xml:space="preserve"> </w:t>
      </w:r>
      <w:r w:rsidR="00DF6612" w:rsidRPr="00181ADD">
        <w:rPr>
          <w:rFonts w:ascii="Times New Roman" w:hAnsi="Times New Roman" w:cs="Times New Roman"/>
          <w:sz w:val="24"/>
          <w:szCs w:val="24"/>
        </w:rPr>
        <w:t>a wskaźniki rentowności uległy nieznacznemu pogorszeniu</w:t>
      </w:r>
      <w:r w:rsidR="00DF6612">
        <w:rPr>
          <w:rFonts w:ascii="Times New Roman" w:hAnsi="Times New Roman" w:cs="Times New Roman"/>
          <w:sz w:val="24"/>
          <w:szCs w:val="24"/>
        </w:rPr>
        <w:t>. Znaczne pogorszenie rentowności</w:t>
      </w:r>
      <w:r w:rsidR="00D97157">
        <w:rPr>
          <w:rFonts w:ascii="Times New Roman" w:hAnsi="Times New Roman" w:cs="Times New Roman"/>
          <w:sz w:val="24"/>
          <w:szCs w:val="24"/>
        </w:rPr>
        <w:t xml:space="preserve"> banków komercyjnych </w:t>
      </w:r>
      <w:r w:rsidR="00DF6612">
        <w:rPr>
          <w:rFonts w:ascii="Times New Roman" w:hAnsi="Times New Roman" w:cs="Times New Roman"/>
          <w:sz w:val="24"/>
          <w:szCs w:val="24"/>
        </w:rPr>
        <w:t>(wynik finansowy netto zmniejszył się o ponad 4</w:t>
      </w:r>
      <w:r w:rsidR="00D97157">
        <w:rPr>
          <w:rFonts w:ascii="Times New Roman" w:hAnsi="Times New Roman" w:cs="Times New Roman"/>
          <w:sz w:val="24"/>
          <w:szCs w:val="24"/>
        </w:rPr>
        <w:t xml:space="preserve"> mld zł tj. o </w:t>
      </w:r>
      <w:proofErr w:type="gramStart"/>
      <w:r w:rsidR="00D97157">
        <w:rPr>
          <w:rFonts w:ascii="Times New Roman" w:hAnsi="Times New Roman" w:cs="Times New Roman"/>
          <w:sz w:val="24"/>
          <w:szCs w:val="24"/>
        </w:rPr>
        <w:t>ok. 28%)</w:t>
      </w:r>
      <w:r w:rsidR="00DF6612">
        <w:rPr>
          <w:rFonts w:ascii="Times New Roman" w:hAnsi="Times New Roman" w:cs="Times New Roman"/>
          <w:sz w:val="24"/>
          <w:szCs w:val="24"/>
        </w:rPr>
        <w:t xml:space="preserve">  miało</w:t>
      </w:r>
      <w:proofErr w:type="gramEnd"/>
      <w:r w:rsidR="00DF6612">
        <w:rPr>
          <w:rFonts w:ascii="Times New Roman" w:hAnsi="Times New Roman" w:cs="Times New Roman"/>
          <w:sz w:val="24"/>
          <w:szCs w:val="24"/>
        </w:rPr>
        <w:t xml:space="preserve"> miejsce w ostatnim 2015 roku</w:t>
      </w:r>
      <w:r w:rsidR="00A77883">
        <w:rPr>
          <w:rFonts w:ascii="Times New Roman" w:hAnsi="Times New Roman" w:cs="Times New Roman"/>
          <w:sz w:val="24"/>
          <w:szCs w:val="24"/>
        </w:rPr>
        <w:t xml:space="preserve"> głownie z powodu obciążeń związanych z BFG</w:t>
      </w:r>
      <w:r w:rsidRPr="00181ADD">
        <w:rPr>
          <w:rFonts w:ascii="Times New Roman" w:hAnsi="Times New Roman" w:cs="Times New Roman"/>
          <w:sz w:val="24"/>
          <w:szCs w:val="24"/>
        </w:rPr>
        <w:t>.</w:t>
      </w:r>
    </w:p>
    <w:p w:rsidR="00C626D0" w:rsidRDefault="00181ADD" w:rsidP="00C626D0">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 xml:space="preserve">Spośród badanych banków komercyjnych w zakresie rentowności przychodów (ROS) najlepsze wyniki uzyskały banki: Pekao S.A., Bank Handlowy S.A., BZWBK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MBank S.A. Generalnie wskaźnik ROS w wielu bankach wzrastał a tylko w nielicznych był albo na tym samym poziomie albo nieznacznie zmniejszył się.</w:t>
      </w:r>
    </w:p>
    <w:p w:rsidR="00C626D0" w:rsidRDefault="00181ADD" w:rsidP="00C626D0">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Podsumowując analizę wskaźnika rentowności aktywów (RO</w:t>
      </w:r>
      <w:r w:rsidR="00413F62">
        <w:rPr>
          <w:rFonts w:ascii="Times New Roman" w:hAnsi="Times New Roman" w:cs="Times New Roman"/>
          <w:sz w:val="24"/>
          <w:szCs w:val="24"/>
        </w:rPr>
        <w:t xml:space="preserve">A) należy stwierdzić, że ING BSK S.A. </w:t>
      </w:r>
      <w:proofErr w:type="gramStart"/>
      <w:r w:rsidR="00413F62">
        <w:rPr>
          <w:rFonts w:ascii="Times New Roman" w:hAnsi="Times New Roman" w:cs="Times New Roman"/>
          <w:sz w:val="24"/>
          <w:szCs w:val="24"/>
        </w:rPr>
        <w:t>i</w:t>
      </w:r>
      <w:proofErr w:type="gramEnd"/>
      <w:r w:rsidR="00413F62">
        <w:rPr>
          <w:rFonts w:ascii="Times New Roman" w:hAnsi="Times New Roman" w:cs="Times New Roman"/>
          <w:sz w:val="24"/>
          <w:szCs w:val="24"/>
        </w:rPr>
        <w:t xml:space="preserve"> Bank Millenium S.A.</w:t>
      </w:r>
      <w:r w:rsidRPr="00181ADD">
        <w:rPr>
          <w:rFonts w:ascii="Times New Roman" w:hAnsi="Times New Roman" w:cs="Times New Roman"/>
          <w:sz w:val="24"/>
          <w:szCs w:val="24"/>
        </w:rPr>
        <w:t xml:space="preserve"> </w:t>
      </w:r>
      <w:proofErr w:type="gramStart"/>
      <w:r w:rsidRPr="00181ADD">
        <w:rPr>
          <w:rFonts w:ascii="Times New Roman" w:hAnsi="Times New Roman" w:cs="Times New Roman"/>
          <w:sz w:val="24"/>
          <w:szCs w:val="24"/>
        </w:rPr>
        <w:t>podwyższył</w:t>
      </w:r>
      <w:r w:rsidR="00413F62">
        <w:rPr>
          <w:rFonts w:ascii="Times New Roman" w:hAnsi="Times New Roman" w:cs="Times New Roman"/>
          <w:sz w:val="24"/>
          <w:szCs w:val="24"/>
        </w:rPr>
        <w:t>y</w:t>
      </w:r>
      <w:proofErr w:type="gramEnd"/>
      <w:r w:rsidRPr="00181ADD">
        <w:rPr>
          <w:rFonts w:ascii="Times New Roman" w:hAnsi="Times New Roman" w:cs="Times New Roman"/>
          <w:sz w:val="24"/>
          <w:szCs w:val="24"/>
        </w:rPr>
        <w:t xml:space="preserve"> wskaźnik ROA w badanym okresie. Najgorszy wskaźnik ROA w analizowanym okresie osiągnęły banki: BOŚ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BPH S.A. Ponad dwukrotny spadek ROA odnotow</w:t>
      </w:r>
      <w:r w:rsidR="00413F62">
        <w:rPr>
          <w:rFonts w:ascii="Times New Roman" w:hAnsi="Times New Roman" w:cs="Times New Roman"/>
          <w:sz w:val="24"/>
          <w:szCs w:val="24"/>
        </w:rPr>
        <w:t xml:space="preserve">ał PKO BP S.A. </w:t>
      </w:r>
      <w:proofErr w:type="gramStart"/>
      <w:r w:rsidR="00413F62">
        <w:rPr>
          <w:rFonts w:ascii="Times New Roman" w:hAnsi="Times New Roman" w:cs="Times New Roman"/>
          <w:sz w:val="24"/>
          <w:szCs w:val="24"/>
        </w:rPr>
        <w:t>a</w:t>
      </w:r>
      <w:proofErr w:type="gramEnd"/>
      <w:r w:rsidR="00413F62">
        <w:rPr>
          <w:rFonts w:ascii="Times New Roman" w:hAnsi="Times New Roman" w:cs="Times New Roman"/>
          <w:sz w:val="24"/>
          <w:szCs w:val="24"/>
        </w:rPr>
        <w:t xml:space="preserve"> trochę mniejszy Pekao S.A.</w:t>
      </w:r>
    </w:p>
    <w:p w:rsidR="00181ADD" w:rsidRPr="0005520F" w:rsidRDefault="00181ADD" w:rsidP="0005520F">
      <w:pPr>
        <w:spacing w:after="0" w:line="360" w:lineRule="auto"/>
        <w:ind w:firstLine="426"/>
        <w:jc w:val="both"/>
        <w:rPr>
          <w:rFonts w:ascii="Times New Roman" w:hAnsi="Times New Roman" w:cs="Times New Roman"/>
          <w:sz w:val="24"/>
          <w:szCs w:val="24"/>
        </w:rPr>
      </w:pPr>
      <w:r w:rsidRPr="00181ADD">
        <w:rPr>
          <w:rFonts w:ascii="Times New Roman" w:hAnsi="Times New Roman" w:cs="Times New Roman"/>
          <w:sz w:val="24"/>
          <w:szCs w:val="24"/>
        </w:rPr>
        <w:t>W analizowanych latach 2008-15 widoczny jest znaczny spadek rentowności kapitałów własnych (ROE) w wielu bankach</w:t>
      </w:r>
      <w:r w:rsidR="00DF6612">
        <w:rPr>
          <w:rFonts w:ascii="Times New Roman" w:hAnsi="Times New Roman" w:cs="Times New Roman"/>
          <w:sz w:val="24"/>
          <w:szCs w:val="24"/>
        </w:rPr>
        <w:t>, co spowodowane było wzrostem wartości kapitałów własnych w wyniku decyzji regulatorów sektora bankowego (KNF)</w:t>
      </w:r>
      <w:r w:rsidRPr="00181ADD">
        <w:rPr>
          <w:rFonts w:ascii="Times New Roman" w:hAnsi="Times New Roman" w:cs="Times New Roman"/>
          <w:sz w:val="24"/>
          <w:szCs w:val="24"/>
        </w:rPr>
        <w:t xml:space="preserve">. Tylko ING BSK S.A. </w:t>
      </w:r>
      <w:proofErr w:type="gramStart"/>
      <w:r w:rsidRPr="00181ADD">
        <w:rPr>
          <w:rFonts w:ascii="Times New Roman" w:hAnsi="Times New Roman" w:cs="Times New Roman"/>
          <w:sz w:val="24"/>
          <w:szCs w:val="24"/>
        </w:rPr>
        <w:t>i</w:t>
      </w:r>
      <w:proofErr w:type="gramEnd"/>
      <w:r w:rsidRPr="00181ADD">
        <w:rPr>
          <w:rFonts w:ascii="Times New Roman" w:hAnsi="Times New Roman" w:cs="Times New Roman"/>
          <w:sz w:val="24"/>
          <w:szCs w:val="24"/>
        </w:rPr>
        <w:t xml:space="preserve"> Bank Handlowy w zasadzie utrzymały status quo we wskaźniku ROE.</w:t>
      </w:r>
      <w:bookmarkStart w:id="0" w:name="_GoBack"/>
      <w:bookmarkEnd w:id="0"/>
    </w:p>
    <w:p w:rsidR="00181ADD" w:rsidRPr="00181ADD" w:rsidRDefault="00181ADD" w:rsidP="00181ADD">
      <w:pPr>
        <w:ind w:left="360"/>
        <w:contextualSpacing/>
        <w:rPr>
          <w:rFonts w:ascii="Times New Roman" w:hAnsi="Times New Roman" w:cs="Times New Roman"/>
          <w:sz w:val="20"/>
          <w:szCs w:val="20"/>
        </w:rPr>
      </w:pPr>
      <w:r w:rsidRPr="00181ADD">
        <w:rPr>
          <w:rFonts w:ascii="Times New Roman" w:hAnsi="Times New Roman" w:cs="Times New Roman"/>
          <w:sz w:val="20"/>
          <w:szCs w:val="20"/>
        </w:rPr>
        <w:t>Literatura</w:t>
      </w:r>
    </w:p>
    <w:p w:rsidR="00181ADD" w:rsidRPr="00181ADD" w:rsidRDefault="00181ADD" w:rsidP="00181ADD">
      <w:pPr>
        <w:ind w:left="360"/>
        <w:contextualSpacing/>
        <w:jc w:val="center"/>
        <w:rPr>
          <w:rFonts w:ascii="Times New Roman" w:hAnsi="Times New Roman" w:cs="Times New Roman"/>
          <w:sz w:val="20"/>
          <w:szCs w:val="20"/>
        </w:rPr>
      </w:pP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 xml:space="preserve">Analiza rentowności polskich przedsiębiorstw, red. Z. </w:t>
      </w:r>
      <w:proofErr w:type="spellStart"/>
      <w:r w:rsidRPr="00181ADD">
        <w:rPr>
          <w:rFonts w:ascii="Times New Roman" w:hAnsi="Times New Roman" w:cs="Times New Roman"/>
          <w:sz w:val="20"/>
          <w:szCs w:val="20"/>
        </w:rPr>
        <w:t>Dresler</w:t>
      </w:r>
      <w:proofErr w:type="spellEnd"/>
      <w:r w:rsidRPr="00181ADD">
        <w:rPr>
          <w:rFonts w:ascii="Times New Roman" w:hAnsi="Times New Roman" w:cs="Times New Roman"/>
          <w:sz w:val="20"/>
          <w:szCs w:val="20"/>
        </w:rPr>
        <w:t>, Wydawnictwo Uniwersytetu Ekonomicznego w Krakowie, Kraków 2014.</w:t>
      </w: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Gabrusewicz W., Podstawy analizy finansowej, PWE, Warszawa 2002.</w:t>
      </w:r>
    </w:p>
    <w:p w:rsidR="00181ADD" w:rsidRPr="00181ADD" w:rsidRDefault="00181ADD" w:rsidP="00181ADD">
      <w:pPr>
        <w:numPr>
          <w:ilvl w:val="0"/>
          <w:numId w:val="35"/>
        </w:numPr>
        <w:contextualSpacing/>
        <w:jc w:val="both"/>
        <w:rPr>
          <w:rFonts w:ascii="Times New Roman" w:hAnsi="Times New Roman" w:cs="Times New Roman"/>
          <w:sz w:val="20"/>
          <w:szCs w:val="20"/>
        </w:rPr>
      </w:pPr>
      <w:proofErr w:type="spellStart"/>
      <w:r w:rsidRPr="00181ADD">
        <w:rPr>
          <w:rFonts w:ascii="Times New Roman" w:hAnsi="Times New Roman" w:cs="Times New Roman"/>
          <w:sz w:val="20"/>
          <w:szCs w:val="20"/>
        </w:rPr>
        <w:t>Gąsiorkiewicz</w:t>
      </w:r>
      <w:proofErr w:type="spellEnd"/>
      <w:r w:rsidRPr="00181ADD">
        <w:rPr>
          <w:rFonts w:ascii="Times New Roman" w:hAnsi="Times New Roman" w:cs="Times New Roman"/>
          <w:sz w:val="20"/>
          <w:szCs w:val="20"/>
        </w:rPr>
        <w:t xml:space="preserve"> L., Analiza finansowa banków i zakładów ubezpieczeń, Oficyna Politechniki Warszawskiej, Warszawa 2015.</w:t>
      </w:r>
    </w:p>
    <w:p w:rsidR="00181ADD" w:rsidRPr="00181ADD" w:rsidRDefault="00181ADD" w:rsidP="00181ADD">
      <w:pPr>
        <w:numPr>
          <w:ilvl w:val="0"/>
          <w:numId w:val="35"/>
        </w:numPr>
        <w:contextualSpacing/>
        <w:jc w:val="both"/>
        <w:rPr>
          <w:rFonts w:ascii="Times New Roman" w:hAnsi="Times New Roman" w:cs="Times New Roman"/>
          <w:sz w:val="20"/>
          <w:szCs w:val="20"/>
        </w:rPr>
      </w:pPr>
      <w:proofErr w:type="spellStart"/>
      <w:r w:rsidRPr="00181ADD">
        <w:rPr>
          <w:rFonts w:ascii="Times New Roman" w:hAnsi="Times New Roman" w:cs="Times New Roman"/>
          <w:sz w:val="20"/>
          <w:szCs w:val="20"/>
        </w:rPr>
        <w:t>Iwanicz</w:t>
      </w:r>
      <w:proofErr w:type="spellEnd"/>
      <w:r w:rsidRPr="00181ADD">
        <w:rPr>
          <w:rFonts w:ascii="Times New Roman" w:hAnsi="Times New Roman" w:cs="Times New Roman"/>
          <w:sz w:val="20"/>
          <w:szCs w:val="20"/>
        </w:rPr>
        <w:t xml:space="preserve">-Drozdowska M., Metody oceny działalności banku, </w:t>
      </w:r>
      <w:proofErr w:type="spellStart"/>
      <w:r w:rsidRPr="00181ADD">
        <w:rPr>
          <w:rFonts w:ascii="Times New Roman" w:hAnsi="Times New Roman" w:cs="Times New Roman"/>
          <w:sz w:val="20"/>
          <w:szCs w:val="20"/>
        </w:rPr>
        <w:t>Poltext</w:t>
      </w:r>
      <w:proofErr w:type="spellEnd"/>
      <w:r w:rsidRPr="00181ADD">
        <w:rPr>
          <w:rFonts w:ascii="Times New Roman" w:hAnsi="Times New Roman" w:cs="Times New Roman"/>
          <w:sz w:val="20"/>
          <w:szCs w:val="20"/>
        </w:rPr>
        <w:t>, Warszawa 1999.</w:t>
      </w: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Kopiński A., Analiza finansowa banku, PWE, Warszawa 2008.</w:t>
      </w: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Kopiński A., Wskaźnikowa ocena rentowności banku, Prace Naukowe Akademii Ekonomicznej we Wrocławiu nr 1085, 2005.</w:t>
      </w: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Kopiński A., Analiza rentowności banku w aspekcie ryzyka, Prace Naukowe Akademii Ekonomicznej we Wrocławiu nr 1175, 2007.</w:t>
      </w: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Kulińska-</w:t>
      </w:r>
      <w:proofErr w:type="spellStart"/>
      <w:r w:rsidRPr="00181ADD">
        <w:rPr>
          <w:rFonts w:ascii="Times New Roman" w:hAnsi="Times New Roman" w:cs="Times New Roman"/>
          <w:sz w:val="20"/>
          <w:szCs w:val="20"/>
        </w:rPr>
        <w:t>Sadłocha</w:t>
      </w:r>
      <w:proofErr w:type="spellEnd"/>
      <w:r w:rsidRPr="00181ADD">
        <w:rPr>
          <w:rFonts w:ascii="Times New Roman" w:hAnsi="Times New Roman" w:cs="Times New Roman"/>
          <w:sz w:val="20"/>
          <w:szCs w:val="20"/>
        </w:rPr>
        <w:t xml:space="preserve"> E., Controlling w banku, Wyd. Naukowe PWN, Warszawa 2003.</w:t>
      </w: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 xml:space="preserve">Nowak E., Analiza sprawozdań finansowych, PWE, Warszawa 2005. </w:t>
      </w: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Rocznik Statystyczny, GUS Warszawa 2015, 2012, 2010.</w:t>
      </w: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Świderski J., Finanse Banku komercyjnego. Nowe regulacje, standardy, przepisy, Biblioteka Menedżera i Bankowca, Warszawa 1999.</w:t>
      </w:r>
    </w:p>
    <w:p w:rsidR="00181ADD" w:rsidRPr="00181ADD" w:rsidRDefault="00181ADD" w:rsidP="00181ADD">
      <w:pPr>
        <w:numPr>
          <w:ilvl w:val="0"/>
          <w:numId w:val="35"/>
        </w:numPr>
        <w:contextualSpacing/>
        <w:jc w:val="both"/>
        <w:rPr>
          <w:rFonts w:ascii="Times New Roman" w:hAnsi="Times New Roman" w:cs="Times New Roman"/>
          <w:sz w:val="20"/>
          <w:szCs w:val="20"/>
        </w:rPr>
      </w:pPr>
      <w:r w:rsidRPr="00181ADD">
        <w:rPr>
          <w:rFonts w:ascii="Times New Roman" w:hAnsi="Times New Roman" w:cs="Times New Roman"/>
          <w:sz w:val="20"/>
          <w:szCs w:val="20"/>
        </w:rPr>
        <w:t>Wąsowski W., Ekonomika i finanse banku komercyjnego w zarysie, Biblioteka Menedżera i Bankowca, Warszawa 2002</w:t>
      </w:r>
    </w:p>
    <w:p w:rsidR="00181ADD" w:rsidRDefault="00181ADD" w:rsidP="00E77AD8">
      <w:pPr>
        <w:spacing w:after="0" w:line="360" w:lineRule="auto"/>
        <w:ind w:firstLine="284"/>
        <w:jc w:val="both"/>
        <w:rPr>
          <w:rFonts w:ascii="Times New Roman" w:hAnsi="Times New Roman" w:cs="Times New Roman"/>
          <w:sz w:val="24"/>
          <w:szCs w:val="24"/>
        </w:rPr>
      </w:pPr>
    </w:p>
    <w:p w:rsidR="00181ADD" w:rsidRDefault="00181ADD" w:rsidP="00E77AD8">
      <w:pPr>
        <w:spacing w:after="0" w:line="360" w:lineRule="auto"/>
        <w:ind w:firstLine="284"/>
        <w:jc w:val="both"/>
        <w:rPr>
          <w:rFonts w:ascii="Times New Roman" w:hAnsi="Times New Roman" w:cs="Times New Roman"/>
          <w:sz w:val="24"/>
          <w:szCs w:val="24"/>
        </w:rPr>
      </w:pPr>
    </w:p>
    <w:p w:rsidR="00C626D0" w:rsidRDefault="00D7727D" w:rsidP="00D7727D">
      <w:pPr>
        <w:ind w:firstLine="284"/>
        <w:jc w:val="center"/>
        <w:rPr>
          <w:rFonts w:ascii="Times New Roman" w:hAnsi="Times New Roman" w:cs="Times New Roman"/>
          <w:sz w:val="24"/>
          <w:szCs w:val="24"/>
        </w:rPr>
      </w:pPr>
      <w:r>
        <w:rPr>
          <w:rFonts w:ascii="Times New Roman" w:hAnsi="Times New Roman" w:cs="Times New Roman"/>
          <w:sz w:val="24"/>
          <w:szCs w:val="24"/>
        </w:rPr>
        <w:t>Streszczenie</w:t>
      </w:r>
    </w:p>
    <w:p w:rsidR="00C626D0" w:rsidRDefault="00C626D0" w:rsidP="00C626D0">
      <w:pPr>
        <w:jc w:val="both"/>
        <w:rPr>
          <w:rFonts w:ascii="Times New Roman" w:eastAsia="Calibri" w:hAnsi="Times New Roman" w:cs="Times New Roman"/>
          <w:b/>
          <w:sz w:val="20"/>
          <w:szCs w:val="20"/>
        </w:rPr>
      </w:pPr>
      <w:r w:rsidRPr="00C626D0">
        <w:rPr>
          <w:rFonts w:ascii="Times New Roman" w:eastAsia="Calibri" w:hAnsi="Times New Roman" w:cs="Times New Roman"/>
          <w:b/>
          <w:sz w:val="20"/>
          <w:szCs w:val="20"/>
        </w:rPr>
        <w:t>Analiza rentowności wybranych banków komercyjnych w Polsce.</w:t>
      </w:r>
    </w:p>
    <w:p w:rsidR="00C626D0" w:rsidRDefault="00C626D0" w:rsidP="00CE0E97">
      <w:pPr>
        <w:spacing w:after="0" w:line="240" w:lineRule="auto"/>
        <w:rPr>
          <w:rFonts w:ascii="Times New Roman" w:eastAsia="Calibri" w:hAnsi="Times New Roman" w:cs="Times New Roman"/>
          <w:sz w:val="20"/>
          <w:szCs w:val="20"/>
        </w:rPr>
      </w:pPr>
      <w:r w:rsidRPr="00181ADD">
        <w:rPr>
          <w:rFonts w:ascii="Times New Roman" w:eastAsia="Calibri" w:hAnsi="Times New Roman" w:cs="Times New Roman"/>
          <w:sz w:val="20"/>
          <w:szCs w:val="20"/>
        </w:rPr>
        <w:t>Słowa Kluczowe: Rentowność banku, wskaźniki rentowności, rentowność przychodów (ROS), rentowność aktywów (ROA), rentowność kapitałów własnych (ROE).</w:t>
      </w:r>
    </w:p>
    <w:p w:rsidR="00CE0E97" w:rsidRPr="00C626D0" w:rsidRDefault="00CE0E97" w:rsidP="00CE0E97">
      <w:pPr>
        <w:spacing w:after="0" w:line="240" w:lineRule="auto"/>
        <w:rPr>
          <w:rFonts w:ascii="Times New Roman" w:eastAsia="Calibri" w:hAnsi="Times New Roman" w:cs="Times New Roman"/>
          <w:sz w:val="20"/>
          <w:szCs w:val="20"/>
        </w:rPr>
      </w:pPr>
    </w:p>
    <w:p w:rsidR="00C626D0" w:rsidRDefault="002B714D" w:rsidP="00C626D0">
      <w:pPr>
        <w:jc w:val="both"/>
        <w:rPr>
          <w:rFonts w:ascii="Times New Roman" w:hAnsi="Times New Roman" w:cs="Times New Roman"/>
          <w:sz w:val="20"/>
          <w:szCs w:val="20"/>
        </w:rPr>
      </w:pPr>
      <w:r w:rsidRPr="00CE0E97">
        <w:rPr>
          <w:rFonts w:ascii="Times New Roman" w:hAnsi="Times New Roman" w:cs="Times New Roman"/>
          <w:sz w:val="20"/>
          <w:szCs w:val="20"/>
        </w:rPr>
        <w:t>W artykule przedstawiono</w:t>
      </w:r>
      <w:r w:rsidR="00CE0E97" w:rsidRPr="00CE0E97">
        <w:rPr>
          <w:rFonts w:ascii="Times New Roman" w:hAnsi="Times New Roman" w:cs="Times New Roman"/>
          <w:sz w:val="20"/>
          <w:szCs w:val="20"/>
        </w:rPr>
        <w:t xml:space="preserve"> pojęcie rentowności i sposoby analizy rentowności banków. Następnie na podstawie danych statystycznych zwrócono uwagę na znaczącą rolę banków komercyjnych w sektorze bankowym w Polsce. W dalszej części artykułu zaprezentowano wyniki analizy wybranych największych banków komercyjnych w Polsce w latach 2008-2015. </w:t>
      </w:r>
    </w:p>
    <w:p w:rsidR="00152C94" w:rsidRPr="0005520F" w:rsidRDefault="00152C94" w:rsidP="006000E1">
      <w:pPr>
        <w:spacing w:after="0" w:line="240" w:lineRule="auto"/>
        <w:ind w:right="465"/>
        <w:jc w:val="center"/>
        <w:rPr>
          <w:rFonts w:ascii="Times New Roman" w:eastAsia="Times New Roman" w:hAnsi="Times New Roman" w:cs="Times New Roman"/>
          <w:b/>
          <w:bCs/>
          <w:sz w:val="20"/>
          <w:szCs w:val="20"/>
          <w:lang w:val="en-US" w:eastAsia="pl-PL"/>
        </w:rPr>
      </w:pPr>
      <w:r w:rsidRPr="006000E1">
        <w:rPr>
          <w:rFonts w:ascii="Times New Roman" w:eastAsia="Times New Roman" w:hAnsi="Times New Roman" w:cs="Times New Roman"/>
          <w:b/>
          <w:bCs/>
          <w:sz w:val="20"/>
          <w:szCs w:val="20"/>
          <w:lang w:val="en-GB" w:eastAsia="pl-PL"/>
        </w:rPr>
        <w:t>Profitability analysis of commercial banks in Poland</w:t>
      </w:r>
    </w:p>
    <w:p w:rsidR="00152C94" w:rsidRPr="0005520F" w:rsidRDefault="00152C94" w:rsidP="006000E1">
      <w:pPr>
        <w:spacing w:after="0" w:line="240" w:lineRule="auto"/>
        <w:ind w:right="465"/>
        <w:rPr>
          <w:rFonts w:ascii="Times New Roman" w:eastAsia="Times New Roman" w:hAnsi="Times New Roman" w:cs="Times New Roman"/>
          <w:bCs/>
          <w:sz w:val="20"/>
          <w:szCs w:val="20"/>
          <w:lang w:val="en-US" w:eastAsia="pl-PL"/>
        </w:rPr>
      </w:pPr>
      <w:r w:rsidRPr="006000E1">
        <w:rPr>
          <w:rFonts w:ascii="Times New Roman" w:eastAsia="Times New Roman" w:hAnsi="Times New Roman" w:cs="Times New Roman"/>
          <w:bCs/>
          <w:sz w:val="20"/>
          <w:szCs w:val="20"/>
          <w:lang w:val="en-GB" w:eastAsia="pl-PL"/>
        </w:rPr>
        <w:t> </w:t>
      </w:r>
    </w:p>
    <w:p w:rsidR="00152C94" w:rsidRPr="0005520F" w:rsidRDefault="00152C94" w:rsidP="006000E1">
      <w:pPr>
        <w:spacing w:after="0" w:line="240" w:lineRule="auto"/>
        <w:ind w:right="465"/>
        <w:rPr>
          <w:rFonts w:ascii="Times New Roman" w:eastAsia="Times New Roman" w:hAnsi="Times New Roman" w:cs="Times New Roman"/>
          <w:bCs/>
          <w:sz w:val="20"/>
          <w:szCs w:val="20"/>
          <w:lang w:val="en-US" w:eastAsia="pl-PL"/>
        </w:rPr>
      </w:pPr>
      <w:r w:rsidRPr="006000E1">
        <w:rPr>
          <w:rFonts w:ascii="Times New Roman" w:eastAsia="Times New Roman" w:hAnsi="Times New Roman" w:cs="Times New Roman"/>
          <w:bCs/>
          <w:sz w:val="20"/>
          <w:szCs w:val="20"/>
          <w:lang w:val="en-GB" w:eastAsia="pl-PL"/>
        </w:rPr>
        <w:t xml:space="preserve">Key words: bank profitability, profitability measures, return on sales (ROS), return on assets (ROA), return on equity (ROE) </w:t>
      </w:r>
    </w:p>
    <w:p w:rsidR="00152C94" w:rsidRPr="0005520F" w:rsidRDefault="00152C94" w:rsidP="006000E1">
      <w:pPr>
        <w:spacing w:after="0" w:line="240" w:lineRule="auto"/>
        <w:ind w:right="465"/>
        <w:rPr>
          <w:rFonts w:ascii="Times New Roman" w:eastAsia="Times New Roman" w:hAnsi="Times New Roman" w:cs="Times New Roman"/>
          <w:bCs/>
          <w:sz w:val="20"/>
          <w:szCs w:val="20"/>
          <w:lang w:val="en-US" w:eastAsia="pl-PL"/>
        </w:rPr>
      </w:pPr>
      <w:r w:rsidRPr="006000E1">
        <w:rPr>
          <w:rFonts w:ascii="Times New Roman" w:eastAsia="Times New Roman" w:hAnsi="Times New Roman" w:cs="Times New Roman"/>
          <w:bCs/>
          <w:sz w:val="20"/>
          <w:szCs w:val="20"/>
          <w:lang w:val="en-GB" w:eastAsia="pl-PL"/>
        </w:rPr>
        <w:t> </w:t>
      </w:r>
    </w:p>
    <w:p w:rsidR="00152C94" w:rsidRPr="0005520F" w:rsidRDefault="00152C94" w:rsidP="006000E1">
      <w:pPr>
        <w:spacing w:after="150" w:line="240" w:lineRule="auto"/>
        <w:ind w:right="465"/>
        <w:jc w:val="both"/>
        <w:rPr>
          <w:rFonts w:ascii="Times New Roman" w:eastAsia="Times New Roman" w:hAnsi="Times New Roman" w:cs="Times New Roman"/>
          <w:bCs/>
          <w:sz w:val="20"/>
          <w:szCs w:val="20"/>
          <w:lang w:val="en-US" w:eastAsia="pl-PL"/>
        </w:rPr>
      </w:pPr>
      <w:r w:rsidRPr="006000E1">
        <w:rPr>
          <w:rFonts w:ascii="Times New Roman" w:eastAsia="Times New Roman" w:hAnsi="Times New Roman" w:cs="Times New Roman"/>
          <w:bCs/>
          <w:sz w:val="20"/>
          <w:szCs w:val="20"/>
          <w:lang w:val="en-GB" w:eastAsia="pl-PL"/>
        </w:rPr>
        <w:t>This article discusses the concept of profitability and methods of profitability analysis of a bank. Based on statistical data, the article provides evidence of a significant role of commercial banks in the Polish banking sector. The article also presents results of analysis of selected, big commercial banks in Poland in the period from 2008 to 2015. </w:t>
      </w:r>
    </w:p>
    <w:p w:rsidR="00152C94" w:rsidRPr="0005520F" w:rsidRDefault="00152C94" w:rsidP="00C626D0">
      <w:pPr>
        <w:jc w:val="both"/>
        <w:rPr>
          <w:rFonts w:ascii="Times New Roman" w:hAnsi="Times New Roman" w:cs="Times New Roman"/>
          <w:sz w:val="20"/>
          <w:szCs w:val="20"/>
          <w:lang w:val="en-US"/>
        </w:rPr>
      </w:pPr>
    </w:p>
    <w:sectPr w:rsidR="00152C94" w:rsidRPr="0005520F" w:rsidSect="004D2D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D82" w:rsidRDefault="00883D82" w:rsidP="00DE0E8A">
      <w:pPr>
        <w:spacing w:after="0" w:line="240" w:lineRule="auto"/>
      </w:pPr>
      <w:r>
        <w:separator/>
      </w:r>
    </w:p>
  </w:endnote>
  <w:endnote w:type="continuationSeparator" w:id="0">
    <w:p w:rsidR="00883D82" w:rsidRDefault="00883D82" w:rsidP="00D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20007A87" w:usb1="80000000" w:usb2="00000008"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D82" w:rsidRDefault="00883D82" w:rsidP="00DE0E8A">
      <w:pPr>
        <w:spacing w:after="0" w:line="240" w:lineRule="auto"/>
      </w:pPr>
      <w:r>
        <w:separator/>
      </w:r>
    </w:p>
  </w:footnote>
  <w:footnote w:type="continuationSeparator" w:id="0">
    <w:p w:rsidR="00883D82" w:rsidRDefault="00883D82" w:rsidP="00DE0E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E70"/>
    <w:multiLevelType w:val="hybridMultilevel"/>
    <w:tmpl w:val="510A54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39F096F"/>
    <w:multiLevelType w:val="hybridMultilevel"/>
    <w:tmpl w:val="75B4E386"/>
    <w:lvl w:ilvl="0" w:tplc="1090AEAE">
      <w:start w:val="1"/>
      <w:numFmt w:val="decimal"/>
      <w:pStyle w:val="Styl1"/>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3F034E3"/>
    <w:multiLevelType w:val="hybridMultilevel"/>
    <w:tmpl w:val="5E520DEE"/>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8B0B10"/>
    <w:multiLevelType w:val="hybridMultilevel"/>
    <w:tmpl w:val="0C2C79CE"/>
    <w:lvl w:ilvl="0" w:tplc="6E5AEF94">
      <w:start w:val="4"/>
      <w:numFmt w:val="lowerLetter"/>
      <w:lvlText w:val="(%1)"/>
      <w:lvlJc w:val="left"/>
      <w:pPr>
        <w:ind w:left="936" w:hanging="348"/>
      </w:pPr>
      <w:rPr>
        <w:rFonts w:ascii="Times New Roman" w:eastAsia="Times New Roman" w:hAnsi="Times New Roman" w:hint="default"/>
        <w:sz w:val="22"/>
        <w:szCs w:val="22"/>
      </w:rPr>
    </w:lvl>
    <w:lvl w:ilvl="1" w:tplc="ADFC0F4E">
      <w:start w:val="1"/>
      <w:numFmt w:val="bullet"/>
      <w:lvlText w:val=""/>
      <w:lvlJc w:val="left"/>
      <w:pPr>
        <w:ind w:left="587" w:hanging="156"/>
      </w:pPr>
      <w:rPr>
        <w:rFonts w:ascii="Symbol" w:eastAsia="Symbol" w:hAnsi="Symbol" w:hint="default"/>
        <w:sz w:val="22"/>
        <w:szCs w:val="22"/>
      </w:rPr>
    </w:lvl>
    <w:lvl w:ilvl="2" w:tplc="7FA4430A">
      <w:start w:val="1"/>
      <w:numFmt w:val="bullet"/>
      <w:lvlText w:val="•"/>
      <w:lvlJc w:val="left"/>
      <w:pPr>
        <w:ind w:left="1780" w:hanging="156"/>
      </w:pPr>
      <w:rPr>
        <w:rFonts w:hint="default"/>
      </w:rPr>
    </w:lvl>
    <w:lvl w:ilvl="3" w:tplc="671AE0E4">
      <w:start w:val="1"/>
      <w:numFmt w:val="bullet"/>
      <w:lvlText w:val="•"/>
      <w:lvlJc w:val="left"/>
      <w:pPr>
        <w:ind w:left="2625" w:hanging="156"/>
      </w:pPr>
      <w:rPr>
        <w:rFonts w:hint="default"/>
      </w:rPr>
    </w:lvl>
    <w:lvl w:ilvl="4" w:tplc="29DAE096">
      <w:start w:val="1"/>
      <w:numFmt w:val="bullet"/>
      <w:lvlText w:val="•"/>
      <w:lvlJc w:val="left"/>
      <w:pPr>
        <w:ind w:left="3470" w:hanging="156"/>
      </w:pPr>
      <w:rPr>
        <w:rFonts w:hint="default"/>
      </w:rPr>
    </w:lvl>
    <w:lvl w:ilvl="5" w:tplc="5F9A0F1E">
      <w:start w:val="1"/>
      <w:numFmt w:val="bullet"/>
      <w:lvlText w:val="•"/>
      <w:lvlJc w:val="left"/>
      <w:pPr>
        <w:ind w:left="4315" w:hanging="156"/>
      </w:pPr>
      <w:rPr>
        <w:rFonts w:hint="default"/>
      </w:rPr>
    </w:lvl>
    <w:lvl w:ilvl="6" w:tplc="626A03A6">
      <w:start w:val="1"/>
      <w:numFmt w:val="bullet"/>
      <w:lvlText w:val="•"/>
      <w:lvlJc w:val="left"/>
      <w:pPr>
        <w:ind w:left="5160" w:hanging="156"/>
      </w:pPr>
      <w:rPr>
        <w:rFonts w:hint="default"/>
      </w:rPr>
    </w:lvl>
    <w:lvl w:ilvl="7" w:tplc="5F1AEAE8">
      <w:start w:val="1"/>
      <w:numFmt w:val="bullet"/>
      <w:lvlText w:val="•"/>
      <w:lvlJc w:val="left"/>
      <w:pPr>
        <w:ind w:left="6005" w:hanging="156"/>
      </w:pPr>
      <w:rPr>
        <w:rFonts w:hint="default"/>
      </w:rPr>
    </w:lvl>
    <w:lvl w:ilvl="8" w:tplc="7FDC9386">
      <w:start w:val="1"/>
      <w:numFmt w:val="bullet"/>
      <w:lvlText w:val="•"/>
      <w:lvlJc w:val="left"/>
      <w:pPr>
        <w:ind w:left="6850" w:hanging="156"/>
      </w:pPr>
      <w:rPr>
        <w:rFonts w:hint="default"/>
      </w:rPr>
    </w:lvl>
  </w:abstractNum>
  <w:abstractNum w:abstractNumId="4">
    <w:nsid w:val="05717EF3"/>
    <w:multiLevelType w:val="hybridMultilevel"/>
    <w:tmpl w:val="076C340E"/>
    <w:lvl w:ilvl="0" w:tplc="0415000F">
      <w:start w:val="1"/>
      <w:numFmt w:val="decimal"/>
      <w:lvlText w:val="%1."/>
      <w:lvlJc w:val="left"/>
      <w:pPr>
        <w:ind w:left="1068" w:hanging="360"/>
      </w:pPr>
      <w:rPr>
        <w:rFonts w:hint="default"/>
      </w:rPr>
    </w:lvl>
    <w:lvl w:ilvl="1" w:tplc="4E5A3E72">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067313DB"/>
    <w:multiLevelType w:val="hybridMultilevel"/>
    <w:tmpl w:val="F1BEC4DA"/>
    <w:lvl w:ilvl="0" w:tplc="0415000B">
      <w:start w:val="1"/>
      <w:numFmt w:val="bullet"/>
      <w:lvlText w:val=""/>
      <w:lvlJc w:val="left"/>
      <w:pPr>
        <w:ind w:left="720" w:hanging="360"/>
      </w:pPr>
      <w:rPr>
        <w:rFonts w:ascii="Wingdings" w:hAnsi="Wingdings" w:hint="default"/>
        <w:b/>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76A16D3"/>
    <w:multiLevelType w:val="hybridMultilevel"/>
    <w:tmpl w:val="BAF4DC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197E82"/>
    <w:multiLevelType w:val="hybridMultilevel"/>
    <w:tmpl w:val="C6983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8376E0"/>
    <w:multiLevelType w:val="hybridMultilevel"/>
    <w:tmpl w:val="A72819E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nsid w:val="1E997D12"/>
    <w:multiLevelType w:val="hybridMultilevel"/>
    <w:tmpl w:val="69C04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ED3BB5"/>
    <w:multiLevelType w:val="hybridMultilevel"/>
    <w:tmpl w:val="BAF4DC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960905"/>
    <w:multiLevelType w:val="hybridMultilevel"/>
    <w:tmpl w:val="4DB0EF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B1C796B"/>
    <w:multiLevelType w:val="hybridMultilevel"/>
    <w:tmpl w:val="BC466610"/>
    <w:lvl w:ilvl="0" w:tplc="83C6CA16">
      <w:start w:val="4"/>
      <w:numFmt w:val="decimal"/>
      <w:lvlText w:val="%1."/>
      <w:lvlJc w:val="left"/>
      <w:pPr>
        <w:ind w:left="360" w:hanging="360"/>
      </w:pPr>
      <w:rPr>
        <w:rFonts w:hint="default"/>
      </w:rPr>
    </w:lvl>
    <w:lvl w:ilvl="1" w:tplc="04150019" w:tentative="1">
      <w:start w:val="1"/>
      <w:numFmt w:val="lowerLetter"/>
      <w:lvlText w:val="%2."/>
      <w:lvlJc w:val="left"/>
      <w:pPr>
        <w:ind w:left="372" w:hanging="360"/>
      </w:pPr>
    </w:lvl>
    <w:lvl w:ilvl="2" w:tplc="0415001B" w:tentative="1">
      <w:start w:val="1"/>
      <w:numFmt w:val="lowerRoman"/>
      <w:lvlText w:val="%3."/>
      <w:lvlJc w:val="right"/>
      <w:pPr>
        <w:ind w:left="1092" w:hanging="180"/>
      </w:pPr>
    </w:lvl>
    <w:lvl w:ilvl="3" w:tplc="0415000F" w:tentative="1">
      <w:start w:val="1"/>
      <w:numFmt w:val="decimal"/>
      <w:lvlText w:val="%4."/>
      <w:lvlJc w:val="left"/>
      <w:pPr>
        <w:ind w:left="1812" w:hanging="360"/>
      </w:pPr>
    </w:lvl>
    <w:lvl w:ilvl="4" w:tplc="04150019" w:tentative="1">
      <w:start w:val="1"/>
      <w:numFmt w:val="lowerLetter"/>
      <w:lvlText w:val="%5."/>
      <w:lvlJc w:val="left"/>
      <w:pPr>
        <w:ind w:left="2532" w:hanging="360"/>
      </w:pPr>
    </w:lvl>
    <w:lvl w:ilvl="5" w:tplc="0415001B" w:tentative="1">
      <w:start w:val="1"/>
      <w:numFmt w:val="lowerRoman"/>
      <w:lvlText w:val="%6."/>
      <w:lvlJc w:val="right"/>
      <w:pPr>
        <w:ind w:left="3252" w:hanging="180"/>
      </w:pPr>
    </w:lvl>
    <w:lvl w:ilvl="6" w:tplc="0415000F" w:tentative="1">
      <w:start w:val="1"/>
      <w:numFmt w:val="decimal"/>
      <w:lvlText w:val="%7."/>
      <w:lvlJc w:val="left"/>
      <w:pPr>
        <w:ind w:left="3972" w:hanging="360"/>
      </w:pPr>
    </w:lvl>
    <w:lvl w:ilvl="7" w:tplc="04150019" w:tentative="1">
      <w:start w:val="1"/>
      <w:numFmt w:val="lowerLetter"/>
      <w:lvlText w:val="%8."/>
      <w:lvlJc w:val="left"/>
      <w:pPr>
        <w:ind w:left="4692" w:hanging="360"/>
      </w:pPr>
    </w:lvl>
    <w:lvl w:ilvl="8" w:tplc="0415001B" w:tentative="1">
      <w:start w:val="1"/>
      <w:numFmt w:val="lowerRoman"/>
      <w:lvlText w:val="%9."/>
      <w:lvlJc w:val="right"/>
      <w:pPr>
        <w:ind w:left="5412" w:hanging="180"/>
      </w:pPr>
    </w:lvl>
  </w:abstractNum>
  <w:abstractNum w:abstractNumId="13">
    <w:nsid w:val="41D7208A"/>
    <w:multiLevelType w:val="hybridMultilevel"/>
    <w:tmpl w:val="4F2499BE"/>
    <w:lvl w:ilvl="0" w:tplc="C6B0CC82">
      <w:start w:val="1"/>
      <w:numFmt w:val="decimal"/>
      <w:lvlText w:val="(%1)"/>
      <w:lvlJc w:val="left"/>
      <w:pPr>
        <w:ind w:left="2158" w:hanging="720"/>
      </w:pPr>
      <w:rPr>
        <w:rFonts w:hint="default"/>
      </w:rPr>
    </w:lvl>
    <w:lvl w:ilvl="1" w:tplc="04150019" w:tentative="1">
      <w:start w:val="1"/>
      <w:numFmt w:val="lowerLetter"/>
      <w:lvlText w:val="%2."/>
      <w:lvlJc w:val="left"/>
      <w:pPr>
        <w:ind w:left="2518" w:hanging="360"/>
      </w:pPr>
    </w:lvl>
    <w:lvl w:ilvl="2" w:tplc="0415001B" w:tentative="1">
      <w:start w:val="1"/>
      <w:numFmt w:val="lowerRoman"/>
      <w:lvlText w:val="%3."/>
      <w:lvlJc w:val="right"/>
      <w:pPr>
        <w:ind w:left="3238" w:hanging="180"/>
      </w:pPr>
    </w:lvl>
    <w:lvl w:ilvl="3" w:tplc="0415000F" w:tentative="1">
      <w:start w:val="1"/>
      <w:numFmt w:val="decimal"/>
      <w:lvlText w:val="%4."/>
      <w:lvlJc w:val="left"/>
      <w:pPr>
        <w:ind w:left="3958" w:hanging="360"/>
      </w:pPr>
    </w:lvl>
    <w:lvl w:ilvl="4" w:tplc="04150019" w:tentative="1">
      <w:start w:val="1"/>
      <w:numFmt w:val="lowerLetter"/>
      <w:lvlText w:val="%5."/>
      <w:lvlJc w:val="left"/>
      <w:pPr>
        <w:ind w:left="4678" w:hanging="360"/>
      </w:pPr>
    </w:lvl>
    <w:lvl w:ilvl="5" w:tplc="0415001B" w:tentative="1">
      <w:start w:val="1"/>
      <w:numFmt w:val="lowerRoman"/>
      <w:lvlText w:val="%6."/>
      <w:lvlJc w:val="right"/>
      <w:pPr>
        <w:ind w:left="5398" w:hanging="180"/>
      </w:pPr>
    </w:lvl>
    <w:lvl w:ilvl="6" w:tplc="0415000F" w:tentative="1">
      <w:start w:val="1"/>
      <w:numFmt w:val="decimal"/>
      <w:lvlText w:val="%7."/>
      <w:lvlJc w:val="left"/>
      <w:pPr>
        <w:ind w:left="6118" w:hanging="360"/>
      </w:pPr>
    </w:lvl>
    <w:lvl w:ilvl="7" w:tplc="04150019" w:tentative="1">
      <w:start w:val="1"/>
      <w:numFmt w:val="lowerLetter"/>
      <w:lvlText w:val="%8."/>
      <w:lvlJc w:val="left"/>
      <w:pPr>
        <w:ind w:left="6838" w:hanging="360"/>
      </w:pPr>
    </w:lvl>
    <w:lvl w:ilvl="8" w:tplc="0415001B" w:tentative="1">
      <w:start w:val="1"/>
      <w:numFmt w:val="lowerRoman"/>
      <w:lvlText w:val="%9."/>
      <w:lvlJc w:val="right"/>
      <w:pPr>
        <w:ind w:left="7558" w:hanging="180"/>
      </w:pPr>
    </w:lvl>
  </w:abstractNum>
  <w:abstractNum w:abstractNumId="14">
    <w:nsid w:val="43CF0F36"/>
    <w:multiLevelType w:val="hybridMultilevel"/>
    <w:tmpl w:val="80327AB8"/>
    <w:lvl w:ilvl="0" w:tplc="3BFCB5E8">
      <w:start w:val="1"/>
      <w:numFmt w:val="bullet"/>
      <w:lvlText w:val=""/>
      <w:lvlJc w:val="left"/>
      <w:pPr>
        <w:ind w:left="720" w:hanging="360"/>
      </w:pPr>
      <w:rPr>
        <w:rFonts w:ascii="Wingdings" w:hAnsi="Wingdings" w:hint="default"/>
        <w:b/>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479157C"/>
    <w:multiLevelType w:val="hybridMultilevel"/>
    <w:tmpl w:val="F6302F5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472E7195"/>
    <w:multiLevelType w:val="hybridMultilevel"/>
    <w:tmpl w:val="CADCFD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3304DE"/>
    <w:multiLevelType w:val="hybridMultilevel"/>
    <w:tmpl w:val="C7C09C5A"/>
    <w:lvl w:ilvl="0" w:tplc="968E41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655510D"/>
    <w:multiLevelType w:val="hybridMultilevel"/>
    <w:tmpl w:val="4BFC8D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9E86A84"/>
    <w:multiLevelType w:val="hybridMultilevel"/>
    <w:tmpl w:val="4BE04C50"/>
    <w:lvl w:ilvl="0" w:tplc="968E41F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0">
    <w:nsid w:val="5C89496C"/>
    <w:multiLevelType w:val="hybridMultilevel"/>
    <w:tmpl w:val="79E4A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DF722EB"/>
    <w:multiLevelType w:val="hybridMultilevel"/>
    <w:tmpl w:val="A456FF8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F046DBF"/>
    <w:multiLevelType w:val="hybridMultilevel"/>
    <w:tmpl w:val="E59C563E"/>
    <w:lvl w:ilvl="0" w:tplc="DB085310">
      <w:start w:val="1"/>
      <w:numFmt w:val="decimal"/>
      <w:lvlText w:val="%1."/>
      <w:lvlJc w:val="left"/>
      <w:pPr>
        <w:ind w:left="720" w:hanging="360"/>
      </w:pPr>
      <w:rPr>
        <w:rFonts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F1153DD"/>
    <w:multiLevelType w:val="hybridMultilevel"/>
    <w:tmpl w:val="024C970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62CF6CA7"/>
    <w:multiLevelType w:val="hybridMultilevel"/>
    <w:tmpl w:val="705618D0"/>
    <w:lvl w:ilvl="0" w:tplc="6D5A9AE0">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CB1830"/>
    <w:multiLevelType w:val="multilevel"/>
    <w:tmpl w:val="4F1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E90BF1"/>
    <w:multiLevelType w:val="hybridMultilevel"/>
    <w:tmpl w:val="A7249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485977"/>
    <w:multiLevelType w:val="hybridMultilevel"/>
    <w:tmpl w:val="FE441E9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nsid w:val="6D7022F6"/>
    <w:multiLevelType w:val="hybridMultilevel"/>
    <w:tmpl w:val="F79CA8FC"/>
    <w:lvl w:ilvl="0" w:tplc="3BFCB5E8">
      <w:start w:val="1"/>
      <w:numFmt w:val="bullet"/>
      <w:lvlText w:val=""/>
      <w:lvlJc w:val="left"/>
      <w:pPr>
        <w:ind w:left="720" w:hanging="360"/>
      </w:pPr>
      <w:rPr>
        <w:rFonts w:ascii="Wingdings" w:hAnsi="Wingdings" w:hint="default"/>
        <w:b/>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DD143DE"/>
    <w:multiLevelType w:val="multilevel"/>
    <w:tmpl w:val="37CAC446"/>
    <w:lvl w:ilvl="0">
      <w:start w:val="1"/>
      <w:numFmt w:val="decimal"/>
      <w:pStyle w:val="Nagwek1"/>
      <w:lvlText w:val="%1."/>
      <w:lvlJc w:val="left"/>
      <w:pPr>
        <w:tabs>
          <w:tab w:val="num" w:pos="1050"/>
        </w:tabs>
        <w:ind w:left="1050" w:hanging="624"/>
      </w:pPr>
      <w:rPr>
        <w:rFonts w:hint="default"/>
      </w:rPr>
    </w:lvl>
    <w:lvl w:ilvl="1">
      <w:start w:val="1"/>
      <w:numFmt w:val="decimal"/>
      <w:pStyle w:val="Nagwek2"/>
      <w:lvlText w:val="%1.%2."/>
      <w:lvlJc w:val="left"/>
      <w:pPr>
        <w:tabs>
          <w:tab w:val="num" w:pos="1447"/>
        </w:tabs>
        <w:ind w:left="1447" w:hanging="1021"/>
      </w:pPr>
      <w:rPr>
        <w:rFonts w:hint="default"/>
      </w:rPr>
    </w:lvl>
    <w:lvl w:ilvl="2">
      <w:start w:val="1"/>
      <w:numFmt w:val="decimal"/>
      <w:pStyle w:val="Nagwek3"/>
      <w:lvlText w:val="%1.%2.%3."/>
      <w:lvlJc w:val="left"/>
      <w:pPr>
        <w:tabs>
          <w:tab w:val="num" w:pos="2014"/>
        </w:tabs>
        <w:ind w:left="2014" w:hanging="1588"/>
      </w:pPr>
      <w:rPr>
        <w:rFonts w:hint="default"/>
      </w:rPr>
    </w:lvl>
    <w:lvl w:ilvl="3">
      <w:start w:val="1"/>
      <w:numFmt w:val="decimal"/>
      <w:pStyle w:val="Nagwek4"/>
      <w:lvlText w:val="%1.%2.%3.%4."/>
      <w:lvlJc w:val="left"/>
      <w:pPr>
        <w:tabs>
          <w:tab w:val="num" w:pos="1506"/>
        </w:tabs>
        <w:ind w:left="426" w:firstLine="0"/>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30">
    <w:nsid w:val="74E671CF"/>
    <w:multiLevelType w:val="hybridMultilevel"/>
    <w:tmpl w:val="D7929AD2"/>
    <w:lvl w:ilvl="0" w:tplc="968E41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D4A59B9"/>
    <w:multiLevelType w:val="hybridMultilevel"/>
    <w:tmpl w:val="101AF70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nsid w:val="7E8225F1"/>
    <w:multiLevelType w:val="hybridMultilevel"/>
    <w:tmpl w:val="C4103C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nsid w:val="7F884C84"/>
    <w:multiLevelType w:val="hybridMultilevel"/>
    <w:tmpl w:val="56880162"/>
    <w:lvl w:ilvl="0" w:tplc="C868D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5"/>
  </w:num>
  <w:num w:numId="6">
    <w:abstractNumId w:val="28"/>
  </w:num>
  <w:num w:numId="7">
    <w:abstractNumId w:val="10"/>
  </w:num>
  <w:num w:numId="8">
    <w:abstractNumId w:val="13"/>
  </w:num>
  <w:num w:numId="9">
    <w:abstractNumId w:val="31"/>
  </w:num>
  <w:num w:numId="10">
    <w:abstractNumId w:val="5"/>
  </w:num>
  <w:num w:numId="11">
    <w:abstractNumId w:val="6"/>
  </w:num>
  <w:num w:numId="12">
    <w:abstractNumId w:val="9"/>
  </w:num>
  <w:num w:numId="13">
    <w:abstractNumId w:val="23"/>
  </w:num>
  <w:num w:numId="14">
    <w:abstractNumId w:val="2"/>
  </w:num>
  <w:num w:numId="15">
    <w:abstractNumId w:val="16"/>
  </w:num>
  <w:num w:numId="16">
    <w:abstractNumId w:val="15"/>
  </w:num>
  <w:num w:numId="17">
    <w:abstractNumId w:val="11"/>
  </w:num>
  <w:num w:numId="18">
    <w:abstractNumId w:val="20"/>
  </w:num>
  <w:num w:numId="19">
    <w:abstractNumId w:val="18"/>
  </w:num>
  <w:num w:numId="20">
    <w:abstractNumId w:val="27"/>
  </w:num>
  <w:num w:numId="21">
    <w:abstractNumId w:val="3"/>
  </w:num>
  <w:num w:numId="22">
    <w:abstractNumId w:val="24"/>
  </w:num>
  <w:num w:numId="23">
    <w:abstractNumId w:val="22"/>
  </w:num>
  <w:num w:numId="24">
    <w:abstractNumId w:val="0"/>
  </w:num>
  <w:num w:numId="25">
    <w:abstractNumId w:val="1"/>
  </w:num>
  <w:num w:numId="26">
    <w:abstractNumId w:val="17"/>
  </w:num>
  <w:num w:numId="27">
    <w:abstractNumId w:val="30"/>
  </w:num>
  <w:num w:numId="28">
    <w:abstractNumId w:val="8"/>
  </w:num>
  <w:num w:numId="29">
    <w:abstractNumId w:val="21"/>
  </w:num>
  <w:num w:numId="30">
    <w:abstractNumId w:val="33"/>
  </w:num>
  <w:num w:numId="31">
    <w:abstractNumId w:val="4"/>
  </w:num>
  <w:num w:numId="32">
    <w:abstractNumId w:val="32"/>
  </w:num>
  <w:num w:numId="33">
    <w:abstractNumId w:val="19"/>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7A"/>
    <w:rsid w:val="00001712"/>
    <w:rsid w:val="000076DA"/>
    <w:rsid w:val="00010D3B"/>
    <w:rsid w:val="00020097"/>
    <w:rsid w:val="00023697"/>
    <w:rsid w:val="00023771"/>
    <w:rsid w:val="00025BE9"/>
    <w:rsid w:val="00053BC8"/>
    <w:rsid w:val="0005520F"/>
    <w:rsid w:val="00062E3A"/>
    <w:rsid w:val="00066A02"/>
    <w:rsid w:val="00067156"/>
    <w:rsid w:val="00070E21"/>
    <w:rsid w:val="00093299"/>
    <w:rsid w:val="00095E33"/>
    <w:rsid w:val="000D6F5F"/>
    <w:rsid w:val="000E2884"/>
    <w:rsid w:val="000F3F9C"/>
    <w:rsid w:val="00107E92"/>
    <w:rsid w:val="00117FE5"/>
    <w:rsid w:val="001231AD"/>
    <w:rsid w:val="0013368E"/>
    <w:rsid w:val="00141AD6"/>
    <w:rsid w:val="001473C0"/>
    <w:rsid w:val="00152C94"/>
    <w:rsid w:val="00154C45"/>
    <w:rsid w:val="00164D7A"/>
    <w:rsid w:val="00171402"/>
    <w:rsid w:val="001758FC"/>
    <w:rsid w:val="00177688"/>
    <w:rsid w:val="00181ADD"/>
    <w:rsid w:val="00185C59"/>
    <w:rsid w:val="001A3127"/>
    <w:rsid w:val="001A3724"/>
    <w:rsid w:val="001B2692"/>
    <w:rsid w:val="001C598D"/>
    <w:rsid w:val="001D41C3"/>
    <w:rsid w:val="001E3CC7"/>
    <w:rsid w:val="001F193D"/>
    <w:rsid w:val="001F2AAF"/>
    <w:rsid w:val="00216BFA"/>
    <w:rsid w:val="00226D38"/>
    <w:rsid w:val="00261811"/>
    <w:rsid w:val="00297650"/>
    <w:rsid w:val="002A6058"/>
    <w:rsid w:val="002B714D"/>
    <w:rsid w:val="002C0A0F"/>
    <w:rsid w:val="002C348D"/>
    <w:rsid w:val="002D2624"/>
    <w:rsid w:val="002E7ADB"/>
    <w:rsid w:val="00306A30"/>
    <w:rsid w:val="00307B33"/>
    <w:rsid w:val="003133C7"/>
    <w:rsid w:val="003150B1"/>
    <w:rsid w:val="0033143F"/>
    <w:rsid w:val="0033520D"/>
    <w:rsid w:val="0034354F"/>
    <w:rsid w:val="0035182F"/>
    <w:rsid w:val="00354E56"/>
    <w:rsid w:val="003564C0"/>
    <w:rsid w:val="0038566B"/>
    <w:rsid w:val="00385D9B"/>
    <w:rsid w:val="00394634"/>
    <w:rsid w:val="00396E9E"/>
    <w:rsid w:val="003A7775"/>
    <w:rsid w:val="003B4440"/>
    <w:rsid w:val="003B6D6D"/>
    <w:rsid w:val="003C1781"/>
    <w:rsid w:val="003C2D61"/>
    <w:rsid w:val="003C33C0"/>
    <w:rsid w:val="003C4135"/>
    <w:rsid w:val="003C4FE1"/>
    <w:rsid w:val="003C577A"/>
    <w:rsid w:val="003D098E"/>
    <w:rsid w:val="003E50A5"/>
    <w:rsid w:val="003F0FA0"/>
    <w:rsid w:val="00412417"/>
    <w:rsid w:val="00413F62"/>
    <w:rsid w:val="00421423"/>
    <w:rsid w:val="004244CB"/>
    <w:rsid w:val="00425815"/>
    <w:rsid w:val="00441204"/>
    <w:rsid w:val="0044367F"/>
    <w:rsid w:val="00456866"/>
    <w:rsid w:val="00460D4E"/>
    <w:rsid w:val="00476F30"/>
    <w:rsid w:val="0049211D"/>
    <w:rsid w:val="004C26B3"/>
    <w:rsid w:val="004C30C3"/>
    <w:rsid w:val="004C4E4F"/>
    <w:rsid w:val="004C71CE"/>
    <w:rsid w:val="004D0391"/>
    <w:rsid w:val="004D2DBA"/>
    <w:rsid w:val="004E74DD"/>
    <w:rsid w:val="004F26FB"/>
    <w:rsid w:val="004F6139"/>
    <w:rsid w:val="005601B9"/>
    <w:rsid w:val="005678C8"/>
    <w:rsid w:val="00580EE0"/>
    <w:rsid w:val="00580F4B"/>
    <w:rsid w:val="00594C4F"/>
    <w:rsid w:val="00597FB8"/>
    <w:rsid w:val="005B1160"/>
    <w:rsid w:val="005B3F91"/>
    <w:rsid w:val="005C62BF"/>
    <w:rsid w:val="005D1E16"/>
    <w:rsid w:val="005D2E46"/>
    <w:rsid w:val="005E516A"/>
    <w:rsid w:val="005F5F83"/>
    <w:rsid w:val="006000E1"/>
    <w:rsid w:val="00601B75"/>
    <w:rsid w:val="00611B22"/>
    <w:rsid w:val="00621C79"/>
    <w:rsid w:val="00634C0E"/>
    <w:rsid w:val="00652023"/>
    <w:rsid w:val="00672A57"/>
    <w:rsid w:val="00673BDC"/>
    <w:rsid w:val="0067496D"/>
    <w:rsid w:val="006862FD"/>
    <w:rsid w:val="00690956"/>
    <w:rsid w:val="006A0D40"/>
    <w:rsid w:val="006A50BD"/>
    <w:rsid w:val="006B1C58"/>
    <w:rsid w:val="006C425E"/>
    <w:rsid w:val="006D0D2C"/>
    <w:rsid w:val="006E0E04"/>
    <w:rsid w:val="006E7312"/>
    <w:rsid w:val="006F49A3"/>
    <w:rsid w:val="00706676"/>
    <w:rsid w:val="00714045"/>
    <w:rsid w:val="00715270"/>
    <w:rsid w:val="007237CE"/>
    <w:rsid w:val="00723D86"/>
    <w:rsid w:val="00740835"/>
    <w:rsid w:val="007438A2"/>
    <w:rsid w:val="00747401"/>
    <w:rsid w:val="00747ED2"/>
    <w:rsid w:val="00755159"/>
    <w:rsid w:val="00755D81"/>
    <w:rsid w:val="00760245"/>
    <w:rsid w:val="00791240"/>
    <w:rsid w:val="007A3C95"/>
    <w:rsid w:val="007A4B25"/>
    <w:rsid w:val="007C31E1"/>
    <w:rsid w:val="007C4A82"/>
    <w:rsid w:val="007D14FD"/>
    <w:rsid w:val="007D494D"/>
    <w:rsid w:val="007D6D0E"/>
    <w:rsid w:val="007F00A1"/>
    <w:rsid w:val="007F1A24"/>
    <w:rsid w:val="007F47C8"/>
    <w:rsid w:val="00833CFC"/>
    <w:rsid w:val="00852417"/>
    <w:rsid w:val="00853D9D"/>
    <w:rsid w:val="00880747"/>
    <w:rsid w:val="00883D82"/>
    <w:rsid w:val="008846CD"/>
    <w:rsid w:val="00896AC7"/>
    <w:rsid w:val="008A4A14"/>
    <w:rsid w:val="008B2E60"/>
    <w:rsid w:val="008D0AB5"/>
    <w:rsid w:val="008D0BA0"/>
    <w:rsid w:val="00906B8E"/>
    <w:rsid w:val="009115A1"/>
    <w:rsid w:val="00912DCB"/>
    <w:rsid w:val="0092464C"/>
    <w:rsid w:val="0092552F"/>
    <w:rsid w:val="00943422"/>
    <w:rsid w:val="00967B15"/>
    <w:rsid w:val="00970C4F"/>
    <w:rsid w:val="0098465F"/>
    <w:rsid w:val="00985A66"/>
    <w:rsid w:val="00992698"/>
    <w:rsid w:val="009A21F7"/>
    <w:rsid w:val="009A587E"/>
    <w:rsid w:val="009B79BD"/>
    <w:rsid w:val="009D67C2"/>
    <w:rsid w:val="009F358B"/>
    <w:rsid w:val="00A2503A"/>
    <w:rsid w:val="00A3756A"/>
    <w:rsid w:val="00A42F2C"/>
    <w:rsid w:val="00A66FF0"/>
    <w:rsid w:val="00A719A1"/>
    <w:rsid w:val="00A75F92"/>
    <w:rsid w:val="00A77883"/>
    <w:rsid w:val="00AC4FA7"/>
    <w:rsid w:val="00AC5C5C"/>
    <w:rsid w:val="00AC6C46"/>
    <w:rsid w:val="00AC6E2C"/>
    <w:rsid w:val="00AE6ADA"/>
    <w:rsid w:val="00AF14B1"/>
    <w:rsid w:val="00B004AE"/>
    <w:rsid w:val="00B12F7A"/>
    <w:rsid w:val="00B243F6"/>
    <w:rsid w:val="00B577E4"/>
    <w:rsid w:val="00B669EA"/>
    <w:rsid w:val="00B71B3F"/>
    <w:rsid w:val="00B759DE"/>
    <w:rsid w:val="00B77372"/>
    <w:rsid w:val="00B81528"/>
    <w:rsid w:val="00B8405D"/>
    <w:rsid w:val="00B93B0F"/>
    <w:rsid w:val="00B97059"/>
    <w:rsid w:val="00BA4D00"/>
    <w:rsid w:val="00BA6D30"/>
    <w:rsid w:val="00BB0A22"/>
    <w:rsid w:val="00BC4E31"/>
    <w:rsid w:val="00BE4167"/>
    <w:rsid w:val="00BE6275"/>
    <w:rsid w:val="00BF41DC"/>
    <w:rsid w:val="00C00DEC"/>
    <w:rsid w:val="00C07148"/>
    <w:rsid w:val="00C129E1"/>
    <w:rsid w:val="00C25CCD"/>
    <w:rsid w:val="00C3129B"/>
    <w:rsid w:val="00C36841"/>
    <w:rsid w:val="00C47054"/>
    <w:rsid w:val="00C56FF1"/>
    <w:rsid w:val="00C626D0"/>
    <w:rsid w:val="00C659B1"/>
    <w:rsid w:val="00C67B18"/>
    <w:rsid w:val="00C735E2"/>
    <w:rsid w:val="00C810C3"/>
    <w:rsid w:val="00C91133"/>
    <w:rsid w:val="00CA77F6"/>
    <w:rsid w:val="00CB6C05"/>
    <w:rsid w:val="00CD4F5E"/>
    <w:rsid w:val="00CD66CF"/>
    <w:rsid w:val="00CE0E97"/>
    <w:rsid w:val="00CF355E"/>
    <w:rsid w:val="00D05657"/>
    <w:rsid w:val="00D113D7"/>
    <w:rsid w:val="00D1337B"/>
    <w:rsid w:val="00D13940"/>
    <w:rsid w:val="00D636F9"/>
    <w:rsid w:val="00D64898"/>
    <w:rsid w:val="00D70573"/>
    <w:rsid w:val="00D7727D"/>
    <w:rsid w:val="00D77BB5"/>
    <w:rsid w:val="00D847C3"/>
    <w:rsid w:val="00D97157"/>
    <w:rsid w:val="00DB4A66"/>
    <w:rsid w:val="00DB4B74"/>
    <w:rsid w:val="00DC12BF"/>
    <w:rsid w:val="00DD0DD8"/>
    <w:rsid w:val="00DE0E8A"/>
    <w:rsid w:val="00DF6612"/>
    <w:rsid w:val="00E02C18"/>
    <w:rsid w:val="00E25FA7"/>
    <w:rsid w:val="00E3071C"/>
    <w:rsid w:val="00E3520E"/>
    <w:rsid w:val="00E375E0"/>
    <w:rsid w:val="00E71B41"/>
    <w:rsid w:val="00E73FDB"/>
    <w:rsid w:val="00E77AD8"/>
    <w:rsid w:val="00E85A8E"/>
    <w:rsid w:val="00E864A2"/>
    <w:rsid w:val="00E8689F"/>
    <w:rsid w:val="00E8714C"/>
    <w:rsid w:val="00EA1D9D"/>
    <w:rsid w:val="00EB67D1"/>
    <w:rsid w:val="00EC1EDB"/>
    <w:rsid w:val="00EC69B9"/>
    <w:rsid w:val="00ED5DBD"/>
    <w:rsid w:val="00ED65A4"/>
    <w:rsid w:val="00ED7067"/>
    <w:rsid w:val="00EE13F8"/>
    <w:rsid w:val="00EE4047"/>
    <w:rsid w:val="00EE796D"/>
    <w:rsid w:val="00F143E5"/>
    <w:rsid w:val="00F341C0"/>
    <w:rsid w:val="00F3600A"/>
    <w:rsid w:val="00F51274"/>
    <w:rsid w:val="00F56F5E"/>
    <w:rsid w:val="00F644EA"/>
    <w:rsid w:val="00F91FB2"/>
    <w:rsid w:val="00F94B28"/>
    <w:rsid w:val="00FC607C"/>
    <w:rsid w:val="00FD189E"/>
    <w:rsid w:val="00FE6DEA"/>
    <w:rsid w:val="00FF01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F3F9C"/>
    <w:pPr>
      <w:keepNext/>
      <w:numPr>
        <w:numId w:val="2"/>
      </w:numPr>
      <w:pBdr>
        <w:top w:val="single" w:sz="4" w:space="1" w:color="auto"/>
        <w:bottom w:val="single" w:sz="4" w:space="1" w:color="auto"/>
      </w:pBdr>
      <w:spacing w:before="240" w:after="60" w:line="240" w:lineRule="auto"/>
      <w:jc w:val="center"/>
      <w:outlineLvl w:val="0"/>
    </w:pPr>
    <w:rPr>
      <w:rFonts w:ascii="Arial (W1)" w:eastAsia="Times New Roman" w:hAnsi="Arial (W1)" w:cs="Arial"/>
      <w:b/>
      <w:bCs/>
      <w:caps/>
      <w:kern w:val="32"/>
      <w:sz w:val="32"/>
      <w:szCs w:val="32"/>
      <w:lang w:eastAsia="pl-PL"/>
    </w:rPr>
  </w:style>
  <w:style w:type="paragraph" w:styleId="Nagwek2">
    <w:name w:val="heading 2"/>
    <w:basedOn w:val="Normalny"/>
    <w:next w:val="Normalny"/>
    <w:link w:val="Nagwek2Znak"/>
    <w:qFormat/>
    <w:rsid w:val="000F3F9C"/>
    <w:pPr>
      <w:keepNext/>
      <w:numPr>
        <w:ilvl w:val="1"/>
        <w:numId w:val="2"/>
      </w:numPr>
      <w:spacing w:before="240" w:after="60" w:line="240" w:lineRule="auto"/>
      <w:jc w:val="both"/>
      <w:outlineLvl w:val="1"/>
    </w:pPr>
    <w:rPr>
      <w:rFonts w:ascii="Arial" w:eastAsia="Times New Roman" w:hAnsi="Arial" w:cs="Arial"/>
      <w:b/>
      <w:bCs/>
      <w:iCs/>
      <w:caps/>
      <w:sz w:val="28"/>
      <w:szCs w:val="28"/>
      <w:lang w:eastAsia="pl-PL"/>
    </w:rPr>
  </w:style>
  <w:style w:type="paragraph" w:styleId="Nagwek3">
    <w:name w:val="heading 3"/>
    <w:aliases w:val="h3"/>
    <w:basedOn w:val="Normalny"/>
    <w:next w:val="Normalny"/>
    <w:link w:val="Nagwek3Znak"/>
    <w:qFormat/>
    <w:rsid w:val="000F3F9C"/>
    <w:pPr>
      <w:keepNext/>
      <w:numPr>
        <w:ilvl w:val="2"/>
        <w:numId w:val="2"/>
      </w:numPr>
      <w:spacing w:before="240" w:after="60" w:line="240" w:lineRule="auto"/>
      <w:jc w:val="both"/>
      <w:outlineLvl w:val="2"/>
    </w:pPr>
    <w:rPr>
      <w:rFonts w:ascii="Arial" w:eastAsia="Times New Roman" w:hAnsi="Arial" w:cs="Arial"/>
      <w:b/>
      <w:bCs/>
      <w:sz w:val="24"/>
      <w:szCs w:val="26"/>
      <w:lang w:eastAsia="pl-PL"/>
    </w:rPr>
  </w:style>
  <w:style w:type="paragraph" w:styleId="Nagwek4">
    <w:name w:val="heading 4"/>
    <w:basedOn w:val="Normalny"/>
    <w:next w:val="Normalny"/>
    <w:link w:val="Nagwek4Znak"/>
    <w:qFormat/>
    <w:rsid w:val="000F3F9C"/>
    <w:pPr>
      <w:keepNext/>
      <w:numPr>
        <w:ilvl w:val="3"/>
        <w:numId w:val="2"/>
      </w:numPr>
      <w:spacing w:before="240" w:after="60" w:line="240" w:lineRule="auto"/>
      <w:jc w:val="both"/>
      <w:outlineLvl w:val="3"/>
    </w:pPr>
    <w:rPr>
      <w:rFonts w:ascii="Arial" w:eastAsia="Times New Roman" w:hAnsi="Arial" w:cs="Times New Roman"/>
      <w:bCs/>
      <w:i/>
      <w:sz w:val="24"/>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DE0E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E0E8A"/>
    <w:rPr>
      <w:sz w:val="20"/>
      <w:szCs w:val="20"/>
    </w:rPr>
  </w:style>
  <w:style w:type="character" w:styleId="Odwoanieprzypisudolnego">
    <w:name w:val="footnote reference"/>
    <w:basedOn w:val="Domylnaczcionkaakapitu"/>
    <w:uiPriority w:val="99"/>
    <w:semiHidden/>
    <w:unhideWhenUsed/>
    <w:rsid w:val="00DE0E8A"/>
    <w:rPr>
      <w:vertAlign w:val="superscript"/>
    </w:rPr>
  </w:style>
  <w:style w:type="character" w:styleId="Hipercze">
    <w:name w:val="Hyperlink"/>
    <w:basedOn w:val="Domylnaczcionkaakapitu"/>
    <w:uiPriority w:val="99"/>
    <w:unhideWhenUsed/>
    <w:rsid w:val="006A50BD"/>
    <w:rPr>
      <w:color w:val="0000FF"/>
      <w:u w:val="single"/>
    </w:rPr>
  </w:style>
  <w:style w:type="paragraph" w:styleId="NormalnyWeb">
    <w:name w:val="Normal (Web)"/>
    <w:basedOn w:val="Normalny"/>
    <w:uiPriority w:val="99"/>
    <w:unhideWhenUsed/>
    <w:rsid w:val="006A50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basedOn w:val="Normalny"/>
    <w:rsid w:val="008846CD"/>
    <w:pPr>
      <w:spacing w:before="100" w:line="240" w:lineRule="auto"/>
      <w:ind w:left="100" w:right="100"/>
      <w:jc w:val="both"/>
    </w:pPr>
    <w:rPr>
      <w:rFonts w:ascii="Verdana" w:eastAsia="Times New Roman" w:hAnsi="Verdana" w:cs="Times New Roman"/>
      <w:color w:val="000000"/>
      <w:sz w:val="26"/>
      <w:szCs w:val="26"/>
      <w:lang w:eastAsia="pl-PL"/>
    </w:rPr>
  </w:style>
  <w:style w:type="character" w:styleId="Uwydatnienie">
    <w:name w:val="Emphasis"/>
    <w:basedOn w:val="Domylnaczcionkaakapitu"/>
    <w:uiPriority w:val="20"/>
    <w:qFormat/>
    <w:rsid w:val="003133C7"/>
    <w:rPr>
      <w:i/>
      <w:iCs/>
    </w:rPr>
  </w:style>
  <w:style w:type="paragraph" w:styleId="Tekstdymka">
    <w:name w:val="Balloon Text"/>
    <w:basedOn w:val="Normalny"/>
    <w:link w:val="TekstdymkaZnak"/>
    <w:uiPriority w:val="99"/>
    <w:semiHidden/>
    <w:unhideWhenUsed/>
    <w:rsid w:val="003133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33C7"/>
    <w:rPr>
      <w:rFonts w:ascii="Tahoma" w:hAnsi="Tahoma" w:cs="Tahoma"/>
      <w:sz w:val="16"/>
      <w:szCs w:val="16"/>
    </w:rPr>
  </w:style>
  <w:style w:type="paragraph" w:styleId="Akapitzlist">
    <w:name w:val="List Paragraph"/>
    <w:basedOn w:val="Normalny"/>
    <w:link w:val="AkapitzlistZnak"/>
    <w:uiPriority w:val="34"/>
    <w:qFormat/>
    <w:rsid w:val="00025BE9"/>
    <w:pPr>
      <w:ind w:left="720"/>
      <w:contextualSpacing/>
    </w:pPr>
  </w:style>
  <w:style w:type="character" w:customStyle="1" w:styleId="shorttext">
    <w:name w:val="short_text"/>
    <w:basedOn w:val="Domylnaczcionkaakapitu"/>
    <w:rsid w:val="00025BE9"/>
  </w:style>
  <w:style w:type="character" w:customStyle="1" w:styleId="hps">
    <w:name w:val="hps"/>
    <w:basedOn w:val="Domylnaczcionkaakapitu"/>
    <w:rsid w:val="00025BE9"/>
  </w:style>
  <w:style w:type="character" w:customStyle="1" w:styleId="Nagwek1Znak">
    <w:name w:val="Nagłówek 1 Znak"/>
    <w:basedOn w:val="Domylnaczcionkaakapitu"/>
    <w:link w:val="Nagwek1"/>
    <w:rsid w:val="000F3F9C"/>
    <w:rPr>
      <w:rFonts w:ascii="Arial (W1)" w:eastAsia="Times New Roman" w:hAnsi="Arial (W1)" w:cs="Arial"/>
      <w:b/>
      <w:bCs/>
      <w:caps/>
      <w:kern w:val="32"/>
      <w:sz w:val="32"/>
      <w:szCs w:val="32"/>
      <w:lang w:eastAsia="pl-PL"/>
    </w:rPr>
  </w:style>
  <w:style w:type="character" w:customStyle="1" w:styleId="Nagwek2Znak">
    <w:name w:val="Nagłówek 2 Znak"/>
    <w:basedOn w:val="Domylnaczcionkaakapitu"/>
    <w:link w:val="Nagwek2"/>
    <w:rsid w:val="000F3F9C"/>
    <w:rPr>
      <w:rFonts w:ascii="Arial" w:eastAsia="Times New Roman" w:hAnsi="Arial" w:cs="Arial"/>
      <w:b/>
      <w:bCs/>
      <w:iCs/>
      <w:caps/>
      <w:sz w:val="28"/>
      <w:szCs w:val="28"/>
      <w:lang w:eastAsia="pl-PL"/>
    </w:rPr>
  </w:style>
  <w:style w:type="character" w:customStyle="1" w:styleId="Nagwek3Znak">
    <w:name w:val="Nagłówek 3 Znak"/>
    <w:aliases w:val="h3 Znak"/>
    <w:basedOn w:val="Domylnaczcionkaakapitu"/>
    <w:link w:val="Nagwek3"/>
    <w:rsid w:val="000F3F9C"/>
    <w:rPr>
      <w:rFonts w:ascii="Arial" w:eastAsia="Times New Roman" w:hAnsi="Arial" w:cs="Arial"/>
      <w:b/>
      <w:bCs/>
      <w:sz w:val="24"/>
      <w:szCs w:val="26"/>
      <w:lang w:eastAsia="pl-PL"/>
    </w:rPr>
  </w:style>
  <w:style w:type="character" w:customStyle="1" w:styleId="Nagwek4Znak">
    <w:name w:val="Nagłówek 4 Znak"/>
    <w:basedOn w:val="Domylnaczcionkaakapitu"/>
    <w:link w:val="Nagwek4"/>
    <w:rsid w:val="000F3F9C"/>
    <w:rPr>
      <w:rFonts w:ascii="Arial" w:eastAsia="Times New Roman" w:hAnsi="Arial" w:cs="Times New Roman"/>
      <w:bCs/>
      <w:i/>
      <w:sz w:val="24"/>
      <w:szCs w:val="28"/>
      <w:lang w:eastAsia="pl-PL"/>
    </w:rPr>
  </w:style>
  <w:style w:type="paragraph" w:customStyle="1" w:styleId="rdo">
    <w:name w:val="źródło"/>
    <w:basedOn w:val="Normalny"/>
    <w:next w:val="Normalny"/>
    <w:rsid w:val="000F3F9C"/>
    <w:pPr>
      <w:spacing w:after="0" w:line="240" w:lineRule="auto"/>
      <w:jc w:val="both"/>
    </w:pPr>
    <w:rPr>
      <w:rFonts w:ascii="Arial (W1)" w:eastAsia="Times New Roman" w:hAnsi="Arial (W1)" w:cs="Times New Roman"/>
      <w:i/>
      <w:sz w:val="18"/>
      <w:szCs w:val="24"/>
      <w:lang w:eastAsia="pl-PL"/>
    </w:rPr>
  </w:style>
  <w:style w:type="paragraph" w:styleId="Nagwek">
    <w:name w:val="header"/>
    <w:basedOn w:val="Normalny"/>
    <w:link w:val="NagwekZnak"/>
    <w:rsid w:val="000F3F9C"/>
    <w:pPr>
      <w:tabs>
        <w:tab w:val="center" w:pos="4536"/>
        <w:tab w:val="right" w:pos="9072"/>
      </w:tabs>
      <w:spacing w:after="0" w:line="240" w:lineRule="auto"/>
      <w:jc w:val="both"/>
    </w:pPr>
    <w:rPr>
      <w:rFonts w:ascii="Arial" w:eastAsia="Times New Roman" w:hAnsi="Arial" w:cs="Times New Roman"/>
      <w:szCs w:val="24"/>
      <w:lang w:eastAsia="pl-PL"/>
    </w:rPr>
  </w:style>
  <w:style w:type="character" w:customStyle="1" w:styleId="NagwekZnak">
    <w:name w:val="Nagłówek Znak"/>
    <w:basedOn w:val="Domylnaczcionkaakapitu"/>
    <w:link w:val="Nagwek"/>
    <w:rsid w:val="000F3F9C"/>
    <w:rPr>
      <w:rFonts w:ascii="Arial" w:eastAsia="Times New Roman" w:hAnsi="Arial" w:cs="Times New Roman"/>
      <w:szCs w:val="24"/>
      <w:lang w:eastAsia="pl-PL"/>
    </w:rPr>
  </w:style>
  <w:style w:type="paragraph" w:customStyle="1" w:styleId="Tabela">
    <w:name w:val="Tabela"/>
    <w:basedOn w:val="Normalny"/>
    <w:rsid w:val="000F3F9C"/>
    <w:pPr>
      <w:spacing w:after="0" w:line="240" w:lineRule="auto"/>
      <w:jc w:val="center"/>
    </w:pPr>
    <w:rPr>
      <w:rFonts w:ascii="Arial" w:eastAsia="Times New Roman" w:hAnsi="Arial" w:cs="Times New Roman"/>
      <w:i/>
      <w:caps/>
      <w:szCs w:val="20"/>
      <w:lang w:eastAsia="pl-PL"/>
    </w:rPr>
  </w:style>
  <w:style w:type="paragraph" w:customStyle="1" w:styleId="Rysunek">
    <w:name w:val="Rysunek"/>
    <w:basedOn w:val="Normalny"/>
    <w:rsid w:val="000F3F9C"/>
    <w:pPr>
      <w:spacing w:after="0" w:line="240" w:lineRule="auto"/>
      <w:jc w:val="center"/>
    </w:pPr>
    <w:rPr>
      <w:rFonts w:ascii="Arial (W1)" w:eastAsia="Times New Roman" w:hAnsi="Arial (W1)" w:cs="Times New Roman"/>
      <w:bCs/>
      <w:i/>
      <w:caps/>
      <w:noProof/>
      <w:szCs w:val="20"/>
      <w:lang w:eastAsia="pl-PL"/>
    </w:rPr>
  </w:style>
  <w:style w:type="paragraph" w:styleId="Legenda">
    <w:name w:val="caption"/>
    <w:basedOn w:val="Normalny"/>
    <w:next w:val="Normalny"/>
    <w:uiPriority w:val="35"/>
    <w:unhideWhenUsed/>
    <w:qFormat/>
    <w:rsid w:val="004C4E4F"/>
    <w:pPr>
      <w:spacing w:line="240" w:lineRule="auto"/>
    </w:pPr>
    <w:rPr>
      <w:b/>
      <w:bCs/>
      <w:color w:val="4F81BD" w:themeColor="accent1"/>
      <w:sz w:val="18"/>
      <w:szCs w:val="18"/>
    </w:rPr>
  </w:style>
  <w:style w:type="character" w:styleId="Tekstzastpczy">
    <w:name w:val="Placeholder Text"/>
    <w:basedOn w:val="Domylnaczcionkaakapitu"/>
    <w:uiPriority w:val="99"/>
    <w:semiHidden/>
    <w:rsid w:val="007438A2"/>
    <w:rPr>
      <w:color w:val="808080"/>
    </w:rPr>
  </w:style>
  <w:style w:type="paragraph" w:styleId="Tekstpodstawowywcity">
    <w:name w:val="Body Text Indent"/>
    <w:basedOn w:val="Normalny"/>
    <w:link w:val="TekstpodstawowywcityZnak"/>
    <w:rsid w:val="00EE13F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EE13F8"/>
    <w:rPr>
      <w:rFonts w:ascii="Times New Roman" w:eastAsia="Times New Roman" w:hAnsi="Times New Roman" w:cs="Times New Roman"/>
      <w:sz w:val="24"/>
      <w:szCs w:val="24"/>
      <w:lang w:eastAsia="pl-PL"/>
    </w:rPr>
  </w:style>
  <w:style w:type="paragraph" w:styleId="Bezodstpw">
    <w:name w:val="No Spacing"/>
    <w:uiPriority w:val="1"/>
    <w:qFormat/>
    <w:rsid w:val="00EE13F8"/>
    <w:pPr>
      <w:spacing w:after="0" w:line="240" w:lineRule="auto"/>
    </w:pPr>
    <w:rPr>
      <w:rFonts w:ascii="Times New Roman" w:eastAsia="Times New Roman" w:hAnsi="Times New Roman" w:cs="Times New Roman"/>
      <w:sz w:val="24"/>
      <w:szCs w:val="24"/>
      <w:lang w:eastAsia="pl-PL"/>
    </w:rPr>
  </w:style>
  <w:style w:type="character" w:customStyle="1" w:styleId="st">
    <w:name w:val="st"/>
    <w:basedOn w:val="Domylnaczcionkaakapitu"/>
    <w:rsid w:val="00FC607C"/>
  </w:style>
  <w:style w:type="paragraph" w:styleId="Tekstpodstawowy">
    <w:name w:val="Body Text"/>
    <w:basedOn w:val="Normalny"/>
    <w:link w:val="TekstpodstawowyZnak"/>
    <w:uiPriority w:val="99"/>
    <w:unhideWhenUsed/>
    <w:rsid w:val="002B714D"/>
    <w:pPr>
      <w:spacing w:after="120"/>
    </w:pPr>
  </w:style>
  <w:style w:type="character" w:customStyle="1" w:styleId="TekstpodstawowyZnak">
    <w:name w:val="Tekst podstawowy Znak"/>
    <w:basedOn w:val="Domylnaczcionkaakapitu"/>
    <w:link w:val="Tekstpodstawowy"/>
    <w:uiPriority w:val="99"/>
    <w:rsid w:val="002B714D"/>
  </w:style>
  <w:style w:type="table" w:customStyle="1" w:styleId="Tabela-Siatka1">
    <w:name w:val="Tabela - Siatka1"/>
    <w:basedOn w:val="Standardowy"/>
    <w:next w:val="Tabela-Siatka"/>
    <w:uiPriority w:val="59"/>
    <w:rsid w:val="00C2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C2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8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18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8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8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Akapitzlist"/>
    <w:link w:val="Styl1Znak"/>
    <w:qFormat/>
    <w:rsid w:val="00181ADD"/>
    <w:pPr>
      <w:numPr>
        <w:numId w:val="25"/>
      </w:numPr>
      <w:spacing w:after="0" w:line="360" w:lineRule="auto"/>
      <w:jc w:val="both"/>
    </w:pPr>
    <w:rPr>
      <w:rFonts w:ascii="Times New Roman" w:hAnsi="Times New Roman" w:cs="Times New Roman"/>
      <w:sz w:val="28"/>
      <w:szCs w:val="28"/>
    </w:rPr>
  </w:style>
  <w:style w:type="character" w:customStyle="1" w:styleId="AkapitzlistZnak">
    <w:name w:val="Akapit z listą Znak"/>
    <w:basedOn w:val="Domylnaczcionkaakapitu"/>
    <w:link w:val="Akapitzlist"/>
    <w:uiPriority w:val="34"/>
    <w:rsid w:val="00181ADD"/>
  </w:style>
  <w:style w:type="character" w:customStyle="1" w:styleId="Styl1Znak">
    <w:name w:val="Styl1 Znak"/>
    <w:basedOn w:val="AkapitzlistZnak"/>
    <w:link w:val="Styl1"/>
    <w:rsid w:val="00181AD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F3F9C"/>
    <w:pPr>
      <w:keepNext/>
      <w:numPr>
        <w:numId w:val="2"/>
      </w:numPr>
      <w:pBdr>
        <w:top w:val="single" w:sz="4" w:space="1" w:color="auto"/>
        <w:bottom w:val="single" w:sz="4" w:space="1" w:color="auto"/>
      </w:pBdr>
      <w:spacing w:before="240" w:after="60" w:line="240" w:lineRule="auto"/>
      <w:jc w:val="center"/>
      <w:outlineLvl w:val="0"/>
    </w:pPr>
    <w:rPr>
      <w:rFonts w:ascii="Arial (W1)" w:eastAsia="Times New Roman" w:hAnsi="Arial (W1)" w:cs="Arial"/>
      <w:b/>
      <w:bCs/>
      <w:caps/>
      <w:kern w:val="32"/>
      <w:sz w:val="32"/>
      <w:szCs w:val="32"/>
      <w:lang w:eastAsia="pl-PL"/>
    </w:rPr>
  </w:style>
  <w:style w:type="paragraph" w:styleId="Nagwek2">
    <w:name w:val="heading 2"/>
    <w:basedOn w:val="Normalny"/>
    <w:next w:val="Normalny"/>
    <w:link w:val="Nagwek2Znak"/>
    <w:qFormat/>
    <w:rsid w:val="000F3F9C"/>
    <w:pPr>
      <w:keepNext/>
      <w:numPr>
        <w:ilvl w:val="1"/>
        <w:numId w:val="2"/>
      </w:numPr>
      <w:spacing w:before="240" w:after="60" w:line="240" w:lineRule="auto"/>
      <w:jc w:val="both"/>
      <w:outlineLvl w:val="1"/>
    </w:pPr>
    <w:rPr>
      <w:rFonts w:ascii="Arial" w:eastAsia="Times New Roman" w:hAnsi="Arial" w:cs="Arial"/>
      <w:b/>
      <w:bCs/>
      <w:iCs/>
      <w:caps/>
      <w:sz w:val="28"/>
      <w:szCs w:val="28"/>
      <w:lang w:eastAsia="pl-PL"/>
    </w:rPr>
  </w:style>
  <w:style w:type="paragraph" w:styleId="Nagwek3">
    <w:name w:val="heading 3"/>
    <w:aliases w:val="h3"/>
    <w:basedOn w:val="Normalny"/>
    <w:next w:val="Normalny"/>
    <w:link w:val="Nagwek3Znak"/>
    <w:qFormat/>
    <w:rsid w:val="000F3F9C"/>
    <w:pPr>
      <w:keepNext/>
      <w:numPr>
        <w:ilvl w:val="2"/>
        <w:numId w:val="2"/>
      </w:numPr>
      <w:spacing w:before="240" w:after="60" w:line="240" w:lineRule="auto"/>
      <w:jc w:val="both"/>
      <w:outlineLvl w:val="2"/>
    </w:pPr>
    <w:rPr>
      <w:rFonts w:ascii="Arial" w:eastAsia="Times New Roman" w:hAnsi="Arial" w:cs="Arial"/>
      <w:b/>
      <w:bCs/>
      <w:sz w:val="24"/>
      <w:szCs w:val="26"/>
      <w:lang w:eastAsia="pl-PL"/>
    </w:rPr>
  </w:style>
  <w:style w:type="paragraph" w:styleId="Nagwek4">
    <w:name w:val="heading 4"/>
    <w:basedOn w:val="Normalny"/>
    <w:next w:val="Normalny"/>
    <w:link w:val="Nagwek4Znak"/>
    <w:qFormat/>
    <w:rsid w:val="000F3F9C"/>
    <w:pPr>
      <w:keepNext/>
      <w:numPr>
        <w:ilvl w:val="3"/>
        <w:numId w:val="2"/>
      </w:numPr>
      <w:spacing w:before="240" w:after="60" w:line="240" w:lineRule="auto"/>
      <w:jc w:val="both"/>
      <w:outlineLvl w:val="3"/>
    </w:pPr>
    <w:rPr>
      <w:rFonts w:ascii="Arial" w:eastAsia="Times New Roman" w:hAnsi="Arial" w:cs="Times New Roman"/>
      <w:bCs/>
      <w:i/>
      <w:sz w:val="24"/>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DE0E8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E0E8A"/>
    <w:rPr>
      <w:sz w:val="20"/>
      <w:szCs w:val="20"/>
    </w:rPr>
  </w:style>
  <w:style w:type="character" w:styleId="Odwoanieprzypisudolnego">
    <w:name w:val="footnote reference"/>
    <w:basedOn w:val="Domylnaczcionkaakapitu"/>
    <w:uiPriority w:val="99"/>
    <w:semiHidden/>
    <w:unhideWhenUsed/>
    <w:rsid w:val="00DE0E8A"/>
    <w:rPr>
      <w:vertAlign w:val="superscript"/>
    </w:rPr>
  </w:style>
  <w:style w:type="character" w:styleId="Hipercze">
    <w:name w:val="Hyperlink"/>
    <w:basedOn w:val="Domylnaczcionkaakapitu"/>
    <w:uiPriority w:val="99"/>
    <w:unhideWhenUsed/>
    <w:rsid w:val="006A50BD"/>
    <w:rPr>
      <w:color w:val="0000FF"/>
      <w:u w:val="single"/>
    </w:rPr>
  </w:style>
  <w:style w:type="paragraph" w:styleId="NormalnyWeb">
    <w:name w:val="Normal (Web)"/>
    <w:basedOn w:val="Normalny"/>
    <w:uiPriority w:val="99"/>
    <w:unhideWhenUsed/>
    <w:rsid w:val="006A50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basedOn w:val="Normalny"/>
    <w:rsid w:val="008846CD"/>
    <w:pPr>
      <w:spacing w:before="100" w:line="240" w:lineRule="auto"/>
      <w:ind w:left="100" w:right="100"/>
      <w:jc w:val="both"/>
    </w:pPr>
    <w:rPr>
      <w:rFonts w:ascii="Verdana" w:eastAsia="Times New Roman" w:hAnsi="Verdana" w:cs="Times New Roman"/>
      <w:color w:val="000000"/>
      <w:sz w:val="26"/>
      <w:szCs w:val="26"/>
      <w:lang w:eastAsia="pl-PL"/>
    </w:rPr>
  </w:style>
  <w:style w:type="character" w:styleId="Uwydatnienie">
    <w:name w:val="Emphasis"/>
    <w:basedOn w:val="Domylnaczcionkaakapitu"/>
    <w:uiPriority w:val="20"/>
    <w:qFormat/>
    <w:rsid w:val="003133C7"/>
    <w:rPr>
      <w:i/>
      <w:iCs/>
    </w:rPr>
  </w:style>
  <w:style w:type="paragraph" w:styleId="Tekstdymka">
    <w:name w:val="Balloon Text"/>
    <w:basedOn w:val="Normalny"/>
    <w:link w:val="TekstdymkaZnak"/>
    <w:uiPriority w:val="99"/>
    <w:semiHidden/>
    <w:unhideWhenUsed/>
    <w:rsid w:val="003133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33C7"/>
    <w:rPr>
      <w:rFonts w:ascii="Tahoma" w:hAnsi="Tahoma" w:cs="Tahoma"/>
      <w:sz w:val="16"/>
      <w:szCs w:val="16"/>
    </w:rPr>
  </w:style>
  <w:style w:type="paragraph" w:styleId="Akapitzlist">
    <w:name w:val="List Paragraph"/>
    <w:basedOn w:val="Normalny"/>
    <w:link w:val="AkapitzlistZnak"/>
    <w:uiPriority w:val="34"/>
    <w:qFormat/>
    <w:rsid w:val="00025BE9"/>
    <w:pPr>
      <w:ind w:left="720"/>
      <w:contextualSpacing/>
    </w:pPr>
  </w:style>
  <w:style w:type="character" w:customStyle="1" w:styleId="shorttext">
    <w:name w:val="short_text"/>
    <w:basedOn w:val="Domylnaczcionkaakapitu"/>
    <w:rsid w:val="00025BE9"/>
  </w:style>
  <w:style w:type="character" w:customStyle="1" w:styleId="hps">
    <w:name w:val="hps"/>
    <w:basedOn w:val="Domylnaczcionkaakapitu"/>
    <w:rsid w:val="00025BE9"/>
  </w:style>
  <w:style w:type="character" w:customStyle="1" w:styleId="Nagwek1Znak">
    <w:name w:val="Nagłówek 1 Znak"/>
    <w:basedOn w:val="Domylnaczcionkaakapitu"/>
    <w:link w:val="Nagwek1"/>
    <w:rsid w:val="000F3F9C"/>
    <w:rPr>
      <w:rFonts w:ascii="Arial (W1)" w:eastAsia="Times New Roman" w:hAnsi="Arial (W1)" w:cs="Arial"/>
      <w:b/>
      <w:bCs/>
      <w:caps/>
      <w:kern w:val="32"/>
      <w:sz w:val="32"/>
      <w:szCs w:val="32"/>
      <w:lang w:eastAsia="pl-PL"/>
    </w:rPr>
  </w:style>
  <w:style w:type="character" w:customStyle="1" w:styleId="Nagwek2Znak">
    <w:name w:val="Nagłówek 2 Znak"/>
    <w:basedOn w:val="Domylnaczcionkaakapitu"/>
    <w:link w:val="Nagwek2"/>
    <w:rsid w:val="000F3F9C"/>
    <w:rPr>
      <w:rFonts w:ascii="Arial" w:eastAsia="Times New Roman" w:hAnsi="Arial" w:cs="Arial"/>
      <w:b/>
      <w:bCs/>
      <w:iCs/>
      <w:caps/>
      <w:sz w:val="28"/>
      <w:szCs w:val="28"/>
      <w:lang w:eastAsia="pl-PL"/>
    </w:rPr>
  </w:style>
  <w:style w:type="character" w:customStyle="1" w:styleId="Nagwek3Znak">
    <w:name w:val="Nagłówek 3 Znak"/>
    <w:aliases w:val="h3 Znak"/>
    <w:basedOn w:val="Domylnaczcionkaakapitu"/>
    <w:link w:val="Nagwek3"/>
    <w:rsid w:val="000F3F9C"/>
    <w:rPr>
      <w:rFonts w:ascii="Arial" w:eastAsia="Times New Roman" w:hAnsi="Arial" w:cs="Arial"/>
      <w:b/>
      <w:bCs/>
      <w:sz w:val="24"/>
      <w:szCs w:val="26"/>
      <w:lang w:eastAsia="pl-PL"/>
    </w:rPr>
  </w:style>
  <w:style w:type="character" w:customStyle="1" w:styleId="Nagwek4Znak">
    <w:name w:val="Nagłówek 4 Znak"/>
    <w:basedOn w:val="Domylnaczcionkaakapitu"/>
    <w:link w:val="Nagwek4"/>
    <w:rsid w:val="000F3F9C"/>
    <w:rPr>
      <w:rFonts w:ascii="Arial" w:eastAsia="Times New Roman" w:hAnsi="Arial" w:cs="Times New Roman"/>
      <w:bCs/>
      <w:i/>
      <w:sz w:val="24"/>
      <w:szCs w:val="28"/>
      <w:lang w:eastAsia="pl-PL"/>
    </w:rPr>
  </w:style>
  <w:style w:type="paragraph" w:customStyle="1" w:styleId="rdo">
    <w:name w:val="źródło"/>
    <w:basedOn w:val="Normalny"/>
    <w:next w:val="Normalny"/>
    <w:rsid w:val="000F3F9C"/>
    <w:pPr>
      <w:spacing w:after="0" w:line="240" w:lineRule="auto"/>
      <w:jc w:val="both"/>
    </w:pPr>
    <w:rPr>
      <w:rFonts w:ascii="Arial (W1)" w:eastAsia="Times New Roman" w:hAnsi="Arial (W1)" w:cs="Times New Roman"/>
      <w:i/>
      <w:sz w:val="18"/>
      <w:szCs w:val="24"/>
      <w:lang w:eastAsia="pl-PL"/>
    </w:rPr>
  </w:style>
  <w:style w:type="paragraph" w:styleId="Nagwek">
    <w:name w:val="header"/>
    <w:basedOn w:val="Normalny"/>
    <w:link w:val="NagwekZnak"/>
    <w:rsid w:val="000F3F9C"/>
    <w:pPr>
      <w:tabs>
        <w:tab w:val="center" w:pos="4536"/>
        <w:tab w:val="right" w:pos="9072"/>
      </w:tabs>
      <w:spacing w:after="0" w:line="240" w:lineRule="auto"/>
      <w:jc w:val="both"/>
    </w:pPr>
    <w:rPr>
      <w:rFonts w:ascii="Arial" w:eastAsia="Times New Roman" w:hAnsi="Arial" w:cs="Times New Roman"/>
      <w:szCs w:val="24"/>
      <w:lang w:eastAsia="pl-PL"/>
    </w:rPr>
  </w:style>
  <w:style w:type="character" w:customStyle="1" w:styleId="NagwekZnak">
    <w:name w:val="Nagłówek Znak"/>
    <w:basedOn w:val="Domylnaczcionkaakapitu"/>
    <w:link w:val="Nagwek"/>
    <w:rsid w:val="000F3F9C"/>
    <w:rPr>
      <w:rFonts w:ascii="Arial" w:eastAsia="Times New Roman" w:hAnsi="Arial" w:cs="Times New Roman"/>
      <w:szCs w:val="24"/>
      <w:lang w:eastAsia="pl-PL"/>
    </w:rPr>
  </w:style>
  <w:style w:type="paragraph" w:customStyle="1" w:styleId="Tabela">
    <w:name w:val="Tabela"/>
    <w:basedOn w:val="Normalny"/>
    <w:rsid w:val="000F3F9C"/>
    <w:pPr>
      <w:spacing w:after="0" w:line="240" w:lineRule="auto"/>
      <w:jc w:val="center"/>
    </w:pPr>
    <w:rPr>
      <w:rFonts w:ascii="Arial" w:eastAsia="Times New Roman" w:hAnsi="Arial" w:cs="Times New Roman"/>
      <w:i/>
      <w:caps/>
      <w:szCs w:val="20"/>
      <w:lang w:eastAsia="pl-PL"/>
    </w:rPr>
  </w:style>
  <w:style w:type="paragraph" w:customStyle="1" w:styleId="Rysunek">
    <w:name w:val="Rysunek"/>
    <w:basedOn w:val="Normalny"/>
    <w:rsid w:val="000F3F9C"/>
    <w:pPr>
      <w:spacing w:after="0" w:line="240" w:lineRule="auto"/>
      <w:jc w:val="center"/>
    </w:pPr>
    <w:rPr>
      <w:rFonts w:ascii="Arial (W1)" w:eastAsia="Times New Roman" w:hAnsi="Arial (W1)" w:cs="Times New Roman"/>
      <w:bCs/>
      <w:i/>
      <w:caps/>
      <w:noProof/>
      <w:szCs w:val="20"/>
      <w:lang w:eastAsia="pl-PL"/>
    </w:rPr>
  </w:style>
  <w:style w:type="paragraph" w:styleId="Legenda">
    <w:name w:val="caption"/>
    <w:basedOn w:val="Normalny"/>
    <w:next w:val="Normalny"/>
    <w:uiPriority w:val="35"/>
    <w:unhideWhenUsed/>
    <w:qFormat/>
    <w:rsid w:val="004C4E4F"/>
    <w:pPr>
      <w:spacing w:line="240" w:lineRule="auto"/>
    </w:pPr>
    <w:rPr>
      <w:b/>
      <w:bCs/>
      <w:color w:val="4F81BD" w:themeColor="accent1"/>
      <w:sz w:val="18"/>
      <w:szCs w:val="18"/>
    </w:rPr>
  </w:style>
  <w:style w:type="character" w:styleId="Tekstzastpczy">
    <w:name w:val="Placeholder Text"/>
    <w:basedOn w:val="Domylnaczcionkaakapitu"/>
    <w:uiPriority w:val="99"/>
    <w:semiHidden/>
    <w:rsid w:val="007438A2"/>
    <w:rPr>
      <w:color w:val="808080"/>
    </w:rPr>
  </w:style>
  <w:style w:type="paragraph" w:styleId="Tekstpodstawowywcity">
    <w:name w:val="Body Text Indent"/>
    <w:basedOn w:val="Normalny"/>
    <w:link w:val="TekstpodstawowywcityZnak"/>
    <w:rsid w:val="00EE13F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EE13F8"/>
    <w:rPr>
      <w:rFonts w:ascii="Times New Roman" w:eastAsia="Times New Roman" w:hAnsi="Times New Roman" w:cs="Times New Roman"/>
      <w:sz w:val="24"/>
      <w:szCs w:val="24"/>
      <w:lang w:eastAsia="pl-PL"/>
    </w:rPr>
  </w:style>
  <w:style w:type="paragraph" w:styleId="Bezodstpw">
    <w:name w:val="No Spacing"/>
    <w:uiPriority w:val="1"/>
    <w:qFormat/>
    <w:rsid w:val="00EE13F8"/>
    <w:pPr>
      <w:spacing w:after="0" w:line="240" w:lineRule="auto"/>
    </w:pPr>
    <w:rPr>
      <w:rFonts w:ascii="Times New Roman" w:eastAsia="Times New Roman" w:hAnsi="Times New Roman" w:cs="Times New Roman"/>
      <w:sz w:val="24"/>
      <w:szCs w:val="24"/>
      <w:lang w:eastAsia="pl-PL"/>
    </w:rPr>
  </w:style>
  <w:style w:type="character" w:customStyle="1" w:styleId="st">
    <w:name w:val="st"/>
    <w:basedOn w:val="Domylnaczcionkaakapitu"/>
    <w:rsid w:val="00FC607C"/>
  </w:style>
  <w:style w:type="paragraph" w:styleId="Tekstpodstawowy">
    <w:name w:val="Body Text"/>
    <w:basedOn w:val="Normalny"/>
    <w:link w:val="TekstpodstawowyZnak"/>
    <w:uiPriority w:val="99"/>
    <w:unhideWhenUsed/>
    <w:rsid w:val="002B714D"/>
    <w:pPr>
      <w:spacing w:after="120"/>
    </w:pPr>
  </w:style>
  <w:style w:type="character" w:customStyle="1" w:styleId="TekstpodstawowyZnak">
    <w:name w:val="Tekst podstawowy Znak"/>
    <w:basedOn w:val="Domylnaczcionkaakapitu"/>
    <w:link w:val="Tekstpodstawowy"/>
    <w:uiPriority w:val="99"/>
    <w:rsid w:val="002B714D"/>
  </w:style>
  <w:style w:type="table" w:customStyle="1" w:styleId="Tabela-Siatka1">
    <w:name w:val="Tabela - Siatka1"/>
    <w:basedOn w:val="Standardowy"/>
    <w:next w:val="Tabela-Siatka"/>
    <w:uiPriority w:val="59"/>
    <w:rsid w:val="00C2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C2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8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18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8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8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Akapitzlist"/>
    <w:link w:val="Styl1Znak"/>
    <w:qFormat/>
    <w:rsid w:val="00181ADD"/>
    <w:pPr>
      <w:numPr>
        <w:numId w:val="25"/>
      </w:numPr>
      <w:spacing w:after="0" w:line="360" w:lineRule="auto"/>
      <w:jc w:val="both"/>
    </w:pPr>
    <w:rPr>
      <w:rFonts w:ascii="Times New Roman" w:hAnsi="Times New Roman" w:cs="Times New Roman"/>
      <w:sz w:val="28"/>
      <w:szCs w:val="28"/>
    </w:rPr>
  </w:style>
  <w:style w:type="character" w:customStyle="1" w:styleId="AkapitzlistZnak">
    <w:name w:val="Akapit z listą Znak"/>
    <w:basedOn w:val="Domylnaczcionkaakapitu"/>
    <w:link w:val="Akapitzlist"/>
    <w:uiPriority w:val="34"/>
    <w:rsid w:val="00181ADD"/>
  </w:style>
  <w:style w:type="character" w:customStyle="1" w:styleId="Styl1Znak">
    <w:name w:val="Styl1 Znak"/>
    <w:basedOn w:val="AkapitzlistZnak"/>
    <w:link w:val="Styl1"/>
    <w:rsid w:val="00181AD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78262">
      <w:bodyDiv w:val="1"/>
      <w:marLeft w:val="0"/>
      <w:marRight w:val="0"/>
      <w:marTop w:val="0"/>
      <w:marBottom w:val="0"/>
      <w:divBdr>
        <w:top w:val="none" w:sz="0" w:space="0" w:color="auto"/>
        <w:left w:val="none" w:sz="0" w:space="0" w:color="auto"/>
        <w:bottom w:val="none" w:sz="0" w:space="0" w:color="auto"/>
        <w:right w:val="none" w:sz="0" w:space="0" w:color="auto"/>
      </w:divBdr>
      <w:divsChild>
        <w:div w:id="370497950">
          <w:marLeft w:val="0"/>
          <w:marRight w:val="0"/>
          <w:marTop w:val="0"/>
          <w:marBottom w:val="0"/>
          <w:divBdr>
            <w:top w:val="none" w:sz="0" w:space="0" w:color="auto"/>
            <w:left w:val="none" w:sz="0" w:space="0" w:color="auto"/>
            <w:bottom w:val="none" w:sz="0" w:space="0" w:color="auto"/>
            <w:right w:val="none" w:sz="0" w:space="0" w:color="auto"/>
          </w:divBdr>
        </w:div>
        <w:div w:id="543299191">
          <w:marLeft w:val="0"/>
          <w:marRight w:val="0"/>
          <w:marTop w:val="0"/>
          <w:marBottom w:val="0"/>
          <w:divBdr>
            <w:top w:val="none" w:sz="0" w:space="0" w:color="auto"/>
            <w:left w:val="none" w:sz="0" w:space="0" w:color="auto"/>
            <w:bottom w:val="none" w:sz="0" w:space="0" w:color="auto"/>
            <w:right w:val="none" w:sz="0" w:space="0" w:color="auto"/>
          </w:divBdr>
        </w:div>
        <w:div w:id="696151798">
          <w:marLeft w:val="0"/>
          <w:marRight w:val="0"/>
          <w:marTop w:val="0"/>
          <w:marBottom w:val="0"/>
          <w:divBdr>
            <w:top w:val="none" w:sz="0" w:space="0" w:color="auto"/>
            <w:left w:val="none" w:sz="0" w:space="0" w:color="auto"/>
            <w:bottom w:val="none" w:sz="0" w:space="0" w:color="auto"/>
            <w:right w:val="none" w:sz="0" w:space="0" w:color="auto"/>
          </w:divBdr>
        </w:div>
        <w:div w:id="1637296792">
          <w:marLeft w:val="0"/>
          <w:marRight w:val="0"/>
          <w:marTop w:val="0"/>
          <w:marBottom w:val="0"/>
          <w:divBdr>
            <w:top w:val="none" w:sz="0" w:space="0" w:color="auto"/>
            <w:left w:val="none" w:sz="0" w:space="0" w:color="auto"/>
            <w:bottom w:val="none" w:sz="0" w:space="0" w:color="auto"/>
            <w:right w:val="none" w:sz="0" w:space="0" w:color="auto"/>
          </w:divBdr>
        </w:div>
        <w:div w:id="1668827292">
          <w:marLeft w:val="0"/>
          <w:marRight w:val="0"/>
          <w:marTop w:val="0"/>
          <w:marBottom w:val="0"/>
          <w:divBdr>
            <w:top w:val="none" w:sz="0" w:space="0" w:color="auto"/>
            <w:left w:val="none" w:sz="0" w:space="0" w:color="auto"/>
            <w:bottom w:val="none" w:sz="0" w:space="0" w:color="auto"/>
            <w:right w:val="none" w:sz="0" w:space="0" w:color="auto"/>
          </w:divBdr>
        </w:div>
        <w:div w:id="1927182909">
          <w:marLeft w:val="0"/>
          <w:marRight w:val="0"/>
          <w:marTop w:val="0"/>
          <w:marBottom w:val="0"/>
          <w:divBdr>
            <w:top w:val="none" w:sz="0" w:space="0" w:color="auto"/>
            <w:left w:val="none" w:sz="0" w:space="0" w:color="auto"/>
            <w:bottom w:val="none" w:sz="0" w:space="0" w:color="auto"/>
            <w:right w:val="none" w:sz="0" w:space="0" w:color="auto"/>
          </w:divBdr>
        </w:div>
      </w:divsChild>
    </w:div>
    <w:div w:id="659583566">
      <w:bodyDiv w:val="1"/>
      <w:marLeft w:val="0"/>
      <w:marRight w:val="0"/>
      <w:marTop w:val="0"/>
      <w:marBottom w:val="0"/>
      <w:divBdr>
        <w:top w:val="none" w:sz="0" w:space="0" w:color="auto"/>
        <w:left w:val="none" w:sz="0" w:space="0" w:color="auto"/>
        <w:bottom w:val="none" w:sz="0" w:space="0" w:color="auto"/>
        <w:right w:val="none" w:sz="0" w:space="0" w:color="auto"/>
      </w:divBdr>
    </w:div>
    <w:div w:id="687294538">
      <w:bodyDiv w:val="1"/>
      <w:marLeft w:val="0"/>
      <w:marRight w:val="0"/>
      <w:marTop w:val="0"/>
      <w:marBottom w:val="0"/>
      <w:divBdr>
        <w:top w:val="none" w:sz="0" w:space="0" w:color="auto"/>
        <w:left w:val="none" w:sz="0" w:space="0" w:color="auto"/>
        <w:bottom w:val="none" w:sz="0" w:space="0" w:color="auto"/>
        <w:right w:val="none" w:sz="0" w:space="0" w:color="auto"/>
      </w:divBdr>
      <w:divsChild>
        <w:div w:id="944188537">
          <w:marLeft w:val="0"/>
          <w:marRight w:val="0"/>
          <w:marTop w:val="0"/>
          <w:marBottom w:val="0"/>
          <w:divBdr>
            <w:top w:val="none" w:sz="0" w:space="0" w:color="auto"/>
            <w:left w:val="none" w:sz="0" w:space="0" w:color="auto"/>
            <w:bottom w:val="none" w:sz="0" w:space="0" w:color="auto"/>
            <w:right w:val="none" w:sz="0" w:space="0" w:color="auto"/>
          </w:divBdr>
          <w:divsChild>
            <w:div w:id="812647576">
              <w:marLeft w:val="0"/>
              <w:marRight w:val="0"/>
              <w:marTop w:val="0"/>
              <w:marBottom w:val="0"/>
              <w:divBdr>
                <w:top w:val="none" w:sz="0" w:space="0" w:color="auto"/>
                <w:left w:val="none" w:sz="0" w:space="0" w:color="auto"/>
                <w:bottom w:val="none" w:sz="0" w:space="0" w:color="auto"/>
                <w:right w:val="none" w:sz="0" w:space="0" w:color="auto"/>
              </w:divBdr>
              <w:divsChild>
                <w:div w:id="19701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4302">
      <w:bodyDiv w:val="1"/>
      <w:marLeft w:val="0"/>
      <w:marRight w:val="0"/>
      <w:marTop w:val="0"/>
      <w:marBottom w:val="0"/>
      <w:divBdr>
        <w:top w:val="none" w:sz="0" w:space="0" w:color="auto"/>
        <w:left w:val="none" w:sz="0" w:space="0" w:color="auto"/>
        <w:bottom w:val="none" w:sz="0" w:space="0" w:color="auto"/>
        <w:right w:val="none" w:sz="0" w:space="0" w:color="auto"/>
      </w:divBdr>
    </w:div>
    <w:div w:id="1634601677">
      <w:bodyDiv w:val="1"/>
      <w:marLeft w:val="0"/>
      <w:marRight w:val="0"/>
      <w:marTop w:val="0"/>
      <w:marBottom w:val="0"/>
      <w:divBdr>
        <w:top w:val="none" w:sz="0" w:space="0" w:color="auto"/>
        <w:left w:val="none" w:sz="0" w:space="0" w:color="auto"/>
        <w:bottom w:val="none" w:sz="0" w:space="0" w:color="auto"/>
        <w:right w:val="none" w:sz="0" w:space="0" w:color="auto"/>
      </w:divBdr>
      <w:divsChild>
        <w:div w:id="607473225">
          <w:marLeft w:val="0"/>
          <w:marRight w:val="0"/>
          <w:marTop w:val="0"/>
          <w:marBottom w:val="0"/>
          <w:divBdr>
            <w:top w:val="none" w:sz="0" w:space="0" w:color="auto"/>
            <w:left w:val="none" w:sz="0" w:space="0" w:color="auto"/>
            <w:bottom w:val="none" w:sz="0" w:space="0" w:color="auto"/>
            <w:right w:val="none" w:sz="0" w:space="0" w:color="auto"/>
          </w:divBdr>
          <w:divsChild>
            <w:div w:id="1438523195">
              <w:marLeft w:val="0"/>
              <w:marRight w:val="0"/>
              <w:marTop w:val="0"/>
              <w:marBottom w:val="0"/>
              <w:divBdr>
                <w:top w:val="none" w:sz="0" w:space="0" w:color="auto"/>
                <w:left w:val="none" w:sz="0" w:space="0" w:color="auto"/>
                <w:bottom w:val="none" w:sz="0" w:space="0" w:color="auto"/>
                <w:right w:val="none" w:sz="0" w:space="0" w:color="auto"/>
              </w:divBdr>
              <w:divsChild>
                <w:div w:id="1226381446">
                  <w:marLeft w:val="0"/>
                  <w:marRight w:val="0"/>
                  <w:marTop w:val="0"/>
                  <w:marBottom w:val="0"/>
                  <w:divBdr>
                    <w:top w:val="none" w:sz="0" w:space="0" w:color="auto"/>
                    <w:left w:val="none" w:sz="0" w:space="0" w:color="auto"/>
                    <w:bottom w:val="none" w:sz="0" w:space="0" w:color="auto"/>
                    <w:right w:val="none" w:sz="0" w:space="0" w:color="auto"/>
                  </w:divBdr>
                  <w:divsChild>
                    <w:div w:id="599607373">
                      <w:marLeft w:val="0"/>
                      <w:marRight w:val="0"/>
                      <w:marTop w:val="0"/>
                      <w:marBottom w:val="0"/>
                      <w:divBdr>
                        <w:top w:val="none" w:sz="0" w:space="0" w:color="auto"/>
                        <w:left w:val="none" w:sz="0" w:space="0" w:color="auto"/>
                        <w:bottom w:val="none" w:sz="0" w:space="0" w:color="auto"/>
                        <w:right w:val="none" w:sz="0" w:space="0" w:color="auto"/>
                      </w:divBdr>
                      <w:divsChild>
                        <w:div w:id="1210264256">
                          <w:marLeft w:val="0"/>
                          <w:marRight w:val="0"/>
                          <w:marTop w:val="0"/>
                          <w:marBottom w:val="0"/>
                          <w:divBdr>
                            <w:top w:val="none" w:sz="0" w:space="0" w:color="auto"/>
                            <w:left w:val="none" w:sz="0" w:space="0" w:color="auto"/>
                            <w:bottom w:val="none" w:sz="0" w:space="0" w:color="auto"/>
                            <w:right w:val="none" w:sz="0" w:space="0" w:color="auto"/>
                          </w:divBdr>
                          <w:divsChild>
                            <w:div w:id="96828316">
                              <w:marLeft w:val="0"/>
                              <w:marRight w:val="0"/>
                              <w:marTop w:val="0"/>
                              <w:marBottom w:val="0"/>
                              <w:divBdr>
                                <w:top w:val="none" w:sz="0" w:space="0" w:color="auto"/>
                                <w:left w:val="none" w:sz="0" w:space="0" w:color="auto"/>
                                <w:bottom w:val="none" w:sz="0" w:space="0" w:color="auto"/>
                                <w:right w:val="none" w:sz="0" w:space="0" w:color="auto"/>
                              </w:divBdr>
                              <w:divsChild>
                                <w:div w:id="42605393">
                                  <w:marLeft w:val="0"/>
                                  <w:marRight w:val="0"/>
                                  <w:marTop w:val="0"/>
                                  <w:marBottom w:val="0"/>
                                  <w:divBdr>
                                    <w:top w:val="none" w:sz="0" w:space="0" w:color="auto"/>
                                    <w:left w:val="none" w:sz="0" w:space="0" w:color="auto"/>
                                    <w:bottom w:val="none" w:sz="0" w:space="0" w:color="auto"/>
                                    <w:right w:val="none" w:sz="0" w:space="0" w:color="auto"/>
                                  </w:divBdr>
                                  <w:divsChild>
                                    <w:div w:id="1608193125">
                                      <w:marLeft w:val="0"/>
                                      <w:marRight w:val="0"/>
                                      <w:marTop w:val="0"/>
                                      <w:marBottom w:val="0"/>
                                      <w:divBdr>
                                        <w:top w:val="none" w:sz="0" w:space="0" w:color="auto"/>
                                        <w:left w:val="none" w:sz="0" w:space="0" w:color="auto"/>
                                        <w:bottom w:val="none" w:sz="0" w:space="0" w:color="auto"/>
                                        <w:right w:val="none" w:sz="0" w:space="0" w:color="auto"/>
                                      </w:divBdr>
                                      <w:divsChild>
                                        <w:div w:id="1091704316">
                                          <w:marLeft w:val="0"/>
                                          <w:marRight w:val="0"/>
                                          <w:marTop w:val="0"/>
                                          <w:marBottom w:val="0"/>
                                          <w:divBdr>
                                            <w:top w:val="none" w:sz="0" w:space="0" w:color="auto"/>
                                            <w:left w:val="none" w:sz="0" w:space="0" w:color="auto"/>
                                            <w:bottom w:val="none" w:sz="0" w:space="0" w:color="auto"/>
                                            <w:right w:val="none" w:sz="0" w:space="0" w:color="auto"/>
                                          </w:divBdr>
                                          <w:divsChild>
                                            <w:div w:id="153381827">
                                              <w:marLeft w:val="0"/>
                                              <w:marRight w:val="0"/>
                                              <w:marTop w:val="0"/>
                                              <w:marBottom w:val="0"/>
                                              <w:divBdr>
                                                <w:top w:val="single" w:sz="12" w:space="2" w:color="FFFFCC"/>
                                                <w:left w:val="single" w:sz="12" w:space="2" w:color="FFFFCC"/>
                                                <w:bottom w:val="single" w:sz="12" w:space="2" w:color="FFFFCC"/>
                                                <w:right w:val="single" w:sz="12" w:space="0" w:color="FFFFCC"/>
                                              </w:divBdr>
                                              <w:divsChild>
                                                <w:div w:id="1577594660">
                                                  <w:marLeft w:val="0"/>
                                                  <w:marRight w:val="0"/>
                                                  <w:marTop w:val="0"/>
                                                  <w:marBottom w:val="0"/>
                                                  <w:divBdr>
                                                    <w:top w:val="none" w:sz="0" w:space="0" w:color="auto"/>
                                                    <w:left w:val="none" w:sz="0" w:space="0" w:color="auto"/>
                                                    <w:bottom w:val="none" w:sz="0" w:space="0" w:color="auto"/>
                                                    <w:right w:val="none" w:sz="0" w:space="0" w:color="auto"/>
                                                  </w:divBdr>
                                                  <w:divsChild>
                                                    <w:div w:id="1851096852">
                                                      <w:marLeft w:val="0"/>
                                                      <w:marRight w:val="0"/>
                                                      <w:marTop w:val="0"/>
                                                      <w:marBottom w:val="0"/>
                                                      <w:divBdr>
                                                        <w:top w:val="none" w:sz="0" w:space="0" w:color="auto"/>
                                                        <w:left w:val="none" w:sz="0" w:space="0" w:color="auto"/>
                                                        <w:bottom w:val="none" w:sz="0" w:space="0" w:color="auto"/>
                                                        <w:right w:val="none" w:sz="0" w:space="0" w:color="auto"/>
                                                      </w:divBdr>
                                                      <w:divsChild>
                                                        <w:div w:id="2067680237">
                                                          <w:marLeft w:val="0"/>
                                                          <w:marRight w:val="0"/>
                                                          <w:marTop w:val="0"/>
                                                          <w:marBottom w:val="0"/>
                                                          <w:divBdr>
                                                            <w:top w:val="none" w:sz="0" w:space="0" w:color="auto"/>
                                                            <w:left w:val="none" w:sz="0" w:space="0" w:color="auto"/>
                                                            <w:bottom w:val="none" w:sz="0" w:space="0" w:color="auto"/>
                                                            <w:right w:val="none" w:sz="0" w:space="0" w:color="auto"/>
                                                          </w:divBdr>
                                                          <w:divsChild>
                                                            <w:div w:id="1435318666">
                                                              <w:marLeft w:val="0"/>
                                                              <w:marRight w:val="0"/>
                                                              <w:marTop w:val="0"/>
                                                              <w:marBottom w:val="0"/>
                                                              <w:divBdr>
                                                                <w:top w:val="none" w:sz="0" w:space="0" w:color="auto"/>
                                                                <w:left w:val="none" w:sz="0" w:space="0" w:color="auto"/>
                                                                <w:bottom w:val="none" w:sz="0" w:space="0" w:color="auto"/>
                                                                <w:right w:val="none" w:sz="0" w:space="0" w:color="auto"/>
                                                              </w:divBdr>
                                                              <w:divsChild>
                                                                <w:div w:id="1757820654">
                                                                  <w:marLeft w:val="0"/>
                                                                  <w:marRight w:val="0"/>
                                                                  <w:marTop w:val="0"/>
                                                                  <w:marBottom w:val="0"/>
                                                                  <w:divBdr>
                                                                    <w:top w:val="none" w:sz="0" w:space="0" w:color="auto"/>
                                                                    <w:left w:val="none" w:sz="0" w:space="0" w:color="auto"/>
                                                                    <w:bottom w:val="none" w:sz="0" w:space="0" w:color="auto"/>
                                                                    <w:right w:val="none" w:sz="0" w:space="0" w:color="auto"/>
                                                                  </w:divBdr>
                                                                  <w:divsChild>
                                                                    <w:div w:id="1111777806">
                                                                      <w:marLeft w:val="0"/>
                                                                      <w:marRight w:val="0"/>
                                                                      <w:marTop w:val="0"/>
                                                                      <w:marBottom w:val="0"/>
                                                                      <w:divBdr>
                                                                        <w:top w:val="none" w:sz="0" w:space="0" w:color="auto"/>
                                                                        <w:left w:val="none" w:sz="0" w:space="0" w:color="auto"/>
                                                                        <w:bottom w:val="none" w:sz="0" w:space="0" w:color="auto"/>
                                                                        <w:right w:val="none" w:sz="0" w:space="0" w:color="auto"/>
                                                                      </w:divBdr>
                                                                      <w:divsChild>
                                                                        <w:div w:id="961151932">
                                                                          <w:marLeft w:val="0"/>
                                                                          <w:marRight w:val="0"/>
                                                                          <w:marTop w:val="0"/>
                                                                          <w:marBottom w:val="0"/>
                                                                          <w:divBdr>
                                                                            <w:top w:val="none" w:sz="0" w:space="0" w:color="auto"/>
                                                                            <w:left w:val="none" w:sz="0" w:space="0" w:color="auto"/>
                                                                            <w:bottom w:val="none" w:sz="0" w:space="0" w:color="auto"/>
                                                                            <w:right w:val="none" w:sz="0" w:space="0" w:color="auto"/>
                                                                          </w:divBdr>
                                                                          <w:divsChild>
                                                                            <w:div w:id="1908495300">
                                                                              <w:marLeft w:val="0"/>
                                                                              <w:marRight w:val="0"/>
                                                                              <w:marTop w:val="0"/>
                                                                              <w:marBottom w:val="0"/>
                                                                              <w:divBdr>
                                                                                <w:top w:val="none" w:sz="0" w:space="0" w:color="auto"/>
                                                                                <w:left w:val="none" w:sz="0" w:space="0" w:color="auto"/>
                                                                                <w:bottom w:val="none" w:sz="0" w:space="0" w:color="auto"/>
                                                                                <w:right w:val="none" w:sz="0" w:space="0" w:color="auto"/>
                                                                              </w:divBdr>
                                                                              <w:divsChild>
                                                                                <w:div w:id="1499073680">
                                                                                  <w:marLeft w:val="0"/>
                                                                                  <w:marRight w:val="0"/>
                                                                                  <w:marTop w:val="0"/>
                                                                                  <w:marBottom w:val="0"/>
                                                                                  <w:divBdr>
                                                                                    <w:top w:val="none" w:sz="0" w:space="0" w:color="auto"/>
                                                                                    <w:left w:val="none" w:sz="0" w:space="0" w:color="auto"/>
                                                                                    <w:bottom w:val="none" w:sz="0" w:space="0" w:color="auto"/>
                                                                                    <w:right w:val="none" w:sz="0" w:space="0" w:color="auto"/>
                                                                                  </w:divBdr>
                                                                                  <w:divsChild>
                                                                                    <w:div w:id="2077432479">
                                                                                      <w:marLeft w:val="0"/>
                                                                                      <w:marRight w:val="0"/>
                                                                                      <w:marTop w:val="0"/>
                                                                                      <w:marBottom w:val="0"/>
                                                                                      <w:divBdr>
                                                                                        <w:top w:val="none" w:sz="0" w:space="0" w:color="auto"/>
                                                                                        <w:left w:val="none" w:sz="0" w:space="0" w:color="auto"/>
                                                                                        <w:bottom w:val="none" w:sz="0" w:space="0" w:color="auto"/>
                                                                                        <w:right w:val="none" w:sz="0" w:space="0" w:color="auto"/>
                                                                                      </w:divBdr>
                                                                                      <w:divsChild>
                                                                                        <w:div w:id="87165986">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519003">
                                                                                              <w:marLeft w:val="0"/>
                                                                                              <w:marRight w:val="0"/>
                                                                                              <w:marTop w:val="0"/>
                                                                                              <w:marBottom w:val="0"/>
                                                                                              <w:divBdr>
                                                                                                <w:top w:val="none" w:sz="0" w:space="0" w:color="auto"/>
                                                                                                <w:left w:val="none" w:sz="0" w:space="0" w:color="auto"/>
                                                                                                <w:bottom w:val="none" w:sz="0" w:space="0" w:color="auto"/>
                                                                                                <w:right w:val="none" w:sz="0" w:space="0" w:color="auto"/>
                                                                                              </w:divBdr>
                                                                                              <w:divsChild>
                                                                                                <w:div w:id="758647131">
                                                                                                  <w:marLeft w:val="0"/>
                                                                                                  <w:marRight w:val="0"/>
                                                                                                  <w:marTop w:val="0"/>
                                                                                                  <w:marBottom w:val="0"/>
                                                                                                  <w:divBdr>
                                                                                                    <w:top w:val="none" w:sz="0" w:space="0" w:color="auto"/>
                                                                                                    <w:left w:val="none" w:sz="0" w:space="0" w:color="auto"/>
                                                                                                    <w:bottom w:val="none" w:sz="0" w:space="0" w:color="auto"/>
                                                                                                    <w:right w:val="none" w:sz="0" w:space="0" w:color="auto"/>
                                                                                                  </w:divBdr>
                                                                                                  <w:divsChild>
                                                                                                    <w:div w:id="290476983">
                                                                                                      <w:marLeft w:val="0"/>
                                                                                                      <w:marRight w:val="0"/>
                                                                                                      <w:marTop w:val="0"/>
                                                                                                      <w:marBottom w:val="0"/>
                                                                                                      <w:divBdr>
                                                                                                        <w:top w:val="none" w:sz="0" w:space="0" w:color="auto"/>
                                                                                                        <w:left w:val="none" w:sz="0" w:space="0" w:color="auto"/>
                                                                                                        <w:bottom w:val="none" w:sz="0" w:space="0" w:color="auto"/>
                                                                                                        <w:right w:val="none" w:sz="0" w:space="0" w:color="auto"/>
                                                                                                      </w:divBdr>
                                                                                                      <w:divsChild>
                                                                                                        <w:div w:id="1135101684">
                                                                                                          <w:marLeft w:val="0"/>
                                                                                                          <w:marRight w:val="0"/>
                                                                                                          <w:marTop w:val="0"/>
                                                                                                          <w:marBottom w:val="0"/>
                                                                                                          <w:divBdr>
                                                                                                            <w:top w:val="none" w:sz="0" w:space="0" w:color="auto"/>
                                                                                                            <w:left w:val="none" w:sz="0" w:space="0" w:color="auto"/>
                                                                                                            <w:bottom w:val="none" w:sz="0" w:space="0" w:color="auto"/>
                                                                                                            <w:right w:val="none" w:sz="0" w:space="0" w:color="auto"/>
                                                                                                          </w:divBdr>
                                                                                                          <w:divsChild>
                                                                                                            <w:div w:id="2016883250">
                                                                                                              <w:marLeft w:val="0"/>
                                                                                                              <w:marRight w:val="0"/>
                                                                                                              <w:marTop w:val="0"/>
                                                                                                              <w:marBottom w:val="0"/>
                                                                                                              <w:divBdr>
                                                                                                                <w:top w:val="none" w:sz="0" w:space="0" w:color="auto"/>
                                                                                                                <w:left w:val="none" w:sz="0" w:space="0" w:color="auto"/>
                                                                                                                <w:bottom w:val="none" w:sz="0" w:space="0" w:color="auto"/>
                                                                                                                <w:right w:val="none" w:sz="0" w:space="0" w:color="auto"/>
                                                                                                              </w:divBdr>
                                                                                                              <w:divsChild>
                                                                                                                <w:div w:id="89812599">
                                                                                                                  <w:marLeft w:val="0"/>
                                                                                                                  <w:marRight w:val="0"/>
                                                                                                                  <w:marTop w:val="0"/>
                                                                                                                  <w:marBottom w:val="0"/>
                                                                                                                  <w:divBdr>
                                                                                                                    <w:top w:val="single" w:sz="2" w:space="4" w:color="D8D8D8"/>
                                                                                                                    <w:left w:val="single" w:sz="2" w:space="0" w:color="D8D8D8"/>
                                                                                                                    <w:bottom w:val="single" w:sz="2" w:space="4" w:color="D8D8D8"/>
                                                                                                                    <w:right w:val="single" w:sz="2" w:space="0" w:color="D8D8D8"/>
                                                                                                                  </w:divBdr>
                                                                                                                  <w:divsChild>
                                                                                                                    <w:div w:id="462425513">
                                                                                                                      <w:marLeft w:val="225"/>
                                                                                                                      <w:marRight w:val="225"/>
                                                                                                                      <w:marTop w:val="75"/>
                                                                                                                      <w:marBottom w:val="75"/>
                                                                                                                      <w:divBdr>
                                                                                                                        <w:top w:val="none" w:sz="0" w:space="0" w:color="auto"/>
                                                                                                                        <w:left w:val="none" w:sz="0" w:space="0" w:color="auto"/>
                                                                                                                        <w:bottom w:val="none" w:sz="0" w:space="0" w:color="auto"/>
                                                                                                                        <w:right w:val="none" w:sz="0" w:space="0" w:color="auto"/>
                                                                                                                      </w:divBdr>
                                                                                                                      <w:divsChild>
                                                                                                                        <w:div w:id="1175266414">
                                                                                                                          <w:marLeft w:val="0"/>
                                                                                                                          <w:marRight w:val="0"/>
                                                                                                                          <w:marTop w:val="0"/>
                                                                                                                          <w:marBottom w:val="0"/>
                                                                                                                          <w:divBdr>
                                                                                                                            <w:top w:val="single" w:sz="6" w:space="0" w:color="auto"/>
                                                                                                                            <w:left w:val="single" w:sz="6" w:space="0" w:color="auto"/>
                                                                                                                            <w:bottom w:val="single" w:sz="6" w:space="0" w:color="auto"/>
                                                                                                                            <w:right w:val="single" w:sz="6" w:space="0" w:color="auto"/>
                                                                                                                          </w:divBdr>
                                                                                                                          <w:divsChild>
                                                                                                                            <w:div w:id="479032717">
                                                                                                                              <w:marLeft w:val="0"/>
                                                                                                                              <w:marRight w:val="0"/>
                                                                                                                              <w:marTop w:val="0"/>
                                                                                                                              <w:marBottom w:val="0"/>
                                                                                                                              <w:divBdr>
                                                                                                                                <w:top w:val="none" w:sz="0" w:space="0" w:color="auto"/>
                                                                                                                                <w:left w:val="none" w:sz="0" w:space="0" w:color="auto"/>
                                                                                                                                <w:bottom w:val="none" w:sz="0" w:space="0" w:color="auto"/>
                                                                                                                                <w:right w:val="none" w:sz="0" w:space="0" w:color="auto"/>
                                                                                                                              </w:divBdr>
                                                                                                                              <w:divsChild>
                                                                                                                                <w:div w:id="7470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Darek\Desktop\PRACA%20BIE&#379;&#260;CA\Artyku&#322;%20Banki%20UMCS%202016\Usuniecie%20niepotrzebnych\WYKRESY%20NAJWI&#280;KSZE%20BANK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arek\Desktop\PRACA%20BIE&#379;&#260;CA\Artyku&#322;%20Banki%20UMCS%202016\Usuniecie%20niepotrzebnych\WYKRESY%20NAJWI&#280;KSZE%20BANK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'RENTOWNOŚĆ WYKRESY'!$A$7</c:f>
              <c:strCache>
                <c:ptCount val="1"/>
                <c:pt idx="0">
                  <c:v>BZ WBK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WYKRESY'!$B$7:$I$7</c:f>
              <c:numCache>
                <c:formatCode>0.00%</c:formatCode>
                <c:ptCount val="8"/>
                <c:pt idx="0">
                  <c:v>0.18255149993344658</c:v>
                </c:pt>
                <c:pt idx="1">
                  <c:v>0.20515021155398536</c:v>
                </c:pt>
                <c:pt idx="2">
                  <c:v>0.20284227636088981</c:v>
                </c:pt>
                <c:pt idx="3">
                  <c:v>0.23369338391671857</c:v>
                </c:pt>
                <c:pt idx="4">
                  <c:v>0.24639738221395124</c:v>
                </c:pt>
                <c:pt idx="5">
                  <c:v>0.21503887382989192</c:v>
                </c:pt>
                <c:pt idx="6">
                  <c:v>0.26693281901479737</c:v>
                </c:pt>
                <c:pt idx="7">
                  <c:v>0.25126116304556212</c:v>
                </c:pt>
              </c:numCache>
            </c:numRef>
          </c:val>
          <c:smooth val="0"/>
        </c:ser>
        <c:ser>
          <c:idx val="1"/>
          <c:order val="1"/>
          <c:tx>
            <c:strRef>
              <c:f>'RENTOWNOŚĆ WYKRESY'!$A$11</c:f>
              <c:strCache>
                <c:ptCount val="1"/>
                <c:pt idx="0">
                  <c:v>ING BSK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WYKRESY'!$B$11:$I$11</c:f>
              <c:numCache>
                <c:formatCode>0.00%</c:formatCode>
                <c:ptCount val="8"/>
                <c:pt idx="0">
                  <c:v>0.10332295559405659</c:v>
                </c:pt>
                <c:pt idx="1">
                  <c:v>0.13691839475423409</c:v>
                </c:pt>
                <c:pt idx="2">
                  <c:v>0.17292492551646024</c:v>
                </c:pt>
                <c:pt idx="3">
                  <c:v>0.19638860520197302</c:v>
                </c:pt>
                <c:pt idx="4">
                  <c:v>0.15567287742147537</c:v>
                </c:pt>
                <c:pt idx="5">
                  <c:v>0.19371341951240051</c:v>
                </c:pt>
                <c:pt idx="6">
                  <c:v>0.21993615487591392</c:v>
                </c:pt>
                <c:pt idx="7">
                  <c:v>0.23320513869568776</c:v>
                </c:pt>
              </c:numCache>
            </c:numRef>
          </c:val>
          <c:smooth val="0"/>
        </c:ser>
        <c:ser>
          <c:idx val="2"/>
          <c:order val="2"/>
          <c:tx>
            <c:strRef>
              <c:f>'RENTOWNOŚĆ WYKRESY'!$A$12</c:f>
              <c:strCache>
                <c:ptCount val="1"/>
                <c:pt idx="0">
                  <c:v>Mbank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WYKRESY'!$B$12:$I$12</c:f>
              <c:numCache>
                <c:formatCode>0.00%</c:formatCode>
                <c:ptCount val="8"/>
                <c:pt idx="0">
                  <c:v>0.18739640777109171</c:v>
                </c:pt>
                <c:pt idx="1">
                  <c:v>1.3789147637001044E-2</c:v>
                </c:pt>
                <c:pt idx="2">
                  <c:v>0.12065686308096779</c:v>
                </c:pt>
                <c:pt idx="3">
                  <c:v>0.21614320116643021</c:v>
                </c:pt>
                <c:pt idx="4">
                  <c:v>0.2102071665308522</c:v>
                </c:pt>
                <c:pt idx="5">
                  <c:v>0.20649836266604618</c:v>
                </c:pt>
                <c:pt idx="6">
                  <c:v>0.22463935321401252</c:v>
                </c:pt>
                <c:pt idx="7">
                  <c:v>0.24759449813804973</c:v>
                </c:pt>
              </c:numCache>
            </c:numRef>
          </c:val>
          <c:smooth val="0"/>
        </c:ser>
        <c:ser>
          <c:idx val="3"/>
          <c:order val="3"/>
          <c:tx>
            <c:strRef>
              <c:f>'RENTOWNOŚĆ WYKRESY'!$A$14</c:f>
              <c:strCache>
                <c:ptCount val="1"/>
                <c:pt idx="0">
                  <c:v>Bank Pekao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WYKRESY'!$B$14:$I$14</c:f>
              <c:numCache>
                <c:formatCode>0.00%</c:formatCode>
                <c:ptCount val="8"/>
                <c:pt idx="0">
                  <c:v>0.291096286688662</c:v>
                </c:pt>
                <c:pt idx="1">
                  <c:v>0.24704775850179431</c:v>
                </c:pt>
                <c:pt idx="2">
                  <c:v>0.26655142664363257</c:v>
                </c:pt>
                <c:pt idx="3">
                  <c:v>0.26981246594377417</c:v>
                </c:pt>
                <c:pt idx="4">
                  <c:v>0.25761417151210791</c:v>
                </c:pt>
                <c:pt idx="5">
                  <c:v>0.28572895119004577</c:v>
                </c:pt>
                <c:pt idx="6">
                  <c:v>0.28914727562398579</c:v>
                </c:pt>
                <c:pt idx="7">
                  <c:v>0.27567393272245455</c:v>
                </c:pt>
              </c:numCache>
            </c:numRef>
          </c:val>
          <c:smooth val="0"/>
        </c:ser>
        <c:ser>
          <c:idx val="4"/>
          <c:order val="4"/>
          <c:tx>
            <c:strRef>
              <c:f>'RENTOWNOŚĆ WYKRESY'!$A$15</c:f>
              <c:strCache>
                <c:ptCount val="1"/>
                <c:pt idx="0">
                  <c:v>PKO BP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WYKRESY'!$B$15:$I$15</c:f>
              <c:numCache>
                <c:formatCode>0.00%</c:formatCode>
                <c:ptCount val="8"/>
                <c:pt idx="0">
                  <c:v>0.23755943190739628</c:v>
                </c:pt>
                <c:pt idx="1">
                  <c:v>0.19085349417803746</c:v>
                </c:pt>
                <c:pt idx="2">
                  <c:v>0.23233171310142559</c:v>
                </c:pt>
                <c:pt idx="3">
                  <c:v>0.25018017035772538</c:v>
                </c:pt>
                <c:pt idx="4">
                  <c:v>0.21180159191896308</c:v>
                </c:pt>
                <c:pt idx="5">
                  <c:v>0.22159645891029287</c:v>
                </c:pt>
                <c:pt idx="6">
                  <c:v>0.21905947020898306</c:v>
                </c:pt>
                <c:pt idx="7">
                  <c:v>0.19201638329820073</c:v>
                </c:pt>
              </c:numCache>
            </c:numRef>
          </c:val>
          <c:smooth val="0"/>
        </c:ser>
        <c:dLbls>
          <c:showLegendKey val="0"/>
          <c:showVal val="0"/>
          <c:showCatName val="0"/>
          <c:showSerName val="0"/>
          <c:showPercent val="0"/>
          <c:showBubbleSize val="0"/>
        </c:dLbls>
        <c:marker val="1"/>
        <c:smooth val="0"/>
        <c:axId val="282314752"/>
        <c:axId val="137129920"/>
      </c:lineChart>
      <c:catAx>
        <c:axId val="282314752"/>
        <c:scaling>
          <c:orientation val="minMax"/>
        </c:scaling>
        <c:delete val="0"/>
        <c:axPos val="b"/>
        <c:numFmt formatCode="General" sourceLinked="1"/>
        <c:majorTickMark val="none"/>
        <c:minorTickMark val="none"/>
        <c:tickLblPos val="nextTo"/>
        <c:crossAx val="137129920"/>
        <c:crosses val="autoZero"/>
        <c:auto val="1"/>
        <c:lblAlgn val="ctr"/>
        <c:lblOffset val="100"/>
        <c:noMultiLvlLbl val="0"/>
      </c:catAx>
      <c:valAx>
        <c:axId val="137129920"/>
        <c:scaling>
          <c:orientation val="minMax"/>
        </c:scaling>
        <c:delete val="0"/>
        <c:axPos val="l"/>
        <c:majorGridlines/>
        <c:numFmt formatCode="0.00%" sourceLinked="1"/>
        <c:majorTickMark val="none"/>
        <c:minorTickMark val="none"/>
        <c:tickLblPos val="nextTo"/>
        <c:crossAx val="28231475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'RENTOWNOŚĆ WYKRESY'!$A$34</c:f>
              <c:strCache>
                <c:ptCount val="1"/>
                <c:pt idx="0">
                  <c:v>BZ WBK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WYKRESY'!$B$34:$I$34</c:f>
              <c:numCache>
                <c:formatCode>0.00%</c:formatCode>
                <c:ptCount val="8"/>
                <c:pt idx="0">
                  <c:v>1.4800000000000001E-2</c:v>
                </c:pt>
                <c:pt idx="1">
                  <c:v>1.9E-2</c:v>
                </c:pt>
                <c:pt idx="2">
                  <c:v>1.7600000000000001E-2</c:v>
                </c:pt>
                <c:pt idx="3">
                  <c:v>1.9599999999999999E-2</c:v>
                </c:pt>
                <c:pt idx="4">
                  <c:v>2.3099999999999999E-2</c:v>
                </c:pt>
                <c:pt idx="5">
                  <c:v>1.5599999999999999E-2</c:v>
                </c:pt>
                <c:pt idx="6">
                  <c:v>1.6400000000000001E-2</c:v>
                </c:pt>
                <c:pt idx="7">
                  <c:v>1.4E-2</c:v>
                </c:pt>
              </c:numCache>
            </c:numRef>
          </c:val>
          <c:smooth val="0"/>
        </c:ser>
        <c:ser>
          <c:idx val="1"/>
          <c:order val="1"/>
          <c:tx>
            <c:strRef>
              <c:f>'RENTOWNOŚĆ WYKRESY'!$A$11</c:f>
              <c:strCache>
                <c:ptCount val="1"/>
                <c:pt idx="0">
                  <c:v>ING BSK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WYKRESY'!$B$38:$I$38</c:f>
              <c:numCache>
                <c:formatCode>0.00%</c:formatCode>
                <c:ptCount val="8"/>
                <c:pt idx="0">
                  <c:v>6.6E-3</c:v>
                </c:pt>
                <c:pt idx="1">
                  <c:v>9.7000000000000003E-3</c:v>
                </c:pt>
                <c:pt idx="2">
                  <c:v>1.09E-2</c:v>
                </c:pt>
                <c:pt idx="3">
                  <c:v>1.2999999999999999E-2</c:v>
                </c:pt>
                <c:pt idx="4">
                  <c:v>1.01E-2</c:v>
                </c:pt>
                <c:pt idx="5">
                  <c:v>1.0999999999999999E-2</c:v>
                </c:pt>
                <c:pt idx="6">
                  <c:v>1.0999999999999999E-2</c:v>
                </c:pt>
                <c:pt idx="7">
                  <c:v>1.0699999999999999E-2</c:v>
                </c:pt>
              </c:numCache>
            </c:numRef>
          </c:val>
          <c:smooth val="0"/>
        </c:ser>
        <c:ser>
          <c:idx val="2"/>
          <c:order val="2"/>
          <c:tx>
            <c:strRef>
              <c:f>'RENTOWNOŚĆ WYKRESY'!$A$12</c:f>
              <c:strCache>
                <c:ptCount val="1"/>
                <c:pt idx="0">
                  <c:v>Mbank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WYKRESY'!$B$39:$I$39</c:f>
              <c:numCache>
                <c:formatCode>0.00%</c:formatCode>
                <c:ptCount val="8"/>
                <c:pt idx="0">
                  <c:v>1.15E-2</c:v>
                </c:pt>
                <c:pt idx="1">
                  <c:v>8.0000000000000004E-4</c:v>
                </c:pt>
                <c:pt idx="2">
                  <c:v>6.1999999999999998E-3</c:v>
                </c:pt>
                <c:pt idx="3">
                  <c:v>1.14E-2</c:v>
                </c:pt>
                <c:pt idx="4">
                  <c:v>1.2200000000000001E-2</c:v>
                </c:pt>
                <c:pt idx="5">
                  <c:v>1.0699999999999999E-2</c:v>
                </c:pt>
                <c:pt idx="6">
                  <c:v>1.03E-2</c:v>
                </c:pt>
                <c:pt idx="7">
                  <c:v>1.0699999999999999E-2</c:v>
                </c:pt>
              </c:numCache>
            </c:numRef>
          </c:val>
          <c:smooth val="0"/>
        </c:ser>
        <c:ser>
          <c:idx val="3"/>
          <c:order val="3"/>
          <c:tx>
            <c:strRef>
              <c:f>'RENTOWNOŚĆ WYKRESY'!$A$41</c:f>
              <c:strCache>
                <c:ptCount val="1"/>
                <c:pt idx="0">
                  <c:v>Bank Pekao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WYKRESY'!$B$41:$I$41</c:f>
              <c:numCache>
                <c:formatCode>0.00%</c:formatCode>
                <c:ptCount val="8"/>
                <c:pt idx="0">
                  <c:v>2.6100000000000002E-2</c:v>
                </c:pt>
                <c:pt idx="1">
                  <c:v>1.9400000000000001E-2</c:v>
                </c:pt>
                <c:pt idx="2">
                  <c:v>1.9599999999999999E-2</c:v>
                </c:pt>
                <c:pt idx="3">
                  <c:v>1.9800000000000002E-2</c:v>
                </c:pt>
                <c:pt idx="4">
                  <c:v>1.9900000000000001E-2</c:v>
                </c:pt>
                <c:pt idx="5">
                  <c:v>1.7999999999999999E-2</c:v>
                </c:pt>
                <c:pt idx="6">
                  <c:v>1.6199999999999999E-2</c:v>
                </c:pt>
                <c:pt idx="7">
                  <c:v>1.38E-2</c:v>
                </c:pt>
              </c:numCache>
            </c:numRef>
          </c:val>
          <c:smooth val="0"/>
        </c:ser>
        <c:ser>
          <c:idx val="4"/>
          <c:order val="4"/>
          <c:tx>
            <c:strRef>
              <c:f>'RENTOWNOŚĆ WYKRESY'!$A$42</c:f>
              <c:strCache>
                <c:ptCount val="1"/>
                <c:pt idx="0">
                  <c:v>PKO BP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WYKRESY'!$B$42:$I$42</c:f>
              <c:numCache>
                <c:formatCode>0.00%</c:formatCode>
                <c:ptCount val="8"/>
                <c:pt idx="0">
                  <c:v>2.1999999999999999E-2</c:v>
                </c:pt>
                <c:pt idx="1">
                  <c:v>1.5800000000000002E-2</c:v>
                </c:pt>
                <c:pt idx="2">
                  <c:v>1.9800000000000002E-2</c:v>
                </c:pt>
                <c:pt idx="3">
                  <c:v>2.1000000000000001E-2</c:v>
                </c:pt>
                <c:pt idx="4">
                  <c:v>1.8800000000000001E-2</c:v>
                </c:pt>
                <c:pt idx="5">
                  <c:v>1.6500000000000001E-2</c:v>
                </c:pt>
                <c:pt idx="6">
                  <c:v>1.26E-2</c:v>
                </c:pt>
                <c:pt idx="7">
                  <c:v>9.7999999999999997E-3</c:v>
                </c:pt>
              </c:numCache>
            </c:numRef>
          </c:val>
          <c:smooth val="0"/>
        </c:ser>
        <c:dLbls>
          <c:showLegendKey val="0"/>
          <c:showVal val="0"/>
          <c:showCatName val="0"/>
          <c:showSerName val="0"/>
          <c:showPercent val="0"/>
          <c:showBubbleSize val="0"/>
        </c:dLbls>
        <c:marker val="1"/>
        <c:smooth val="0"/>
        <c:axId val="282315264"/>
        <c:axId val="137131648"/>
      </c:lineChart>
      <c:catAx>
        <c:axId val="282315264"/>
        <c:scaling>
          <c:orientation val="minMax"/>
        </c:scaling>
        <c:delete val="0"/>
        <c:axPos val="b"/>
        <c:numFmt formatCode="General" sourceLinked="1"/>
        <c:majorTickMark val="none"/>
        <c:minorTickMark val="none"/>
        <c:tickLblPos val="nextTo"/>
        <c:crossAx val="137131648"/>
        <c:crosses val="autoZero"/>
        <c:auto val="1"/>
        <c:lblAlgn val="ctr"/>
        <c:lblOffset val="100"/>
        <c:noMultiLvlLbl val="0"/>
      </c:catAx>
      <c:valAx>
        <c:axId val="137131648"/>
        <c:scaling>
          <c:orientation val="minMax"/>
        </c:scaling>
        <c:delete val="0"/>
        <c:axPos val="l"/>
        <c:majorGridlines/>
        <c:numFmt formatCode="0.00%" sourceLinked="1"/>
        <c:majorTickMark val="none"/>
        <c:minorTickMark val="none"/>
        <c:tickLblPos val="nextTo"/>
        <c:crossAx val="28231526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495240075188621"/>
          <c:y val="0.18224686199939294"/>
          <c:w val="0.87524561905009401"/>
          <c:h val="0.72681593372257036"/>
        </c:manualLayout>
      </c:layout>
      <c:lineChart>
        <c:grouping val="standard"/>
        <c:varyColors val="0"/>
        <c:ser>
          <c:idx val="0"/>
          <c:order val="0"/>
          <c:tx>
            <c:strRef>
              <c:f>'RENTOWNOŚĆ WYKRESY'!$A$34</c:f>
              <c:strCache>
                <c:ptCount val="1"/>
                <c:pt idx="0">
                  <c:v>BZ WBK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WYKRESY'!$B$60:$I$60</c:f>
              <c:numCache>
                <c:formatCode>0.00%</c:formatCode>
                <c:ptCount val="8"/>
                <c:pt idx="0">
                  <c:v>0.183</c:v>
                </c:pt>
                <c:pt idx="1">
                  <c:v>0.18</c:v>
                </c:pt>
                <c:pt idx="2">
                  <c:v>0.15010000000000001</c:v>
                </c:pt>
                <c:pt idx="3">
                  <c:v>0.16980000000000001</c:v>
                </c:pt>
                <c:pt idx="4">
                  <c:v>0.1651</c:v>
                </c:pt>
                <c:pt idx="5">
                  <c:v>0.1186</c:v>
                </c:pt>
                <c:pt idx="6">
                  <c:v>0.1166</c:v>
                </c:pt>
                <c:pt idx="7">
                  <c:v>9.3899999999999997E-2</c:v>
                </c:pt>
              </c:numCache>
            </c:numRef>
          </c:val>
          <c:smooth val="0"/>
        </c:ser>
        <c:ser>
          <c:idx val="1"/>
          <c:order val="1"/>
          <c:tx>
            <c:strRef>
              <c:f>'RENTOWNOŚĆ WYKRESY'!$A$11</c:f>
              <c:strCache>
                <c:ptCount val="1"/>
                <c:pt idx="0">
                  <c:v>ING BSK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WYKRESY'!$B$64:$I$64</c:f>
              <c:numCache>
                <c:formatCode>0.00%</c:formatCode>
                <c:ptCount val="8"/>
                <c:pt idx="0">
                  <c:v>0.112</c:v>
                </c:pt>
                <c:pt idx="1">
                  <c:v>0.1235</c:v>
                </c:pt>
                <c:pt idx="2">
                  <c:v>0.12909999999999999</c:v>
                </c:pt>
                <c:pt idx="3">
                  <c:v>0.14499999999999999</c:v>
                </c:pt>
                <c:pt idx="4">
                  <c:v>9.6199999999999994E-2</c:v>
                </c:pt>
                <c:pt idx="5">
                  <c:v>0.1105</c:v>
                </c:pt>
                <c:pt idx="6">
                  <c:v>0.1042</c:v>
                </c:pt>
                <c:pt idx="7">
                  <c:v>0.1087</c:v>
                </c:pt>
              </c:numCache>
            </c:numRef>
          </c:val>
          <c:smooth val="0"/>
        </c:ser>
        <c:ser>
          <c:idx val="2"/>
          <c:order val="2"/>
          <c:tx>
            <c:strRef>
              <c:f>'RENTOWNOŚĆ WYKRESY'!$A$12</c:f>
              <c:strCache>
                <c:ptCount val="1"/>
                <c:pt idx="0">
                  <c:v>Mbank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WYKRESY'!$B$65:$I$65</c:f>
              <c:numCache>
                <c:formatCode>0.00%</c:formatCode>
                <c:ptCount val="8"/>
                <c:pt idx="0">
                  <c:v>0.22889999999999999</c:v>
                </c:pt>
                <c:pt idx="1">
                  <c:v>1.4999999999999999E-2</c:v>
                </c:pt>
                <c:pt idx="2">
                  <c:v>7.9299999999999995E-2</c:v>
                </c:pt>
                <c:pt idx="3">
                  <c:v>0.1401</c:v>
                </c:pt>
                <c:pt idx="4">
                  <c:v>0.13159999999999999</c:v>
                </c:pt>
                <c:pt idx="5">
                  <c:v>0.1118</c:v>
                </c:pt>
                <c:pt idx="6">
                  <c:v>0.1143</c:v>
                </c:pt>
                <c:pt idx="7">
                  <c:v>0.10639999999999999</c:v>
                </c:pt>
              </c:numCache>
            </c:numRef>
          </c:val>
          <c:smooth val="0"/>
        </c:ser>
        <c:ser>
          <c:idx val="3"/>
          <c:order val="3"/>
          <c:tx>
            <c:strRef>
              <c:f>'RENTOWNOŚĆ WYKRESY'!$A$41</c:f>
              <c:strCache>
                <c:ptCount val="1"/>
                <c:pt idx="0">
                  <c:v>Bank Pekao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WYKRESY'!$B$67:$I$67</c:f>
              <c:numCache>
                <c:formatCode>0.00%</c:formatCode>
                <c:ptCount val="8"/>
                <c:pt idx="0">
                  <c:v>0.21490000000000001</c:v>
                </c:pt>
                <c:pt idx="1">
                  <c:v>0.13700000000000001</c:v>
                </c:pt>
                <c:pt idx="2">
                  <c:v>0.12870000000000001</c:v>
                </c:pt>
                <c:pt idx="3">
                  <c:v>0.13589999999999999</c:v>
                </c:pt>
                <c:pt idx="4">
                  <c:v>0.1288</c:v>
                </c:pt>
                <c:pt idx="5">
                  <c:v>0.1225</c:v>
                </c:pt>
                <c:pt idx="6">
                  <c:v>0.1138</c:v>
                </c:pt>
                <c:pt idx="7">
                  <c:v>0.10050000000000001</c:v>
                </c:pt>
              </c:numCache>
            </c:numRef>
          </c:val>
          <c:smooth val="0"/>
        </c:ser>
        <c:ser>
          <c:idx val="4"/>
          <c:order val="4"/>
          <c:tx>
            <c:strRef>
              <c:f>'RENTOWNOŚĆ WYKRESY'!$A$42</c:f>
              <c:strCache>
                <c:ptCount val="1"/>
                <c:pt idx="0">
                  <c:v>PKO BP S.A.</c:v>
                </c:pt>
              </c:strCache>
            </c:strRef>
          </c:tx>
          <c:cat>
            <c:numRef>
              <c:f>'RENTOWNOŚĆ WYKRESY'!$B$1:$I$1</c:f>
              <c:numCache>
                <c:formatCode>General</c:formatCode>
                <c:ptCount val="8"/>
                <c:pt idx="0">
                  <c:v>2008</c:v>
                </c:pt>
                <c:pt idx="1">
                  <c:v>2009</c:v>
                </c:pt>
                <c:pt idx="2">
                  <c:v>2010</c:v>
                </c:pt>
                <c:pt idx="3">
                  <c:v>2011</c:v>
                </c:pt>
                <c:pt idx="4">
                  <c:v>2012</c:v>
                </c:pt>
                <c:pt idx="5">
                  <c:v>2013</c:v>
                </c:pt>
                <c:pt idx="6">
                  <c:v>2014</c:v>
                </c:pt>
                <c:pt idx="7">
                  <c:v>2015</c:v>
                </c:pt>
              </c:numCache>
            </c:numRef>
          </c:cat>
          <c:val>
            <c:numRef>
              <c:f>'RENTOWNOŚĆ WYKRESY'!$B$68:$I$68</c:f>
              <c:numCache>
                <c:formatCode>0.00%</c:formatCode>
                <c:ptCount val="8"/>
                <c:pt idx="0">
                  <c:v>0.21299999999999999</c:v>
                </c:pt>
                <c:pt idx="1">
                  <c:v>0.1205</c:v>
                </c:pt>
                <c:pt idx="2">
                  <c:v>0.15620000000000001</c:v>
                </c:pt>
                <c:pt idx="3">
                  <c:v>0.1734</c:v>
                </c:pt>
                <c:pt idx="4">
                  <c:v>0.14699999999999999</c:v>
                </c:pt>
                <c:pt idx="5">
                  <c:v>0.1288</c:v>
                </c:pt>
                <c:pt idx="6">
                  <c:v>0.1116</c:v>
                </c:pt>
                <c:pt idx="7">
                  <c:v>8.5099999999999995E-2</c:v>
                </c:pt>
              </c:numCache>
            </c:numRef>
          </c:val>
          <c:smooth val="0"/>
        </c:ser>
        <c:dLbls>
          <c:showLegendKey val="0"/>
          <c:showVal val="0"/>
          <c:showCatName val="0"/>
          <c:showSerName val="0"/>
          <c:showPercent val="0"/>
          <c:showBubbleSize val="0"/>
        </c:dLbls>
        <c:marker val="1"/>
        <c:smooth val="0"/>
        <c:axId val="282315776"/>
        <c:axId val="137133376"/>
      </c:lineChart>
      <c:catAx>
        <c:axId val="282315776"/>
        <c:scaling>
          <c:orientation val="minMax"/>
        </c:scaling>
        <c:delete val="0"/>
        <c:axPos val="b"/>
        <c:numFmt formatCode="General" sourceLinked="1"/>
        <c:majorTickMark val="none"/>
        <c:minorTickMark val="none"/>
        <c:tickLblPos val="nextTo"/>
        <c:crossAx val="137133376"/>
        <c:crosses val="autoZero"/>
        <c:auto val="1"/>
        <c:lblAlgn val="ctr"/>
        <c:lblOffset val="100"/>
        <c:noMultiLvlLbl val="0"/>
      </c:catAx>
      <c:valAx>
        <c:axId val="137133376"/>
        <c:scaling>
          <c:orientation val="minMax"/>
        </c:scaling>
        <c:delete val="0"/>
        <c:axPos val="l"/>
        <c:numFmt formatCode="0.00%" sourceLinked="1"/>
        <c:majorTickMark val="none"/>
        <c:minorTickMark val="none"/>
        <c:tickLblPos val="nextTo"/>
        <c:crossAx val="28231577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DD3B-6912-4F9F-B133-1C5D8989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3771</Words>
  <Characters>22628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 Ninja</dc:creator>
  <cp:lastModifiedBy>DARO</cp:lastModifiedBy>
  <cp:revision>3</cp:revision>
  <cp:lastPrinted>2013-10-20T18:29:00Z</cp:lastPrinted>
  <dcterms:created xsi:type="dcterms:W3CDTF">2016-06-11T18:26:00Z</dcterms:created>
  <dcterms:modified xsi:type="dcterms:W3CDTF">2016-09-26T12:09:00Z</dcterms:modified>
</cp:coreProperties>
</file>