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F2" w:rsidRPr="009955F2" w:rsidRDefault="009955F2" w:rsidP="009955F2">
      <w:pPr>
        <w:rPr>
          <w:rFonts w:ascii="Times New Roman" w:hAnsi="Times New Roman" w:cs="Times New Roman"/>
          <w:sz w:val="20"/>
          <w:szCs w:val="20"/>
        </w:rPr>
      </w:pPr>
      <w:bookmarkStart w:id="0" w:name="_GoBack"/>
      <w:bookmarkEnd w:id="0"/>
      <w:r w:rsidRPr="009955F2">
        <w:rPr>
          <w:rFonts w:ascii="Times New Roman" w:hAnsi="Times New Roman" w:cs="Times New Roman"/>
          <w:sz w:val="20"/>
          <w:szCs w:val="20"/>
        </w:rPr>
        <w:t>Andrzej Buszko dr hab. prof. UWM dr h.c. kierownik katedry Finansów i Bankowości. Wydział Nauk Ekonomicznych. Uniwersytet Warmińsko-Mazurski w Olsztynie. e-</w:t>
      </w:r>
      <w:r>
        <w:rPr>
          <w:rFonts w:ascii="Times New Roman" w:hAnsi="Times New Roman" w:cs="Times New Roman"/>
          <w:sz w:val="20"/>
          <w:szCs w:val="20"/>
        </w:rPr>
        <w:t xml:space="preserve">mail: </w:t>
      </w:r>
      <w:r w:rsidRPr="009955F2">
        <w:rPr>
          <w:rFonts w:ascii="Times New Roman" w:hAnsi="Times New Roman" w:cs="Times New Roman"/>
          <w:sz w:val="20"/>
          <w:szCs w:val="20"/>
        </w:rPr>
        <w:t>buszko@uwm.edu.pl</w:t>
      </w:r>
    </w:p>
    <w:p w:rsidR="009955F2" w:rsidRDefault="009955F2" w:rsidP="009955F2">
      <w:pPr>
        <w:rPr>
          <w:rFonts w:ascii="Times New Roman" w:hAnsi="Times New Roman" w:cs="Times New Roman"/>
          <w:sz w:val="28"/>
          <w:szCs w:val="28"/>
        </w:rPr>
      </w:pPr>
    </w:p>
    <w:p w:rsidR="00E74CAA" w:rsidRPr="009955F2" w:rsidRDefault="00A22FD1" w:rsidP="009955F2">
      <w:pPr>
        <w:jc w:val="center"/>
        <w:rPr>
          <w:rFonts w:ascii="Times New Roman" w:hAnsi="Times New Roman" w:cs="Times New Roman"/>
          <w:sz w:val="28"/>
          <w:szCs w:val="28"/>
        </w:rPr>
      </w:pPr>
      <w:r>
        <w:rPr>
          <w:rFonts w:ascii="Times New Roman" w:hAnsi="Times New Roman" w:cs="Times New Roman"/>
          <w:sz w:val="28"/>
          <w:szCs w:val="28"/>
        </w:rPr>
        <w:t>Poziom</w:t>
      </w:r>
      <w:r w:rsidR="009955F2" w:rsidRPr="009955F2">
        <w:rPr>
          <w:rFonts w:ascii="Times New Roman" w:hAnsi="Times New Roman" w:cs="Times New Roman"/>
          <w:sz w:val="28"/>
          <w:szCs w:val="28"/>
        </w:rPr>
        <w:t xml:space="preserve"> szarej strefy  w Polsce w kontekście luki podatkowej</w:t>
      </w:r>
    </w:p>
    <w:p w:rsidR="009955F2" w:rsidRPr="009955F2" w:rsidRDefault="00A22FD1" w:rsidP="009955F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The level of </w:t>
      </w:r>
      <w:r w:rsidR="009955F2" w:rsidRPr="009955F2">
        <w:rPr>
          <w:rFonts w:ascii="Times New Roman" w:hAnsi="Times New Roman" w:cs="Times New Roman"/>
          <w:sz w:val="20"/>
          <w:szCs w:val="20"/>
          <w:lang w:val="en-US"/>
        </w:rPr>
        <w:t xml:space="preserve"> shadow economy </w:t>
      </w:r>
      <w:r w:rsidR="006A0BF5" w:rsidRPr="009955F2">
        <w:rPr>
          <w:rFonts w:ascii="Times New Roman" w:hAnsi="Times New Roman" w:cs="Times New Roman"/>
          <w:sz w:val="20"/>
          <w:szCs w:val="20"/>
          <w:lang w:val="en-US"/>
        </w:rPr>
        <w:t xml:space="preserve"> </w:t>
      </w:r>
      <w:r w:rsidR="009955F2" w:rsidRPr="009955F2">
        <w:rPr>
          <w:rFonts w:ascii="Times New Roman" w:hAnsi="Times New Roman" w:cs="Times New Roman"/>
          <w:sz w:val="20"/>
          <w:szCs w:val="20"/>
          <w:lang w:val="en-US"/>
        </w:rPr>
        <w:t>in Poland in the context of the taxation gap</w:t>
      </w:r>
    </w:p>
    <w:p w:rsidR="009955F2" w:rsidRPr="006A0BF5" w:rsidRDefault="009955F2">
      <w:pPr>
        <w:rPr>
          <w:rFonts w:ascii="Times New Roman" w:hAnsi="Times New Roman" w:cs="Times New Roman"/>
          <w:sz w:val="20"/>
          <w:szCs w:val="20"/>
          <w:lang w:val="en-US"/>
        </w:rPr>
      </w:pPr>
    </w:p>
    <w:p w:rsidR="009955F2" w:rsidRPr="000E75A8" w:rsidRDefault="009955F2">
      <w:pPr>
        <w:rPr>
          <w:rFonts w:ascii="Times New Roman" w:hAnsi="Times New Roman" w:cs="Times New Roman"/>
          <w:sz w:val="20"/>
          <w:szCs w:val="20"/>
          <w:lang w:val="en-US"/>
        </w:rPr>
      </w:pPr>
    </w:p>
    <w:p w:rsidR="00A22FD1" w:rsidRDefault="00A22FD1" w:rsidP="000E75A8">
      <w:pPr>
        <w:rPr>
          <w:rFonts w:ascii="Times New Roman" w:hAnsi="Times New Roman" w:cs="Times New Roman"/>
          <w:sz w:val="20"/>
          <w:szCs w:val="20"/>
          <w:lang w:val="en-US"/>
        </w:rPr>
      </w:pPr>
    </w:p>
    <w:p w:rsidR="000E75A8" w:rsidRPr="00171FF9" w:rsidRDefault="000E75A8">
      <w:pPr>
        <w:rPr>
          <w:rFonts w:ascii="Times New Roman" w:hAnsi="Times New Roman" w:cs="Times New Roman"/>
          <w:sz w:val="20"/>
          <w:szCs w:val="20"/>
        </w:rPr>
      </w:pPr>
      <w:r w:rsidRPr="00171FF9">
        <w:rPr>
          <w:rFonts w:ascii="Times New Roman" w:hAnsi="Times New Roman" w:cs="Times New Roman"/>
          <w:sz w:val="20"/>
          <w:szCs w:val="20"/>
        </w:rPr>
        <w:t xml:space="preserve">JEL: 017, </w:t>
      </w:r>
      <w:r w:rsidR="00171FF9">
        <w:rPr>
          <w:rFonts w:ascii="Times New Roman" w:hAnsi="Times New Roman" w:cs="Times New Roman"/>
          <w:sz w:val="20"/>
          <w:szCs w:val="20"/>
        </w:rPr>
        <w:t xml:space="preserve">JEL:E 62, </w:t>
      </w:r>
      <w:r w:rsidRPr="00171FF9">
        <w:rPr>
          <w:rFonts w:ascii="Times New Roman" w:hAnsi="Times New Roman" w:cs="Times New Roman"/>
          <w:sz w:val="20"/>
          <w:szCs w:val="20"/>
        </w:rPr>
        <w:t>JEL: M14, JEL 0:010</w:t>
      </w:r>
    </w:p>
    <w:p w:rsidR="000E75A8" w:rsidRPr="00171FF9" w:rsidRDefault="000E75A8">
      <w:pPr>
        <w:rPr>
          <w:rFonts w:ascii="Times New Roman" w:hAnsi="Times New Roman" w:cs="Times New Roman"/>
          <w:sz w:val="28"/>
          <w:szCs w:val="28"/>
        </w:rPr>
      </w:pPr>
    </w:p>
    <w:p w:rsidR="001C6278" w:rsidRPr="00711943" w:rsidRDefault="001C6278">
      <w:pPr>
        <w:rPr>
          <w:rFonts w:ascii="Times New Roman" w:hAnsi="Times New Roman" w:cs="Times New Roman"/>
          <w:sz w:val="28"/>
          <w:szCs w:val="28"/>
        </w:rPr>
      </w:pPr>
      <w:r w:rsidRPr="00711943">
        <w:rPr>
          <w:rFonts w:ascii="Times New Roman" w:hAnsi="Times New Roman" w:cs="Times New Roman"/>
          <w:sz w:val="28"/>
          <w:szCs w:val="28"/>
        </w:rPr>
        <w:t>Wstęp</w:t>
      </w:r>
    </w:p>
    <w:p w:rsidR="001C6278" w:rsidRPr="009D1FCA" w:rsidRDefault="001C6278">
      <w:pPr>
        <w:rPr>
          <w:rFonts w:ascii="Times New Roman" w:hAnsi="Times New Roman" w:cs="Times New Roman"/>
          <w:sz w:val="24"/>
          <w:szCs w:val="24"/>
        </w:rPr>
      </w:pPr>
    </w:p>
    <w:p w:rsidR="005329C8" w:rsidRDefault="001C6278" w:rsidP="00EF5662">
      <w:pPr>
        <w:spacing w:line="360" w:lineRule="auto"/>
        <w:ind w:firstLine="708"/>
        <w:rPr>
          <w:rFonts w:ascii="Times New Roman" w:hAnsi="Times New Roman" w:cs="Times New Roman"/>
          <w:sz w:val="24"/>
          <w:szCs w:val="24"/>
        </w:rPr>
      </w:pPr>
      <w:r w:rsidRPr="001C6278">
        <w:rPr>
          <w:rFonts w:ascii="Times New Roman" w:hAnsi="Times New Roman" w:cs="Times New Roman"/>
          <w:sz w:val="24"/>
          <w:szCs w:val="24"/>
        </w:rPr>
        <w:t xml:space="preserve">Szara strefa jest bardzo ważną kategorią ekonomiczną. </w:t>
      </w:r>
      <w:r>
        <w:rPr>
          <w:rFonts w:ascii="Times New Roman" w:hAnsi="Times New Roman" w:cs="Times New Roman"/>
          <w:sz w:val="24"/>
          <w:szCs w:val="24"/>
        </w:rPr>
        <w:t xml:space="preserve"> Determinuje bowiem zachowan</w:t>
      </w:r>
      <w:r w:rsidR="005329C8">
        <w:rPr>
          <w:rFonts w:ascii="Times New Roman" w:hAnsi="Times New Roman" w:cs="Times New Roman"/>
          <w:sz w:val="24"/>
          <w:szCs w:val="24"/>
        </w:rPr>
        <w:t>ia podmiotów gospodarczych i w sposób zasadniczy rzutuje</w:t>
      </w:r>
      <w:r>
        <w:rPr>
          <w:rFonts w:ascii="Times New Roman" w:hAnsi="Times New Roman" w:cs="Times New Roman"/>
          <w:sz w:val="24"/>
          <w:szCs w:val="24"/>
        </w:rPr>
        <w:t xml:space="preserve"> na ogólną sytuacją makroekonomiczną każdego kraju (Buszko, 2017</w:t>
      </w:r>
      <w:r w:rsidR="00396ECD">
        <w:rPr>
          <w:rFonts w:ascii="Times New Roman" w:hAnsi="Times New Roman" w:cs="Times New Roman"/>
          <w:sz w:val="24"/>
          <w:szCs w:val="24"/>
        </w:rPr>
        <w:t xml:space="preserve"> s.22 </w:t>
      </w:r>
      <w:r>
        <w:rPr>
          <w:rFonts w:ascii="Times New Roman" w:hAnsi="Times New Roman" w:cs="Times New Roman"/>
          <w:sz w:val="24"/>
          <w:szCs w:val="24"/>
        </w:rPr>
        <w:t xml:space="preserve">). Szara strefa występuje w </w:t>
      </w:r>
      <w:r w:rsidR="005329C8">
        <w:rPr>
          <w:rFonts w:ascii="Times New Roman" w:hAnsi="Times New Roman" w:cs="Times New Roman"/>
          <w:sz w:val="24"/>
          <w:szCs w:val="24"/>
        </w:rPr>
        <w:t>dowolnym</w:t>
      </w:r>
      <w:r>
        <w:rPr>
          <w:rFonts w:ascii="Times New Roman" w:hAnsi="Times New Roman" w:cs="Times New Roman"/>
          <w:sz w:val="24"/>
          <w:szCs w:val="24"/>
        </w:rPr>
        <w:t xml:space="preserve"> kraju, różni się jedyni</w:t>
      </w:r>
      <w:r w:rsidR="005329C8">
        <w:rPr>
          <w:rFonts w:ascii="Times New Roman" w:hAnsi="Times New Roman" w:cs="Times New Roman"/>
          <w:sz w:val="24"/>
          <w:szCs w:val="24"/>
        </w:rPr>
        <w:t>e skalą i kategorią</w:t>
      </w:r>
      <w:r>
        <w:rPr>
          <w:rFonts w:ascii="Times New Roman" w:hAnsi="Times New Roman" w:cs="Times New Roman"/>
          <w:sz w:val="24"/>
          <w:szCs w:val="24"/>
        </w:rPr>
        <w:t>.  Stale ewoluuje, zmienia swoje uwarunkowania oraz różny jest jej wpływ na gospodarkę. W krajach rozwiniętych gospodarczo, o ugruntowanej demokracji poziom szarej strefy oscyluje w granicach 4-6% w relacji do PKB, w krajach słabo rozwiniętych poziom szarej strefy okazuje się dużo większy i waha</w:t>
      </w:r>
      <w:r w:rsidR="005329C8">
        <w:rPr>
          <w:rFonts w:ascii="Times New Roman" w:hAnsi="Times New Roman" w:cs="Times New Roman"/>
          <w:sz w:val="24"/>
          <w:szCs w:val="24"/>
        </w:rPr>
        <w:t xml:space="preserve"> się w przedziale 15-70</w:t>
      </w:r>
      <w:r>
        <w:rPr>
          <w:rFonts w:ascii="Times New Roman" w:hAnsi="Times New Roman" w:cs="Times New Roman"/>
          <w:sz w:val="24"/>
          <w:szCs w:val="24"/>
        </w:rPr>
        <w:t xml:space="preserve">% PKB, w państwach przechodzących transformację jej </w:t>
      </w:r>
      <w:r w:rsidR="00593108">
        <w:rPr>
          <w:rFonts w:ascii="Times New Roman" w:hAnsi="Times New Roman" w:cs="Times New Roman"/>
          <w:sz w:val="24"/>
          <w:szCs w:val="24"/>
        </w:rPr>
        <w:t>poziom oscyluje w granicach 20-3</w:t>
      </w:r>
      <w:r>
        <w:rPr>
          <w:rFonts w:ascii="Times New Roman" w:hAnsi="Times New Roman" w:cs="Times New Roman"/>
          <w:sz w:val="24"/>
          <w:szCs w:val="24"/>
        </w:rPr>
        <w:t xml:space="preserve">5% PKB </w:t>
      </w:r>
      <w:r w:rsidR="005329C8">
        <w:rPr>
          <w:rFonts w:ascii="Times New Roman" w:hAnsi="Times New Roman" w:cs="Times New Roman"/>
          <w:sz w:val="24"/>
          <w:szCs w:val="24"/>
        </w:rPr>
        <w:t>(</w:t>
      </w:r>
      <w:proofErr w:type="spellStart"/>
      <w:r w:rsidR="005329C8" w:rsidRPr="005329C8">
        <w:rPr>
          <w:rFonts w:ascii="Times New Roman" w:hAnsi="Times New Roman" w:cs="Times New Roman"/>
          <w:sz w:val="24"/>
          <w:szCs w:val="24"/>
        </w:rPr>
        <w:t>Gomis-Porqueras</w:t>
      </w:r>
      <w:proofErr w:type="spellEnd"/>
      <w:r w:rsidR="005329C8">
        <w:rPr>
          <w:rFonts w:ascii="Times New Roman" w:hAnsi="Times New Roman" w:cs="Times New Roman"/>
          <w:sz w:val="24"/>
          <w:szCs w:val="24"/>
        </w:rPr>
        <w:t>,</w:t>
      </w:r>
      <w:r w:rsidR="005329C8" w:rsidRPr="005329C8">
        <w:t xml:space="preserve"> </w:t>
      </w:r>
      <w:proofErr w:type="spellStart"/>
      <w:r w:rsidR="005329C8" w:rsidRPr="005329C8">
        <w:rPr>
          <w:rFonts w:ascii="Times New Roman" w:hAnsi="Times New Roman" w:cs="Times New Roman"/>
          <w:sz w:val="24"/>
          <w:szCs w:val="24"/>
        </w:rPr>
        <w:t>Peralta</w:t>
      </w:r>
      <w:proofErr w:type="spellEnd"/>
      <w:r w:rsidR="005329C8" w:rsidRPr="005329C8">
        <w:rPr>
          <w:rFonts w:ascii="Times New Roman" w:hAnsi="Times New Roman" w:cs="Times New Roman"/>
          <w:sz w:val="24"/>
          <w:szCs w:val="24"/>
        </w:rPr>
        <w:t>-Alva</w:t>
      </w:r>
      <w:r w:rsidR="005329C8">
        <w:rPr>
          <w:rFonts w:ascii="Times New Roman" w:hAnsi="Times New Roman" w:cs="Times New Roman"/>
          <w:sz w:val="24"/>
          <w:szCs w:val="24"/>
        </w:rPr>
        <w:t>,</w:t>
      </w:r>
      <w:r w:rsidR="005329C8" w:rsidRPr="005329C8">
        <w:t xml:space="preserve"> </w:t>
      </w:r>
      <w:proofErr w:type="spellStart"/>
      <w:r w:rsidR="005329C8" w:rsidRPr="005329C8">
        <w:rPr>
          <w:rFonts w:ascii="Times New Roman" w:hAnsi="Times New Roman" w:cs="Times New Roman"/>
          <w:sz w:val="24"/>
          <w:szCs w:val="24"/>
        </w:rPr>
        <w:t>Waller</w:t>
      </w:r>
      <w:proofErr w:type="spellEnd"/>
      <w:r w:rsidR="005329C8">
        <w:rPr>
          <w:rFonts w:ascii="Times New Roman" w:hAnsi="Times New Roman" w:cs="Times New Roman"/>
          <w:sz w:val="24"/>
          <w:szCs w:val="24"/>
        </w:rPr>
        <w:t>, 2011</w:t>
      </w:r>
      <w:r w:rsidR="00396ECD">
        <w:rPr>
          <w:rFonts w:ascii="Times New Roman" w:hAnsi="Times New Roman" w:cs="Times New Roman"/>
          <w:sz w:val="24"/>
          <w:szCs w:val="24"/>
        </w:rPr>
        <w:t xml:space="preserve"> s.11</w:t>
      </w:r>
      <w:r w:rsidR="005329C8">
        <w:rPr>
          <w:rFonts w:ascii="Times New Roman" w:hAnsi="Times New Roman" w:cs="Times New Roman"/>
          <w:sz w:val="24"/>
          <w:szCs w:val="24"/>
        </w:rPr>
        <w:t>).</w:t>
      </w:r>
      <w:r w:rsidR="00B21AB7">
        <w:rPr>
          <w:rFonts w:ascii="Times New Roman" w:hAnsi="Times New Roman" w:cs="Times New Roman"/>
          <w:sz w:val="24"/>
          <w:szCs w:val="24"/>
        </w:rPr>
        <w:t xml:space="preserve"> Biorąc pod uwagę powyższe dane, należy stwierdzić, że  każdym przypadku szara strefa jest ważnym zjawiskiem, które należy uwzględnić w kontekście zachodzących procesów społeczno-gospodarczych. </w:t>
      </w:r>
      <w:r w:rsidR="006A0BF5">
        <w:rPr>
          <w:rFonts w:ascii="Times New Roman" w:hAnsi="Times New Roman" w:cs="Times New Roman"/>
          <w:sz w:val="24"/>
          <w:szCs w:val="24"/>
        </w:rPr>
        <w:t xml:space="preserve">Pewnym problemem w badaniach szarej strefy jest brak ujednoliconej definicji szarej strefy. Odmienność podejścia definicyjnego rodzi różnorodne kategorie ekonomiczne. Tym samym odnosząc się do odrębności definicyjnej, poszczególni autorzy mogą uzyskiwać inne wyniki (badać będą bowiem odmienne zjawiska – chociaż dotyczące tego samego problemu – szarej strefy) i tym samym </w:t>
      </w:r>
      <w:r w:rsidR="009D1FCA">
        <w:rPr>
          <w:rFonts w:ascii="Times New Roman" w:hAnsi="Times New Roman" w:cs="Times New Roman"/>
          <w:sz w:val="24"/>
          <w:szCs w:val="24"/>
        </w:rPr>
        <w:t xml:space="preserve">w konsekwencji </w:t>
      </w:r>
      <w:r w:rsidR="006A0BF5">
        <w:rPr>
          <w:rFonts w:ascii="Times New Roman" w:hAnsi="Times New Roman" w:cs="Times New Roman"/>
          <w:sz w:val="24"/>
          <w:szCs w:val="24"/>
        </w:rPr>
        <w:t xml:space="preserve">mogą </w:t>
      </w:r>
      <w:r w:rsidR="00593108">
        <w:rPr>
          <w:rFonts w:ascii="Times New Roman" w:hAnsi="Times New Roman" w:cs="Times New Roman"/>
          <w:sz w:val="24"/>
          <w:szCs w:val="24"/>
        </w:rPr>
        <w:t xml:space="preserve">nawet </w:t>
      </w:r>
      <w:r w:rsidR="006A0BF5">
        <w:rPr>
          <w:rFonts w:ascii="Times New Roman" w:hAnsi="Times New Roman" w:cs="Times New Roman"/>
          <w:sz w:val="24"/>
          <w:szCs w:val="24"/>
        </w:rPr>
        <w:t>dochodzić do sprzecznych wniosków.</w:t>
      </w:r>
      <w:r w:rsidR="00593108">
        <w:rPr>
          <w:rFonts w:ascii="Times New Roman" w:hAnsi="Times New Roman" w:cs="Times New Roman"/>
          <w:sz w:val="24"/>
          <w:szCs w:val="24"/>
        </w:rPr>
        <w:t xml:space="preserve"> Tak się dzieje, chociażby przy ocenie efektów szarej strefy, próbie odpowiedzi na pytanie – czy jest ona korzystna czy też nie? Na problem braku jednoznacznej de</w:t>
      </w:r>
      <w:r w:rsidR="003D2D14">
        <w:rPr>
          <w:rFonts w:ascii="Times New Roman" w:hAnsi="Times New Roman" w:cs="Times New Roman"/>
          <w:sz w:val="24"/>
          <w:szCs w:val="24"/>
        </w:rPr>
        <w:t xml:space="preserve">finicji szarej strefy zwracali m.in. uwagę </w:t>
      </w:r>
      <w:r w:rsidR="002B6A16">
        <w:rPr>
          <w:rFonts w:ascii="Times New Roman" w:hAnsi="Times New Roman" w:cs="Times New Roman"/>
          <w:sz w:val="24"/>
          <w:szCs w:val="24"/>
        </w:rPr>
        <w:t xml:space="preserve"> </w:t>
      </w:r>
      <w:r w:rsidR="003D2D14">
        <w:rPr>
          <w:rFonts w:ascii="Times New Roman" w:hAnsi="Times New Roman" w:cs="Times New Roman"/>
          <w:sz w:val="24"/>
          <w:szCs w:val="24"/>
        </w:rPr>
        <w:t>Schneider (2005</w:t>
      </w:r>
      <w:r w:rsidR="00396ECD">
        <w:rPr>
          <w:rFonts w:ascii="Times New Roman" w:hAnsi="Times New Roman" w:cs="Times New Roman"/>
          <w:sz w:val="24"/>
          <w:szCs w:val="24"/>
        </w:rPr>
        <w:t xml:space="preserve"> s.1</w:t>
      </w:r>
      <w:r w:rsidR="003D2D14">
        <w:rPr>
          <w:rFonts w:ascii="Times New Roman" w:hAnsi="Times New Roman" w:cs="Times New Roman"/>
          <w:sz w:val="24"/>
          <w:szCs w:val="24"/>
        </w:rPr>
        <w:t xml:space="preserve">), </w:t>
      </w:r>
      <w:proofErr w:type="spellStart"/>
      <w:r w:rsidR="003D2D14">
        <w:rPr>
          <w:rFonts w:ascii="Times New Roman" w:hAnsi="Times New Roman" w:cs="Times New Roman"/>
          <w:sz w:val="24"/>
          <w:szCs w:val="24"/>
        </w:rPr>
        <w:t>Enste</w:t>
      </w:r>
      <w:proofErr w:type="spellEnd"/>
      <w:r w:rsidR="003D2D14">
        <w:rPr>
          <w:rFonts w:ascii="Times New Roman" w:hAnsi="Times New Roman" w:cs="Times New Roman"/>
          <w:sz w:val="24"/>
          <w:szCs w:val="24"/>
        </w:rPr>
        <w:t xml:space="preserve"> (2000</w:t>
      </w:r>
      <w:r w:rsidR="00396ECD">
        <w:rPr>
          <w:rFonts w:ascii="Times New Roman" w:hAnsi="Times New Roman" w:cs="Times New Roman"/>
          <w:sz w:val="24"/>
          <w:szCs w:val="24"/>
        </w:rPr>
        <w:t xml:space="preserve"> s.3</w:t>
      </w:r>
      <w:r w:rsidR="003D2D14">
        <w:rPr>
          <w:rFonts w:ascii="Times New Roman" w:hAnsi="Times New Roman" w:cs="Times New Roman"/>
          <w:sz w:val="24"/>
          <w:szCs w:val="24"/>
        </w:rPr>
        <w:t xml:space="preserve">), </w:t>
      </w:r>
      <w:proofErr w:type="spellStart"/>
      <w:r w:rsidR="003D2D14">
        <w:rPr>
          <w:rFonts w:ascii="Times New Roman" w:hAnsi="Times New Roman" w:cs="Times New Roman"/>
          <w:sz w:val="24"/>
          <w:szCs w:val="24"/>
        </w:rPr>
        <w:t>Feige</w:t>
      </w:r>
      <w:proofErr w:type="spellEnd"/>
      <w:r w:rsidR="003D2D14">
        <w:rPr>
          <w:rFonts w:ascii="Times New Roman" w:hAnsi="Times New Roman" w:cs="Times New Roman"/>
          <w:sz w:val="24"/>
          <w:szCs w:val="24"/>
        </w:rPr>
        <w:t xml:space="preserve"> (1990</w:t>
      </w:r>
      <w:r w:rsidR="00396ECD">
        <w:rPr>
          <w:rFonts w:ascii="Times New Roman" w:hAnsi="Times New Roman" w:cs="Times New Roman"/>
          <w:sz w:val="24"/>
          <w:szCs w:val="24"/>
        </w:rPr>
        <w:t xml:space="preserve"> s.2</w:t>
      </w:r>
      <w:r w:rsidR="003D2D14">
        <w:rPr>
          <w:rFonts w:ascii="Times New Roman" w:hAnsi="Times New Roman" w:cs="Times New Roman"/>
          <w:sz w:val="24"/>
          <w:szCs w:val="24"/>
        </w:rPr>
        <w:t>). Cytując Cichowskiego, który przedstawia następujące kategorie szarej strefy wyodrębnione w oparciu o  kryterium łamania reguł działalności gospodarczej :</w:t>
      </w:r>
    </w:p>
    <w:p w:rsidR="002B6A16" w:rsidRDefault="002B6A16" w:rsidP="00EF5662">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Gospodarka nielegalna- składa się z działań łamiących przepisy prawne,</w:t>
      </w:r>
    </w:p>
    <w:p w:rsidR="002B6A16" w:rsidRDefault="002B6A16" w:rsidP="00EF5662">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Gospodarka niezgłoszona – przynosząca dochód osobom, które nie zgłaszają swojej działalności</w:t>
      </w:r>
      <w:r w:rsidR="009D1FCA">
        <w:rPr>
          <w:rFonts w:ascii="Times New Roman" w:hAnsi="Times New Roman" w:cs="Times New Roman"/>
          <w:sz w:val="24"/>
          <w:szCs w:val="24"/>
        </w:rPr>
        <w:t>,</w:t>
      </w:r>
    </w:p>
    <w:p w:rsidR="002B6A16" w:rsidRDefault="002B6A16" w:rsidP="00EF5662">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Gospodarka niezarejestrowana – działalność nie zgłoszona instytucjom statystycznym,</w:t>
      </w:r>
    </w:p>
    <w:p w:rsidR="002B6A16" w:rsidRDefault="002B6A16" w:rsidP="00EF5662">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Gospodarka nieformalna - składa się z działań</w:t>
      </w:r>
      <w:r w:rsidRPr="002B6A16">
        <w:rPr>
          <w:rFonts w:ascii="Times New Roman" w:hAnsi="Times New Roman" w:cs="Times New Roman"/>
          <w:sz w:val="24"/>
          <w:szCs w:val="24"/>
        </w:rPr>
        <w:t xml:space="preserve"> gospodarczyc</w:t>
      </w:r>
      <w:r>
        <w:rPr>
          <w:rFonts w:ascii="Times New Roman" w:hAnsi="Times New Roman" w:cs="Times New Roman"/>
          <w:sz w:val="24"/>
          <w:szCs w:val="24"/>
        </w:rPr>
        <w:t>h, które z jednej strony unikają</w:t>
      </w:r>
      <w:r w:rsidRPr="002B6A16">
        <w:rPr>
          <w:rFonts w:ascii="Times New Roman" w:hAnsi="Times New Roman" w:cs="Times New Roman"/>
          <w:sz w:val="24"/>
          <w:szCs w:val="24"/>
        </w:rPr>
        <w:t xml:space="preserve"> kosztów w</w:t>
      </w:r>
      <w:r>
        <w:rPr>
          <w:rFonts w:ascii="Times New Roman" w:hAnsi="Times New Roman" w:cs="Times New Roman"/>
          <w:sz w:val="24"/>
          <w:szCs w:val="24"/>
        </w:rPr>
        <w:t>ynikają</w:t>
      </w:r>
      <w:r w:rsidRPr="002B6A16">
        <w:rPr>
          <w:rFonts w:ascii="Times New Roman" w:hAnsi="Times New Roman" w:cs="Times New Roman"/>
          <w:sz w:val="24"/>
          <w:szCs w:val="24"/>
        </w:rPr>
        <w:t>cych z wszelkich regu</w:t>
      </w:r>
      <w:r>
        <w:rPr>
          <w:rFonts w:ascii="Times New Roman" w:hAnsi="Times New Roman" w:cs="Times New Roman"/>
          <w:sz w:val="24"/>
          <w:szCs w:val="24"/>
        </w:rPr>
        <w:t>lacji, a z drugiej strony nie są objęte korzyściami wynikającymi z powyższych reguł (Cichocki, 2006</w:t>
      </w:r>
      <w:r w:rsidR="00396ECD">
        <w:rPr>
          <w:rFonts w:ascii="Times New Roman" w:hAnsi="Times New Roman" w:cs="Times New Roman"/>
          <w:sz w:val="24"/>
          <w:szCs w:val="24"/>
        </w:rPr>
        <w:t xml:space="preserve"> s.12</w:t>
      </w:r>
      <w:r>
        <w:rPr>
          <w:rFonts w:ascii="Times New Roman" w:hAnsi="Times New Roman" w:cs="Times New Roman"/>
          <w:sz w:val="24"/>
          <w:szCs w:val="24"/>
        </w:rPr>
        <w:t>).</w:t>
      </w:r>
    </w:p>
    <w:p w:rsidR="0050284F" w:rsidRDefault="00F03BF7" w:rsidP="00EF5662">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GUS w Polsce dzieli szarą strefę na dwie kategorie. Pierwsza dotyczy działalności nielegalnej, która nie jest zaliczana do wielkości PKB, oraz ukrytą, która jest co prawda legalna, ale nie jest deklarowana i również nie jest brana pod </w:t>
      </w:r>
      <w:r w:rsidR="009D1FCA">
        <w:rPr>
          <w:rFonts w:ascii="Times New Roman" w:hAnsi="Times New Roman" w:cs="Times New Roman"/>
          <w:sz w:val="24"/>
          <w:szCs w:val="24"/>
        </w:rPr>
        <w:t>uwagę w tworzeniu PKB (</w:t>
      </w:r>
      <w:proofErr w:type="spellStart"/>
      <w:r w:rsidR="009D1FCA">
        <w:rPr>
          <w:rFonts w:ascii="Times New Roman" w:hAnsi="Times New Roman" w:cs="Times New Roman"/>
          <w:sz w:val="24"/>
          <w:szCs w:val="24"/>
        </w:rPr>
        <w:t>Jakóbiak</w:t>
      </w:r>
      <w:proofErr w:type="spellEnd"/>
      <w:r>
        <w:rPr>
          <w:rFonts w:ascii="Times New Roman" w:hAnsi="Times New Roman" w:cs="Times New Roman"/>
          <w:sz w:val="24"/>
          <w:szCs w:val="24"/>
        </w:rPr>
        <w:t>, Jeznach, 1999</w:t>
      </w:r>
      <w:r w:rsidR="00396ECD">
        <w:rPr>
          <w:rFonts w:ascii="Times New Roman" w:hAnsi="Times New Roman" w:cs="Times New Roman"/>
          <w:sz w:val="24"/>
          <w:szCs w:val="24"/>
        </w:rPr>
        <w:t xml:space="preserve"> s.9</w:t>
      </w:r>
      <w:r>
        <w:rPr>
          <w:rFonts w:ascii="Times New Roman" w:hAnsi="Times New Roman" w:cs="Times New Roman"/>
          <w:sz w:val="24"/>
          <w:szCs w:val="24"/>
        </w:rPr>
        <w:t>).</w:t>
      </w:r>
      <w:r w:rsidR="0051593D" w:rsidRPr="0051593D">
        <w:t xml:space="preserve"> </w:t>
      </w:r>
      <w:r w:rsidR="0051593D">
        <w:rPr>
          <w:rFonts w:ascii="Times New Roman" w:hAnsi="Times New Roman" w:cs="Times New Roman"/>
          <w:sz w:val="24"/>
          <w:szCs w:val="24"/>
        </w:rPr>
        <w:t xml:space="preserve"> Należy też mieć na względzie fakt, że</w:t>
      </w:r>
      <w:r w:rsidR="0051593D" w:rsidRPr="0051593D">
        <w:rPr>
          <w:rFonts w:ascii="Times New Roman" w:hAnsi="Times New Roman" w:cs="Times New Roman"/>
          <w:sz w:val="24"/>
          <w:szCs w:val="24"/>
        </w:rPr>
        <w:t xml:space="preserve"> </w:t>
      </w:r>
      <w:r w:rsidR="0051593D">
        <w:rPr>
          <w:rFonts w:ascii="Times New Roman" w:hAnsi="Times New Roman" w:cs="Times New Roman"/>
          <w:sz w:val="24"/>
          <w:szCs w:val="24"/>
        </w:rPr>
        <w:t xml:space="preserve">definicja produkcji stosowana w </w:t>
      </w:r>
      <w:r w:rsidR="0051593D" w:rsidRPr="0051593D">
        <w:rPr>
          <w:rFonts w:ascii="Times New Roman" w:hAnsi="Times New Roman" w:cs="Times New Roman"/>
          <w:sz w:val="24"/>
          <w:szCs w:val="24"/>
        </w:rPr>
        <w:t>ramach kalkulacji PKB nie musi być spójna z definicją stosowaną do celów podatkowych</w:t>
      </w:r>
      <w:r w:rsidR="0051593D">
        <w:rPr>
          <w:rFonts w:ascii="Times New Roman" w:hAnsi="Times New Roman" w:cs="Times New Roman"/>
          <w:sz w:val="24"/>
          <w:szCs w:val="24"/>
        </w:rPr>
        <w:t>.</w:t>
      </w:r>
      <w:r>
        <w:rPr>
          <w:rFonts w:ascii="Times New Roman" w:hAnsi="Times New Roman" w:cs="Times New Roman"/>
          <w:sz w:val="24"/>
          <w:szCs w:val="24"/>
        </w:rPr>
        <w:t xml:space="preserve"> </w:t>
      </w:r>
      <w:r w:rsidR="0051593D" w:rsidRPr="0051593D">
        <w:rPr>
          <w:rFonts w:ascii="Times New Roman" w:hAnsi="Times New Roman" w:cs="Times New Roman"/>
          <w:sz w:val="24"/>
          <w:szCs w:val="24"/>
        </w:rPr>
        <w:t xml:space="preserve">Mróz </w:t>
      </w:r>
      <w:r w:rsidR="0051593D">
        <w:rPr>
          <w:rFonts w:ascii="Times New Roman" w:hAnsi="Times New Roman" w:cs="Times New Roman"/>
          <w:sz w:val="24"/>
          <w:szCs w:val="24"/>
        </w:rPr>
        <w:t xml:space="preserve"> przyjmuje, że szara strefa obejmuje działalność </w:t>
      </w:r>
      <w:r w:rsidR="0051593D" w:rsidRPr="0051593D">
        <w:rPr>
          <w:rFonts w:ascii="Times New Roman" w:hAnsi="Times New Roman" w:cs="Times New Roman"/>
          <w:sz w:val="24"/>
          <w:szCs w:val="24"/>
        </w:rPr>
        <w:t>nierejestrowaną, zmierzającą do uzyskania korzyści materialnych w formie naturalnej lub</w:t>
      </w:r>
      <w:r w:rsidR="0051593D">
        <w:rPr>
          <w:rFonts w:ascii="Times New Roman" w:hAnsi="Times New Roman" w:cs="Times New Roman"/>
          <w:sz w:val="24"/>
          <w:szCs w:val="24"/>
        </w:rPr>
        <w:t xml:space="preserve"> </w:t>
      </w:r>
      <w:r w:rsidR="0051593D" w:rsidRPr="0051593D">
        <w:rPr>
          <w:rFonts w:ascii="Times New Roman" w:hAnsi="Times New Roman" w:cs="Times New Roman"/>
          <w:sz w:val="24"/>
          <w:szCs w:val="24"/>
        </w:rPr>
        <w:t>pieniężnej i wywołującą skutki wartościowo</w:t>
      </w:r>
      <w:r w:rsidR="0051593D">
        <w:rPr>
          <w:rFonts w:ascii="Times New Roman" w:hAnsi="Times New Roman" w:cs="Times New Roman"/>
          <w:sz w:val="24"/>
          <w:szCs w:val="24"/>
        </w:rPr>
        <w:t>-</w:t>
      </w:r>
      <w:r w:rsidR="0051593D" w:rsidRPr="0051593D">
        <w:rPr>
          <w:rFonts w:ascii="Times New Roman" w:hAnsi="Times New Roman" w:cs="Times New Roman"/>
          <w:sz w:val="24"/>
          <w:szCs w:val="24"/>
        </w:rPr>
        <w:t>twórcze i/lub redystrybucyjne</w:t>
      </w:r>
      <w:r w:rsidR="0051593D">
        <w:rPr>
          <w:rFonts w:ascii="Times New Roman" w:hAnsi="Times New Roman" w:cs="Times New Roman"/>
          <w:sz w:val="24"/>
          <w:szCs w:val="24"/>
        </w:rPr>
        <w:t xml:space="preserve"> (Mróz, 2002</w:t>
      </w:r>
      <w:r w:rsidR="00396ECD">
        <w:rPr>
          <w:rFonts w:ascii="Times New Roman" w:hAnsi="Times New Roman" w:cs="Times New Roman"/>
          <w:sz w:val="24"/>
          <w:szCs w:val="24"/>
        </w:rPr>
        <w:t xml:space="preserve"> s.3</w:t>
      </w:r>
      <w:r w:rsidR="0051593D">
        <w:rPr>
          <w:rFonts w:ascii="Times New Roman" w:hAnsi="Times New Roman" w:cs="Times New Roman"/>
          <w:sz w:val="24"/>
          <w:szCs w:val="24"/>
        </w:rPr>
        <w:t xml:space="preserve">). </w:t>
      </w:r>
      <w:r w:rsidR="009D1FCA">
        <w:rPr>
          <w:rFonts w:ascii="Times New Roman" w:hAnsi="Times New Roman" w:cs="Times New Roman"/>
          <w:sz w:val="24"/>
          <w:szCs w:val="24"/>
        </w:rPr>
        <w:t xml:space="preserve">W celu wniesienia głosu w toczącej się dyskusji na temat definicji, proponuję przyjąć następujące określenie szarej strefy – jest to każda działalność nielegalna  oraz taka, która skutkuje ograniczeniem dochodów budżetowych państwa bądź nie skutkuje </w:t>
      </w:r>
      <w:r w:rsidR="0021647E">
        <w:rPr>
          <w:rFonts w:ascii="Times New Roman" w:hAnsi="Times New Roman" w:cs="Times New Roman"/>
          <w:sz w:val="24"/>
          <w:szCs w:val="24"/>
        </w:rPr>
        <w:t xml:space="preserve">oficjalnym </w:t>
      </w:r>
      <w:r w:rsidR="009D1FCA">
        <w:rPr>
          <w:rFonts w:ascii="Times New Roman" w:hAnsi="Times New Roman" w:cs="Times New Roman"/>
          <w:sz w:val="24"/>
          <w:szCs w:val="24"/>
        </w:rPr>
        <w:t xml:space="preserve">wzrostem PKB.  Z uwagi na duże zainteresowanie problematyką szarej strefy rozwijają się także metody jej badania. W praktyce bardziej chodzi jednak o jej szacowanie, niż dokładne zbadanie. Nie wszystkie bowiem zjawiska są możliwe do zidentyfikowania. Dodatkowo pomiędzy animatorami szarej strefy, a przedstawicielami instytucji kontrolnych trwa swoista rywalizacja. Animatorzy stosują coraz bardziej skomplikowane działania, wykorzystują luki prawne, często są powiązani korupcyjnie z organami państwowymi, co powoduje z jednej strony bezkarność sprawców, a z drugiej </w:t>
      </w:r>
      <w:r w:rsidR="007714D6">
        <w:rPr>
          <w:rFonts w:ascii="Times New Roman" w:hAnsi="Times New Roman" w:cs="Times New Roman"/>
          <w:sz w:val="24"/>
          <w:szCs w:val="24"/>
        </w:rPr>
        <w:t>fałszowanie statystyk (</w:t>
      </w:r>
      <w:proofErr w:type="spellStart"/>
      <w:r w:rsidR="007714D6" w:rsidRPr="007714D6">
        <w:rPr>
          <w:rFonts w:ascii="Times New Roman" w:hAnsi="Times New Roman" w:cs="Times New Roman"/>
          <w:sz w:val="24"/>
          <w:szCs w:val="24"/>
        </w:rPr>
        <w:t>Shlapentokh</w:t>
      </w:r>
      <w:proofErr w:type="spellEnd"/>
      <w:r w:rsidR="007714D6">
        <w:rPr>
          <w:rFonts w:ascii="Times New Roman" w:hAnsi="Times New Roman" w:cs="Times New Roman"/>
          <w:sz w:val="24"/>
          <w:szCs w:val="24"/>
        </w:rPr>
        <w:t>, 2013</w:t>
      </w:r>
      <w:r w:rsidR="00396ECD">
        <w:rPr>
          <w:rFonts w:ascii="Times New Roman" w:hAnsi="Times New Roman" w:cs="Times New Roman"/>
          <w:sz w:val="24"/>
          <w:szCs w:val="24"/>
        </w:rPr>
        <w:t xml:space="preserve"> s. 3</w:t>
      </w:r>
      <w:r w:rsidR="007714D6">
        <w:rPr>
          <w:rFonts w:ascii="Times New Roman" w:hAnsi="Times New Roman" w:cs="Times New Roman"/>
          <w:sz w:val="24"/>
          <w:szCs w:val="24"/>
        </w:rPr>
        <w:t>).</w:t>
      </w:r>
      <w:r w:rsidR="00C7416B">
        <w:rPr>
          <w:rFonts w:ascii="Times New Roman" w:hAnsi="Times New Roman" w:cs="Times New Roman"/>
          <w:sz w:val="24"/>
          <w:szCs w:val="24"/>
        </w:rPr>
        <w:t xml:space="preserve"> Generalnie wyodrębnia się</w:t>
      </w:r>
      <w:r w:rsidR="007714D6">
        <w:rPr>
          <w:rFonts w:ascii="Times New Roman" w:hAnsi="Times New Roman" w:cs="Times New Roman"/>
          <w:sz w:val="24"/>
          <w:szCs w:val="24"/>
        </w:rPr>
        <w:t xml:space="preserve"> dwie kategorie mierzenia szarej strefy. Pierwsza skupia się na podejściu</w:t>
      </w:r>
      <w:r w:rsidR="0032798B">
        <w:rPr>
          <w:rFonts w:ascii="Times New Roman" w:hAnsi="Times New Roman" w:cs="Times New Roman"/>
          <w:sz w:val="24"/>
          <w:szCs w:val="24"/>
        </w:rPr>
        <w:t xml:space="preserve"> mikroekonomicznym i</w:t>
      </w:r>
      <w:r w:rsidR="00396ECD">
        <w:rPr>
          <w:rFonts w:ascii="Times New Roman" w:hAnsi="Times New Roman" w:cs="Times New Roman"/>
          <w:sz w:val="24"/>
          <w:szCs w:val="24"/>
        </w:rPr>
        <w:t xml:space="preserve"> na metodach bezpośrednich,</w:t>
      </w:r>
      <w:r w:rsidR="007714D6">
        <w:rPr>
          <w:rFonts w:ascii="Times New Roman" w:hAnsi="Times New Roman" w:cs="Times New Roman"/>
          <w:sz w:val="24"/>
          <w:szCs w:val="24"/>
        </w:rPr>
        <w:t xml:space="preserve"> oraz metody</w:t>
      </w:r>
      <w:r w:rsidR="0032798B">
        <w:rPr>
          <w:rFonts w:ascii="Times New Roman" w:hAnsi="Times New Roman" w:cs="Times New Roman"/>
          <w:sz w:val="24"/>
          <w:szCs w:val="24"/>
        </w:rPr>
        <w:t xml:space="preserve"> </w:t>
      </w:r>
      <w:r w:rsidR="000C69BF">
        <w:rPr>
          <w:rFonts w:ascii="Times New Roman" w:hAnsi="Times New Roman" w:cs="Times New Roman"/>
          <w:sz w:val="24"/>
          <w:szCs w:val="24"/>
        </w:rPr>
        <w:t xml:space="preserve"> pośrednie (</w:t>
      </w:r>
      <w:r w:rsidR="007714D6">
        <w:rPr>
          <w:rFonts w:ascii="Times New Roman" w:hAnsi="Times New Roman" w:cs="Times New Roman"/>
          <w:sz w:val="24"/>
          <w:szCs w:val="24"/>
        </w:rPr>
        <w:t xml:space="preserve">analiza danych makroekonomicznych, a w szczególności popytu na pieniądz </w:t>
      </w:r>
      <w:proofErr w:type="spellStart"/>
      <w:r w:rsidR="007714D6">
        <w:rPr>
          <w:rFonts w:ascii="Times New Roman" w:hAnsi="Times New Roman" w:cs="Times New Roman"/>
          <w:sz w:val="24"/>
          <w:szCs w:val="24"/>
        </w:rPr>
        <w:t>gotówkowy</w:t>
      </w:r>
      <w:r w:rsidR="00396ECD">
        <w:rPr>
          <w:rFonts w:ascii="Times New Roman" w:hAnsi="Times New Roman" w:cs="Times New Roman"/>
          <w:sz w:val="24"/>
          <w:szCs w:val="24"/>
        </w:rPr>
        <w:t>.</w:t>
      </w:r>
      <w:r w:rsidR="00B4134B">
        <w:rPr>
          <w:rFonts w:ascii="Times New Roman" w:hAnsi="Times New Roman" w:cs="Times New Roman"/>
          <w:sz w:val="24"/>
          <w:szCs w:val="24"/>
        </w:rPr>
        <w:t>Na</w:t>
      </w:r>
      <w:proofErr w:type="spellEnd"/>
      <w:r w:rsidR="00B4134B">
        <w:rPr>
          <w:rFonts w:ascii="Times New Roman" w:hAnsi="Times New Roman" w:cs="Times New Roman"/>
          <w:sz w:val="24"/>
          <w:szCs w:val="24"/>
        </w:rPr>
        <w:t xml:space="preserve"> marginesie w podejściu pieniężnym założono, że w szarej strefie transakcje są rozliczane w gotówce, a w rzeczywistości nie tylko np. mogą</w:t>
      </w:r>
      <w:r w:rsidR="002062E1">
        <w:rPr>
          <w:rFonts w:ascii="Times New Roman" w:hAnsi="Times New Roman" w:cs="Times New Roman"/>
          <w:sz w:val="24"/>
          <w:szCs w:val="24"/>
        </w:rPr>
        <w:t xml:space="preserve"> pojawić się operacje barterowe</w:t>
      </w:r>
      <w:r w:rsidR="007714D6">
        <w:rPr>
          <w:rFonts w:ascii="Times New Roman" w:hAnsi="Times New Roman" w:cs="Times New Roman"/>
          <w:sz w:val="24"/>
          <w:szCs w:val="24"/>
        </w:rPr>
        <w:t>)</w:t>
      </w:r>
      <w:r w:rsidR="002062E1">
        <w:rPr>
          <w:rFonts w:ascii="Times New Roman" w:hAnsi="Times New Roman" w:cs="Times New Roman"/>
          <w:sz w:val="24"/>
          <w:szCs w:val="24"/>
        </w:rPr>
        <w:t xml:space="preserve">. </w:t>
      </w:r>
      <w:r w:rsidR="0032798B">
        <w:rPr>
          <w:rFonts w:ascii="Times New Roman" w:hAnsi="Times New Roman" w:cs="Times New Roman"/>
          <w:sz w:val="24"/>
          <w:szCs w:val="24"/>
        </w:rPr>
        <w:t xml:space="preserve"> </w:t>
      </w:r>
      <w:r w:rsidR="00B4134B">
        <w:rPr>
          <w:rFonts w:ascii="Times New Roman" w:hAnsi="Times New Roman" w:cs="Times New Roman"/>
          <w:sz w:val="24"/>
          <w:szCs w:val="24"/>
        </w:rPr>
        <w:t xml:space="preserve"> </w:t>
      </w:r>
      <w:r w:rsidR="0032798B">
        <w:rPr>
          <w:rFonts w:ascii="Times New Roman" w:hAnsi="Times New Roman" w:cs="Times New Roman"/>
          <w:sz w:val="24"/>
          <w:szCs w:val="24"/>
        </w:rPr>
        <w:t xml:space="preserve">Z tego względu wyniki badań odnoszących się do rozmiaru szarej strefy mogą  zasadniczo od siebie się  różnić. Ciekawy pogląd prezentują  </w:t>
      </w:r>
      <w:proofErr w:type="spellStart"/>
      <w:r w:rsidR="0032798B">
        <w:rPr>
          <w:rFonts w:ascii="Times New Roman" w:hAnsi="Times New Roman" w:cs="Times New Roman"/>
          <w:sz w:val="24"/>
          <w:szCs w:val="24"/>
        </w:rPr>
        <w:t>Domniguez</w:t>
      </w:r>
      <w:proofErr w:type="spellEnd"/>
      <w:r w:rsidR="0032798B">
        <w:rPr>
          <w:rFonts w:ascii="Times New Roman" w:hAnsi="Times New Roman" w:cs="Times New Roman"/>
          <w:sz w:val="24"/>
          <w:szCs w:val="24"/>
        </w:rPr>
        <w:t xml:space="preserve"> i</w:t>
      </w:r>
      <w:r w:rsidR="0032798B" w:rsidRPr="0032798B">
        <w:rPr>
          <w:rFonts w:ascii="Times New Roman" w:hAnsi="Times New Roman" w:cs="Times New Roman"/>
          <w:sz w:val="24"/>
          <w:szCs w:val="24"/>
        </w:rPr>
        <w:t xml:space="preserve"> </w:t>
      </w:r>
      <w:proofErr w:type="spellStart"/>
      <w:r w:rsidR="0032798B" w:rsidRPr="0032798B">
        <w:rPr>
          <w:rFonts w:ascii="Times New Roman" w:hAnsi="Times New Roman" w:cs="Times New Roman"/>
          <w:sz w:val="24"/>
          <w:szCs w:val="24"/>
        </w:rPr>
        <w:t>Raphael</w:t>
      </w:r>
      <w:proofErr w:type="spellEnd"/>
      <w:r w:rsidR="0032798B">
        <w:rPr>
          <w:rFonts w:ascii="Times New Roman" w:hAnsi="Times New Roman" w:cs="Times New Roman"/>
          <w:sz w:val="24"/>
          <w:szCs w:val="24"/>
        </w:rPr>
        <w:t xml:space="preserve">, którzy przyjmują, że szara strefa w poszczególnych krajach pozostaje ciągle na tym samym poziomie, gdyż animatorzy szarej strefy </w:t>
      </w:r>
      <w:r w:rsidR="0021647E">
        <w:rPr>
          <w:rFonts w:ascii="Times New Roman" w:hAnsi="Times New Roman" w:cs="Times New Roman"/>
          <w:sz w:val="24"/>
          <w:szCs w:val="24"/>
        </w:rPr>
        <w:t xml:space="preserve">stale </w:t>
      </w:r>
      <w:r w:rsidR="0032798B">
        <w:rPr>
          <w:rFonts w:ascii="Times New Roman" w:hAnsi="Times New Roman" w:cs="Times New Roman"/>
          <w:sz w:val="24"/>
          <w:szCs w:val="24"/>
        </w:rPr>
        <w:t>udoskonalają swoje metody, a w miejsce zlikwidowanych działań pojawiają się nowe (</w:t>
      </w:r>
      <w:proofErr w:type="spellStart"/>
      <w:r w:rsidR="0032798B" w:rsidRPr="0032798B">
        <w:rPr>
          <w:rFonts w:ascii="Times New Roman" w:hAnsi="Times New Roman" w:cs="Times New Roman"/>
          <w:sz w:val="24"/>
          <w:szCs w:val="24"/>
        </w:rPr>
        <w:t>Domniguez</w:t>
      </w:r>
      <w:proofErr w:type="spellEnd"/>
      <w:r w:rsidR="0032798B">
        <w:rPr>
          <w:rFonts w:ascii="Times New Roman" w:hAnsi="Times New Roman" w:cs="Times New Roman"/>
          <w:sz w:val="24"/>
          <w:szCs w:val="24"/>
        </w:rPr>
        <w:t>,</w:t>
      </w:r>
      <w:r w:rsidR="0032798B" w:rsidRPr="0032798B">
        <w:rPr>
          <w:rFonts w:ascii="Times New Roman" w:hAnsi="Times New Roman" w:cs="Times New Roman"/>
          <w:sz w:val="24"/>
          <w:szCs w:val="24"/>
        </w:rPr>
        <w:t xml:space="preserve"> </w:t>
      </w:r>
      <w:proofErr w:type="spellStart"/>
      <w:r w:rsidR="0032798B" w:rsidRPr="0032798B">
        <w:rPr>
          <w:rFonts w:ascii="Times New Roman" w:hAnsi="Times New Roman" w:cs="Times New Roman"/>
          <w:sz w:val="24"/>
          <w:szCs w:val="24"/>
        </w:rPr>
        <w:t>Raphael</w:t>
      </w:r>
      <w:proofErr w:type="spellEnd"/>
      <w:r w:rsidR="0032798B">
        <w:rPr>
          <w:rFonts w:ascii="Times New Roman" w:hAnsi="Times New Roman" w:cs="Times New Roman"/>
          <w:sz w:val="24"/>
          <w:szCs w:val="24"/>
        </w:rPr>
        <w:t>, 2015</w:t>
      </w:r>
      <w:r w:rsidR="00396ECD">
        <w:rPr>
          <w:rFonts w:ascii="Times New Roman" w:hAnsi="Times New Roman" w:cs="Times New Roman"/>
          <w:sz w:val="24"/>
          <w:szCs w:val="24"/>
        </w:rPr>
        <w:t xml:space="preserve"> s.3 </w:t>
      </w:r>
      <w:r w:rsidR="0032798B">
        <w:rPr>
          <w:rFonts w:ascii="Times New Roman" w:hAnsi="Times New Roman" w:cs="Times New Roman"/>
          <w:sz w:val="24"/>
          <w:szCs w:val="24"/>
        </w:rPr>
        <w:t>).</w:t>
      </w:r>
    </w:p>
    <w:p w:rsidR="00EF5662" w:rsidRPr="00EF5662" w:rsidRDefault="00EF5662" w:rsidP="00EF5662">
      <w:pPr>
        <w:ind w:firstLine="708"/>
        <w:rPr>
          <w:rFonts w:ascii="Times New Roman" w:hAnsi="Times New Roman" w:cs="Times New Roman"/>
          <w:sz w:val="24"/>
          <w:szCs w:val="24"/>
        </w:rPr>
      </w:pPr>
    </w:p>
    <w:p w:rsidR="0050284F" w:rsidRPr="000E75A8" w:rsidRDefault="0050284F" w:rsidP="00EF5662">
      <w:pPr>
        <w:rPr>
          <w:rFonts w:ascii="Times New Roman" w:hAnsi="Times New Roman" w:cs="Times New Roman"/>
          <w:sz w:val="28"/>
          <w:szCs w:val="28"/>
        </w:rPr>
      </w:pPr>
      <w:r>
        <w:rPr>
          <w:rFonts w:ascii="Times New Roman" w:hAnsi="Times New Roman" w:cs="Times New Roman"/>
          <w:sz w:val="28"/>
          <w:szCs w:val="28"/>
        </w:rPr>
        <w:lastRenderedPageBreak/>
        <w:t>Cel i założenia metodyczne badań</w:t>
      </w:r>
    </w:p>
    <w:p w:rsidR="00EF5662" w:rsidRDefault="00EF5662" w:rsidP="00EF5662">
      <w:pPr>
        <w:ind w:firstLine="708"/>
        <w:rPr>
          <w:rFonts w:ascii="Times New Roman" w:hAnsi="Times New Roman" w:cs="Times New Roman"/>
          <w:sz w:val="24"/>
          <w:szCs w:val="24"/>
        </w:rPr>
      </w:pPr>
    </w:p>
    <w:p w:rsidR="00F4788C" w:rsidRPr="00F4788C" w:rsidRDefault="00E3679B" w:rsidP="009E701F">
      <w:pPr>
        <w:spacing w:line="360" w:lineRule="auto"/>
        <w:ind w:firstLine="708"/>
        <w:rPr>
          <w:rFonts w:ascii="Times New Roman" w:hAnsi="Times New Roman" w:cs="Times New Roman"/>
          <w:sz w:val="24"/>
          <w:szCs w:val="24"/>
        </w:rPr>
      </w:pPr>
      <w:r>
        <w:rPr>
          <w:rFonts w:ascii="Times New Roman" w:hAnsi="Times New Roman" w:cs="Times New Roman"/>
          <w:sz w:val="24"/>
          <w:szCs w:val="24"/>
        </w:rPr>
        <w:t>Celem badań jest</w:t>
      </w:r>
      <w:r w:rsidR="00A22FD1">
        <w:rPr>
          <w:rFonts w:ascii="Times New Roman" w:hAnsi="Times New Roman" w:cs="Times New Roman"/>
          <w:sz w:val="24"/>
          <w:szCs w:val="24"/>
        </w:rPr>
        <w:t xml:space="preserve"> </w:t>
      </w:r>
      <w:r w:rsidR="000E75A8">
        <w:rPr>
          <w:rFonts w:ascii="Times New Roman" w:hAnsi="Times New Roman" w:cs="Times New Roman"/>
          <w:sz w:val="24"/>
          <w:szCs w:val="24"/>
        </w:rPr>
        <w:t xml:space="preserve">ustalenia związku pomiędzy </w:t>
      </w:r>
      <w:r w:rsidR="007B6655">
        <w:rPr>
          <w:rFonts w:ascii="Times New Roman" w:hAnsi="Times New Roman" w:cs="Times New Roman"/>
          <w:sz w:val="24"/>
          <w:szCs w:val="24"/>
        </w:rPr>
        <w:t>wielkością szarej stre</w:t>
      </w:r>
      <w:r w:rsidR="00583861">
        <w:rPr>
          <w:rFonts w:ascii="Times New Roman" w:hAnsi="Times New Roman" w:cs="Times New Roman"/>
          <w:sz w:val="24"/>
          <w:szCs w:val="24"/>
        </w:rPr>
        <w:t>fy a rozmiarami luki podatkowej w Polsce.</w:t>
      </w:r>
      <w:r w:rsidR="004F2147">
        <w:rPr>
          <w:rFonts w:ascii="Times New Roman" w:hAnsi="Times New Roman" w:cs="Times New Roman"/>
          <w:sz w:val="24"/>
          <w:szCs w:val="24"/>
        </w:rPr>
        <w:t xml:space="preserve"> </w:t>
      </w:r>
      <w:r w:rsidR="004F2147" w:rsidRPr="004F2147">
        <w:rPr>
          <w:rFonts w:ascii="Times New Roman" w:hAnsi="Times New Roman" w:cs="Times New Roman"/>
          <w:sz w:val="24"/>
          <w:szCs w:val="24"/>
        </w:rPr>
        <w:t>Rozmiar szarej strefy określ</w:t>
      </w:r>
      <w:r w:rsidR="004F2147">
        <w:rPr>
          <w:rFonts w:ascii="Times New Roman" w:hAnsi="Times New Roman" w:cs="Times New Roman"/>
          <w:sz w:val="24"/>
          <w:szCs w:val="24"/>
        </w:rPr>
        <w:t>one</w:t>
      </w:r>
      <w:r w:rsidR="007B6655" w:rsidRPr="004F2147">
        <w:rPr>
          <w:rFonts w:ascii="Times New Roman" w:hAnsi="Times New Roman" w:cs="Times New Roman"/>
          <w:sz w:val="24"/>
          <w:szCs w:val="24"/>
        </w:rPr>
        <w:t xml:space="preserve"> na podstawie </w:t>
      </w:r>
      <w:r w:rsidR="00583861" w:rsidRPr="004F2147">
        <w:rPr>
          <w:rFonts w:ascii="Times New Roman" w:hAnsi="Times New Roman" w:cs="Times New Roman"/>
          <w:sz w:val="24"/>
          <w:szCs w:val="24"/>
        </w:rPr>
        <w:t>średnich wartości podany</w:t>
      </w:r>
      <w:r w:rsidR="000C69BF" w:rsidRPr="004F2147">
        <w:rPr>
          <w:rFonts w:ascii="Times New Roman" w:hAnsi="Times New Roman" w:cs="Times New Roman"/>
          <w:sz w:val="24"/>
          <w:szCs w:val="24"/>
        </w:rPr>
        <w:t xml:space="preserve">ch w następujących </w:t>
      </w:r>
      <w:proofErr w:type="spellStart"/>
      <w:r w:rsidR="000C69BF" w:rsidRPr="004F2147">
        <w:rPr>
          <w:rFonts w:ascii="Times New Roman" w:hAnsi="Times New Roman" w:cs="Times New Roman"/>
          <w:sz w:val="24"/>
          <w:szCs w:val="24"/>
        </w:rPr>
        <w:t>publikacjach:</w:t>
      </w:r>
      <w:r w:rsidR="00583861" w:rsidRPr="004F2147">
        <w:rPr>
          <w:rFonts w:ascii="Times New Roman" w:hAnsi="Times New Roman" w:cs="Times New Roman"/>
          <w:sz w:val="24"/>
          <w:szCs w:val="24"/>
        </w:rPr>
        <w:t>Cichocki</w:t>
      </w:r>
      <w:proofErr w:type="spellEnd"/>
      <w:r w:rsidR="00583861" w:rsidRPr="004F2147">
        <w:rPr>
          <w:rFonts w:ascii="Times New Roman" w:hAnsi="Times New Roman" w:cs="Times New Roman"/>
          <w:sz w:val="24"/>
          <w:szCs w:val="24"/>
        </w:rPr>
        <w:t xml:space="preserve"> S., </w:t>
      </w:r>
      <w:proofErr w:type="spellStart"/>
      <w:r w:rsidR="00583861" w:rsidRPr="004F2147">
        <w:rPr>
          <w:rFonts w:ascii="Times New Roman" w:hAnsi="Times New Roman" w:cs="Times New Roman"/>
          <w:sz w:val="24"/>
          <w:szCs w:val="24"/>
        </w:rPr>
        <w:t>Shadow</w:t>
      </w:r>
      <w:proofErr w:type="spellEnd"/>
      <w:r w:rsidR="00583861" w:rsidRPr="004F2147">
        <w:rPr>
          <w:rFonts w:ascii="Times New Roman" w:hAnsi="Times New Roman" w:cs="Times New Roman"/>
          <w:sz w:val="24"/>
          <w:szCs w:val="24"/>
        </w:rPr>
        <w:t xml:space="preserve"> </w:t>
      </w:r>
      <w:proofErr w:type="spellStart"/>
      <w:r w:rsidR="00583861" w:rsidRPr="004F2147">
        <w:rPr>
          <w:rFonts w:ascii="Times New Roman" w:hAnsi="Times New Roman" w:cs="Times New Roman"/>
          <w:sz w:val="24"/>
          <w:szCs w:val="24"/>
        </w:rPr>
        <w:t>economy</w:t>
      </w:r>
      <w:proofErr w:type="spellEnd"/>
      <w:r w:rsidR="00583861" w:rsidRPr="004F2147">
        <w:rPr>
          <w:rFonts w:ascii="Times New Roman" w:hAnsi="Times New Roman" w:cs="Times New Roman"/>
          <w:sz w:val="24"/>
          <w:szCs w:val="24"/>
        </w:rPr>
        <w:t xml:space="preserve"> and </w:t>
      </w:r>
      <w:proofErr w:type="spellStart"/>
      <w:r w:rsidR="00583861" w:rsidRPr="004F2147">
        <w:rPr>
          <w:rFonts w:ascii="Times New Roman" w:hAnsi="Times New Roman" w:cs="Times New Roman"/>
          <w:sz w:val="24"/>
          <w:szCs w:val="24"/>
        </w:rPr>
        <w:t>its</w:t>
      </w:r>
      <w:proofErr w:type="spellEnd"/>
      <w:r w:rsidR="00583861" w:rsidRPr="004F2147">
        <w:rPr>
          <w:rFonts w:ascii="Times New Roman" w:hAnsi="Times New Roman" w:cs="Times New Roman"/>
          <w:sz w:val="24"/>
          <w:szCs w:val="24"/>
        </w:rPr>
        <w:t xml:space="preserve"> relations with </w:t>
      </w:r>
      <w:proofErr w:type="spellStart"/>
      <w:r w:rsidR="00583861" w:rsidRPr="004F2147">
        <w:rPr>
          <w:rFonts w:ascii="Times New Roman" w:hAnsi="Times New Roman" w:cs="Times New Roman"/>
          <w:sz w:val="24"/>
          <w:szCs w:val="24"/>
        </w:rPr>
        <w:t>tax</w:t>
      </w:r>
      <w:proofErr w:type="spellEnd"/>
      <w:r w:rsidR="00583861" w:rsidRPr="004F2147">
        <w:rPr>
          <w:rFonts w:ascii="Times New Roman" w:hAnsi="Times New Roman" w:cs="Times New Roman"/>
          <w:sz w:val="24"/>
          <w:szCs w:val="24"/>
        </w:rPr>
        <w:t xml:space="preserve"> system and </w:t>
      </w:r>
      <w:proofErr w:type="spellStart"/>
      <w:r w:rsidR="00583861" w:rsidRPr="004F2147">
        <w:rPr>
          <w:rFonts w:ascii="Times New Roman" w:hAnsi="Times New Roman" w:cs="Times New Roman"/>
          <w:sz w:val="24"/>
          <w:szCs w:val="24"/>
        </w:rPr>
        <w:t>state</w:t>
      </w:r>
      <w:proofErr w:type="spellEnd"/>
      <w:r w:rsidR="00583861" w:rsidRPr="004F2147">
        <w:rPr>
          <w:rFonts w:ascii="Times New Roman" w:hAnsi="Times New Roman" w:cs="Times New Roman"/>
          <w:sz w:val="24"/>
          <w:szCs w:val="24"/>
        </w:rPr>
        <w:t xml:space="preserve"> </w:t>
      </w:r>
      <w:proofErr w:type="spellStart"/>
      <w:r w:rsidR="00583861" w:rsidRPr="004F2147">
        <w:rPr>
          <w:rFonts w:ascii="Times New Roman" w:hAnsi="Times New Roman" w:cs="Times New Roman"/>
          <w:sz w:val="24"/>
          <w:szCs w:val="24"/>
        </w:rPr>
        <w:t>budget</w:t>
      </w:r>
      <w:proofErr w:type="spellEnd"/>
      <w:r w:rsidR="00583861" w:rsidRPr="004F2147">
        <w:rPr>
          <w:rFonts w:ascii="Times New Roman" w:hAnsi="Times New Roman" w:cs="Times New Roman"/>
          <w:sz w:val="24"/>
          <w:szCs w:val="24"/>
        </w:rPr>
        <w:t xml:space="preserve"> in Poland 1995-2007, </w:t>
      </w:r>
      <w:proofErr w:type="spellStart"/>
      <w:r w:rsidR="00583861" w:rsidRPr="004F2147">
        <w:rPr>
          <w:rFonts w:ascii="Times New Roman" w:hAnsi="Times New Roman" w:cs="Times New Roman"/>
          <w:sz w:val="24"/>
          <w:szCs w:val="24"/>
        </w:rPr>
        <w:t>University</w:t>
      </w:r>
      <w:proofErr w:type="spellEnd"/>
      <w:r w:rsidR="00583861" w:rsidRPr="004F2147">
        <w:rPr>
          <w:rFonts w:ascii="Times New Roman" w:hAnsi="Times New Roman" w:cs="Times New Roman"/>
          <w:sz w:val="24"/>
          <w:szCs w:val="24"/>
        </w:rPr>
        <w:t xml:space="preserve"> of </w:t>
      </w:r>
      <w:proofErr w:type="spellStart"/>
      <w:r w:rsidR="00583861" w:rsidRPr="004F2147">
        <w:rPr>
          <w:rFonts w:ascii="Times New Roman" w:hAnsi="Times New Roman" w:cs="Times New Roman"/>
          <w:sz w:val="24"/>
          <w:szCs w:val="24"/>
        </w:rPr>
        <w:t>Warsaw</w:t>
      </w:r>
      <w:proofErr w:type="spellEnd"/>
      <w:r w:rsidR="00583861" w:rsidRPr="004F2147">
        <w:rPr>
          <w:rFonts w:ascii="Times New Roman" w:hAnsi="Times New Roman" w:cs="Times New Roman"/>
          <w:sz w:val="24"/>
          <w:szCs w:val="24"/>
        </w:rPr>
        <w:t xml:space="preserve">, </w:t>
      </w:r>
      <w:proofErr w:type="spellStart"/>
      <w:r w:rsidR="00583861" w:rsidRPr="004F2147">
        <w:rPr>
          <w:rFonts w:ascii="Times New Roman" w:hAnsi="Times New Roman" w:cs="Times New Roman"/>
          <w:sz w:val="24"/>
          <w:szCs w:val="24"/>
        </w:rPr>
        <w:t>Faculty</w:t>
      </w:r>
      <w:proofErr w:type="spellEnd"/>
      <w:r w:rsidR="00583861" w:rsidRPr="004F2147">
        <w:rPr>
          <w:rFonts w:ascii="Times New Roman" w:hAnsi="Times New Roman" w:cs="Times New Roman"/>
          <w:sz w:val="24"/>
          <w:szCs w:val="24"/>
        </w:rPr>
        <w:t xml:space="preserve"> of </w:t>
      </w:r>
      <w:proofErr w:type="spellStart"/>
      <w:r w:rsidR="00583861" w:rsidRPr="004F2147">
        <w:rPr>
          <w:rFonts w:ascii="Times New Roman" w:hAnsi="Times New Roman" w:cs="Times New Roman"/>
          <w:sz w:val="24"/>
          <w:szCs w:val="24"/>
        </w:rPr>
        <w:t>Economic</w:t>
      </w:r>
      <w:proofErr w:type="spellEnd"/>
      <w:r w:rsidR="00583861" w:rsidRPr="004F2147">
        <w:rPr>
          <w:rFonts w:ascii="Times New Roman" w:hAnsi="Times New Roman" w:cs="Times New Roman"/>
          <w:sz w:val="24"/>
          <w:szCs w:val="24"/>
        </w:rPr>
        <w:t xml:space="preserve"> </w:t>
      </w:r>
      <w:proofErr w:type="spellStart"/>
      <w:r w:rsidR="00583861" w:rsidRPr="004F2147">
        <w:rPr>
          <w:rFonts w:ascii="Times New Roman" w:hAnsi="Times New Roman" w:cs="Times New Roman"/>
          <w:sz w:val="24"/>
          <w:szCs w:val="24"/>
        </w:rPr>
        <w:t>Sciences</w:t>
      </w:r>
      <w:proofErr w:type="spellEnd"/>
      <w:r w:rsidR="00583861" w:rsidRPr="004F2147">
        <w:rPr>
          <w:rFonts w:ascii="Times New Roman" w:hAnsi="Times New Roman" w:cs="Times New Roman"/>
          <w:sz w:val="24"/>
          <w:szCs w:val="24"/>
        </w:rPr>
        <w:t xml:space="preserve">, </w:t>
      </w:r>
      <w:proofErr w:type="spellStart"/>
      <w:r w:rsidR="00583861" w:rsidRPr="004F2147">
        <w:rPr>
          <w:rFonts w:ascii="Times New Roman" w:hAnsi="Times New Roman" w:cs="Times New Roman"/>
          <w:sz w:val="24"/>
          <w:szCs w:val="24"/>
        </w:rPr>
        <w:t>Working</w:t>
      </w:r>
      <w:proofErr w:type="spellEnd"/>
      <w:r w:rsidR="00583861" w:rsidRPr="004F2147">
        <w:rPr>
          <w:rFonts w:ascii="Times New Roman" w:hAnsi="Times New Roman" w:cs="Times New Roman"/>
          <w:sz w:val="24"/>
          <w:szCs w:val="24"/>
        </w:rPr>
        <w:t xml:space="preserve"> Paper No. 05/2008, 2008. </w:t>
      </w:r>
      <w:r w:rsidR="00583861" w:rsidRPr="00583861">
        <w:rPr>
          <w:rFonts w:ascii="Times New Roman" w:hAnsi="Times New Roman" w:cs="Times New Roman"/>
          <w:sz w:val="24"/>
          <w:szCs w:val="24"/>
        </w:rPr>
        <w:t xml:space="preserve">Rachunki narodowe według sektorów i podsektorów instytucjonalnych. GUS. 2015, Łapiński K., </w:t>
      </w:r>
      <w:proofErr w:type="spellStart"/>
      <w:r w:rsidR="00583861" w:rsidRPr="00583861">
        <w:rPr>
          <w:rFonts w:ascii="Times New Roman" w:hAnsi="Times New Roman" w:cs="Times New Roman"/>
          <w:sz w:val="24"/>
          <w:szCs w:val="24"/>
        </w:rPr>
        <w:t>Peterlik</w:t>
      </w:r>
      <w:proofErr w:type="spellEnd"/>
      <w:r w:rsidR="00583861" w:rsidRPr="00583861">
        <w:rPr>
          <w:rFonts w:ascii="Times New Roman" w:hAnsi="Times New Roman" w:cs="Times New Roman"/>
          <w:sz w:val="24"/>
          <w:szCs w:val="24"/>
        </w:rPr>
        <w:t xml:space="preserve"> M., Wyżnikiewicz B. Szara strefa w polskiej gospodarce w 2015 roku. </w:t>
      </w:r>
      <w:proofErr w:type="spellStart"/>
      <w:r w:rsidR="00583861" w:rsidRPr="00583861">
        <w:rPr>
          <w:rFonts w:ascii="Times New Roman" w:hAnsi="Times New Roman" w:cs="Times New Roman"/>
          <w:sz w:val="24"/>
          <w:szCs w:val="24"/>
          <w:lang w:val="en-US"/>
        </w:rPr>
        <w:t>IBnGR</w:t>
      </w:r>
      <w:proofErr w:type="spellEnd"/>
      <w:r w:rsidR="00583861" w:rsidRPr="00583861">
        <w:rPr>
          <w:rFonts w:ascii="Times New Roman" w:hAnsi="Times New Roman" w:cs="Times New Roman"/>
          <w:sz w:val="24"/>
          <w:szCs w:val="24"/>
          <w:lang w:val="en-US"/>
        </w:rPr>
        <w:t xml:space="preserve">. Warszawa. 2015, Schneider F., </w:t>
      </w:r>
      <w:proofErr w:type="spellStart"/>
      <w:r w:rsidR="00583861" w:rsidRPr="00583861">
        <w:rPr>
          <w:rFonts w:ascii="Times New Roman" w:hAnsi="Times New Roman" w:cs="Times New Roman"/>
          <w:sz w:val="24"/>
          <w:szCs w:val="24"/>
          <w:lang w:val="en-US"/>
        </w:rPr>
        <w:t>Buehn</w:t>
      </w:r>
      <w:proofErr w:type="spellEnd"/>
      <w:r w:rsidR="00583861" w:rsidRPr="00583861">
        <w:rPr>
          <w:rFonts w:ascii="Times New Roman" w:hAnsi="Times New Roman" w:cs="Times New Roman"/>
          <w:sz w:val="24"/>
          <w:szCs w:val="24"/>
          <w:lang w:val="en-US"/>
        </w:rPr>
        <w:t xml:space="preserve"> A. Montenegro C.E. New Estimates for the Shadow Economies all over the World. </w:t>
      </w:r>
      <w:r w:rsidR="00583861" w:rsidRPr="00583861">
        <w:rPr>
          <w:rFonts w:ascii="Times New Roman" w:hAnsi="Times New Roman" w:cs="Times New Roman"/>
          <w:sz w:val="24"/>
          <w:szCs w:val="24"/>
        </w:rPr>
        <w:t xml:space="preserve">International </w:t>
      </w:r>
      <w:proofErr w:type="spellStart"/>
      <w:r w:rsidR="00583861" w:rsidRPr="00583861">
        <w:rPr>
          <w:rFonts w:ascii="Times New Roman" w:hAnsi="Times New Roman" w:cs="Times New Roman"/>
          <w:sz w:val="24"/>
          <w:szCs w:val="24"/>
        </w:rPr>
        <w:t>Economic</w:t>
      </w:r>
      <w:proofErr w:type="spellEnd"/>
      <w:r w:rsidR="00583861" w:rsidRPr="00583861">
        <w:rPr>
          <w:rFonts w:ascii="Times New Roman" w:hAnsi="Times New Roman" w:cs="Times New Roman"/>
          <w:sz w:val="24"/>
          <w:szCs w:val="24"/>
        </w:rPr>
        <w:t xml:space="preserve"> </w:t>
      </w:r>
      <w:proofErr w:type="spellStart"/>
      <w:r w:rsidR="00583861" w:rsidRPr="00583861">
        <w:rPr>
          <w:rFonts w:ascii="Times New Roman" w:hAnsi="Times New Roman" w:cs="Times New Roman"/>
          <w:sz w:val="24"/>
          <w:szCs w:val="24"/>
        </w:rPr>
        <w:t>Journal</w:t>
      </w:r>
      <w:proofErr w:type="spellEnd"/>
      <w:r w:rsidR="00583861" w:rsidRPr="00583861">
        <w:rPr>
          <w:rFonts w:ascii="Times New Roman" w:hAnsi="Times New Roman" w:cs="Times New Roman"/>
          <w:sz w:val="24"/>
          <w:szCs w:val="24"/>
        </w:rPr>
        <w:t>. Vol. 24, No. 4, 2010</w:t>
      </w:r>
      <w:r w:rsidR="00583861">
        <w:rPr>
          <w:rFonts w:ascii="Times New Roman" w:hAnsi="Times New Roman" w:cs="Times New Roman"/>
          <w:sz w:val="24"/>
          <w:szCs w:val="24"/>
        </w:rPr>
        <w:t xml:space="preserve">. Do obliczenia związku posłużono się programem </w:t>
      </w:r>
      <w:proofErr w:type="spellStart"/>
      <w:r w:rsidR="00583861" w:rsidRPr="00583861">
        <w:rPr>
          <w:rFonts w:ascii="Times New Roman" w:hAnsi="Times New Roman" w:cs="Times New Roman"/>
          <w:i/>
          <w:sz w:val="24"/>
          <w:szCs w:val="24"/>
        </w:rPr>
        <w:t>Statistica</w:t>
      </w:r>
      <w:proofErr w:type="spellEnd"/>
      <w:r w:rsidR="00583861">
        <w:rPr>
          <w:rFonts w:ascii="Times New Roman" w:hAnsi="Times New Roman" w:cs="Times New Roman"/>
          <w:sz w:val="24"/>
          <w:szCs w:val="24"/>
        </w:rPr>
        <w:t>. Przyjęto hipotezę o następującej treści: pomiędzy poziomem szarej strefy a luką podatkową istnieje silna stochastycznie dodatnia korelacja. Jako silną dodatnią korelację przyjęto wartość powyżej 0,7.</w:t>
      </w:r>
      <w:r w:rsidR="00F4788C">
        <w:rPr>
          <w:rFonts w:ascii="Times New Roman" w:hAnsi="Times New Roman" w:cs="Times New Roman"/>
          <w:sz w:val="24"/>
          <w:szCs w:val="24"/>
        </w:rPr>
        <w:t xml:space="preserve"> Brakujące dane z lat 1993-2000 oraz 2007-2008 i 2016 rozmiar szarej strefy oszacowano w oparciu o metodę MIMIC.</w:t>
      </w:r>
      <w:r w:rsidR="009E701F">
        <w:rPr>
          <w:rFonts w:ascii="Times New Roman" w:hAnsi="Times New Roman" w:cs="Times New Roman"/>
          <w:sz w:val="24"/>
          <w:szCs w:val="24"/>
        </w:rPr>
        <w:t xml:space="preserve"> </w:t>
      </w:r>
    </w:p>
    <w:p w:rsidR="00B21AB7" w:rsidRPr="00EF5662" w:rsidRDefault="007714D6" w:rsidP="00EF5662">
      <w:pPr>
        <w:spacing w:line="360" w:lineRule="auto"/>
        <w:rPr>
          <w:rFonts w:ascii="Times New Roman" w:hAnsi="Times New Roman" w:cs="Times New Roman"/>
          <w:sz w:val="28"/>
          <w:szCs w:val="28"/>
        </w:rPr>
      </w:pPr>
      <w:r w:rsidRPr="00711943">
        <w:rPr>
          <w:rFonts w:ascii="Times New Roman" w:hAnsi="Times New Roman" w:cs="Times New Roman"/>
          <w:sz w:val="28"/>
          <w:szCs w:val="28"/>
        </w:rPr>
        <w:t>Źródła oraz efekty szarej strefy</w:t>
      </w:r>
    </w:p>
    <w:p w:rsidR="002778BF" w:rsidRPr="002778BF" w:rsidRDefault="002778BF" w:rsidP="00EF5662">
      <w:pPr>
        <w:spacing w:line="360" w:lineRule="auto"/>
        <w:ind w:firstLine="708"/>
        <w:rPr>
          <w:rFonts w:ascii="Times New Roman" w:hAnsi="Times New Roman" w:cs="Times New Roman"/>
          <w:sz w:val="24"/>
          <w:szCs w:val="24"/>
        </w:rPr>
      </w:pPr>
      <w:r>
        <w:rPr>
          <w:rFonts w:ascii="Times New Roman" w:hAnsi="Times New Roman" w:cs="Times New Roman"/>
          <w:sz w:val="24"/>
          <w:szCs w:val="24"/>
        </w:rPr>
        <w:t>Na podstawie analizy literatury przedmiotu można wyodrębnić typowe źródła szarej strefy. Najczęściej wymienia się :</w:t>
      </w:r>
    </w:p>
    <w:p w:rsidR="002778BF" w:rsidRPr="002778BF" w:rsidRDefault="002778BF" w:rsidP="002778BF">
      <w:pPr>
        <w:spacing w:line="360" w:lineRule="auto"/>
        <w:rPr>
          <w:rFonts w:ascii="Times New Roman" w:hAnsi="Times New Roman" w:cs="Times New Roman"/>
          <w:sz w:val="24"/>
          <w:szCs w:val="24"/>
        </w:rPr>
      </w:pPr>
      <w:r w:rsidRPr="002778BF">
        <w:rPr>
          <w:rFonts w:ascii="Times New Roman" w:hAnsi="Times New Roman" w:cs="Times New Roman"/>
          <w:sz w:val="24"/>
          <w:szCs w:val="24"/>
        </w:rPr>
        <w:t xml:space="preserve">- zbyt wysokie obciążenia </w:t>
      </w:r>
      <w:r>
        <w:rPr>
          <w:rFonts w:ascii="Times New Roman" w:hAnsi="Times New Roman" w:cs="Times New Roman"/>
          <w:sz w:val="24"/>
          <w:szCs w:val="24"/>
        </w:rPr>
        <w:t xml:space="preserve"> związane z prowadzeniem biznesu</w:t>
      </w:r>
      <w:r w:rsidRPr="002778BF">
        <w:rPr>
          <w:rFonts w:ascii="Times New Roman" w:hAnsi="Times New Roman" w:cs="Times New Roman"/>
          <w:sz w:val="24"/>
          <w:szCs w:val="24"/>
        </w:rPr>
        <w:t xml:space="preserve">( </w:t>
      </w:r>
      <w:proofErr w:type="spellStart"/>
      <w:r w:rsidRPr="002778BF">
        <w:rPr>
          <w:rFonts w:ascii="Times New Roman" w:hAnsi="Times New Roman" w:cs="Times New Roman"/>
          <w:sz w:val="24"/>
          <w:szCs w:val="24"/>
        </w:rPr>
        <w:t>np.funduszu</w:t>
      </w:r>
      <w:proofErr w:type="spellEnd"/>
      <w:r w:rsidRPr="002778BF">
        <w:rPr>
          <w:rFonts w:ascii="Times New Roman" w:hAnsi="Times New Roman" w:cs="Times New Roman"/>
          <w:sz w:val="24"/>
          <w:szCs w:val="24"/>
        </w:rPr>
        <w:t xml:space="preserve"> płac) i podatki,</w:t>
      </w:r>
    </w:p>
    <w:p w:rsidR="002778BF" w:rsidRPr="002778BF" w:rsidRDefault="002778BF" w:rsidP="002778BF">
      <w:pPr>
        <w:spacing w:line="360" w:lineRule="auto"/>
        <w:rPr>
          <w:rFonts w:ascii="Times New Roman" w:hAnsi="Times New Roman" w:cs="Times New Roman"/>
          <w:sz w:val="24"/>
          <w:szCs w:val="24"/>
        </w:rPr>
      </w:pPr>
      <w:r w:rsidRPr="002778BF">
        <w:rPr>
          <w:rFonts w:ascii="Times New Roman" w:hAnsi="Times New Roman" w:cs="Times New Roman"/>
          <w:sz w:val="24"/>
          <w:szCs w:val="24"/>
        </w:rPr>
        <w:t>- skomplikowany wewnętrznie sprzeczny system prawny ( podmioty gospodarcze nie są w stanie prawidłowo zinterpretować przepisów i są w sposób niejako naturalny włączone zostają do szarej strefy),</w:t>
      </w:r>
    </w:p>
    <w:p w:rsidR="002778BF" w:rsidRPr="002778BF" w:rsidRDefault="002778BF" w:rsidP="002778BF">
      <w:pPr>
        <w:spacing w:line="360" w:lineRule="auto"/>
        <w:rPr>
          <w:rFonts w:ascii="Times New Roman" w:hAnsi="Times New Roman" w:cs="Times New Roman"/>
          <w:sz w:val="24"/>
          <w:szCs w:val="24"/>
        </w:rPr>
      </w:pPr>
      <w:r w:rsidRPr="002778BF">
        <w:rPr>
          <w:rFonts w:ascii="Times New Roman" w:hAnsi="Times New Roman" w:cs="Times New Roman"/>
          <w:sz w:val="24"/>
          <w:szCs w:val="24"/>
        </w:rPr>
        <w:t>- wysoki poziom korupcji,</w:t>
      </w:r>
    </w:p>
    <w:p w:rsidR="002778BF" w:rsidRDefault="002778BF" w:rsidP="002778BF">
      <w:pPr>
        <w:spacing w:line="360" w:lineRule="auto"/>
        <w:rPr>
          <w:rFonts w:ascii="Times New Roman" w:hAnsi="Times New Roman" w:cs="Times New Roman"/>
          <w:sz w:val="24"/>
          <w:szCs w:val="24"/>
        </w:rPr>
      </w:pPr>
      <w:r w:rsidRPr="002778BF">
        <w:rPr>
          <w:rFonts w:ascii="Times New Roman" w:hAnsi="Times New Roman" w:cs="Times New Roman"/>
          <w:sz w:val="24"/>
          <w:szCs w:val="24"/>
        </w:rPr>
        <w:t>- wysoki poziom przestępczości zorganizowanej,</w:t>
      </w:r>
    </w:p>
    <w:p w:rsidR="002778BF" w:rsidRDefault="002778BF" w:rsidP="002778BF">
      <w:pPr>
        <w:spacing w:line="360" w:lineRule="auto"/>
        <w:rPr>
          <w:rFonts w:ascii="Times New Roman" w:hAnsi="Times New Roman" w:cs="Times New Roman"/>
          <w:sz w:val="24"/>
          <w:szCs w:val="24"/>
        </w:rPr>
      </w:pPr>
      <w:r>
        <w:rPr>
          <w:rFonts w:ascii="Times New Roman" w:hAnsi="Times New Roman" w:cs="Times New Roman"/>
          <w:sz w:val="24"/>
          <w:szCs w:val="24"/>
        </w:rPr>
        <w:t>- brak skuteczności państwa w rozwiązywaniu prob</w:t>
      </w:r>
      <w:r w:rsidR="00637A11">
        <w:rPr>
          <w:rFonts w:ascii="Times New Roman" w:hAnsi="Times New Roman" w:cs="Times New Roman"/>
          <w:sz w:val="24"/>
          <w:szCs w:val="24"/>
        </w:rPr>
        <w:t>lemów społecznych (</w:t>
      </w:r>
      <w:proofErr w:type="spellStart"/>
      <w:r w:rsidR="00637A11">
        <w:rPr>
          <w:rFonts w:ascii="Times New Roman" w:hAnsi="Times New Roman" w:cs="Times New Roman"/>
          <w:sz w:val="24"/>
          <w:szCs w:val="24"/>
        </w:rPr>
        <w:t>Tanzi</w:t>
      </w:r>
      <w:proofErr w:type="spellEnd"/>
      <w:r w:rsidR="00637A11">
        <w:rPr>
          <w:rFonts w:ascii="Times New Roman" w:hAnsi="Times New Roman" w:cs="Times New Roman"/>
          <w:sz w:val="24"/>
          <w:szCs w:val="24"/>
        </w:rPr>
        <w:t>, 2012</w:t>
      </w:r>
      <w:r w:rsidR="00396ECD">
        <w:rPr>
          <w:rFonts w:ascii="Times New Roman" w:hAnsi="Times New Roman" w:cs="Times New Roman"/>
          <w:sz w:val="24"/>
          <w:szCs w:val="24"/>
        </w:rPr>
        <w:t xml:space="preserve"> s.4</w:t>
      </w:r>
      <w:r w:rsidR="00637A11">
        <w:rPr>
          <w:rFonts w:ascii="Times New Roman" w:hAnsi="Times New Roman" w:cs="Times New Roman"/>
          <w:sz w:val="24"/>
          <w:szCs w:val="24"/>
        </w:rPr>
        <w:t>),</w:t>
      </w:r>
    </w:p>
    <w:p w:rsidR="00637A11" w:rsidRDefault="00637A11" w:rsidP="002778BF">
      <w:pPr>
        <w:spacing w:line="360" w:lineRule="auto"/>
        <w:rPr>
          <w:rFonts w:ascii="Times New Roman" w:hAnsi="Times New Roman" w:cs="Times New Roman"/>
          <w:sz w:val="24"/>
          <w:szCs w:val="24"/>
        </w:rPr>
      </w:pPr>
      <w:r>
        <w:rPr>
          <w:rFonts w:ascii="Times New Roman" w:hAnsi="Times New Roman" w:cs="Times New Roman"/>
          <w:sz w:val="24"/>
          <w:szCs w:val="24"/>
        </w:rPr>
        <w:t>- a w odniesieniu do zobowiązań poda</w:t>
      </w:r>
      <w:r w:rsidR="004C7F18">
        <w:rPr>
          <w:rFonts w:ascii="Times New Roman" w:hAnsi="Times New Roman" w:cs="Times New Roman"/>
          <w:sz w:val="24"/>
          <w:szCs w:val="24"/>
        </w:rPr>
        <w:t>tkowych</w:t>
      </w:r>
      <w:r>
        <w:rPr>
          <w:rFonts w:ascii="Times New Roman" w:hAnsi="Times New Roman" w:cs="Times New Roman"/>
          <w:sz w:val="24"/>
          <w:szCs w:val="24"/>
        </w:rPr>
        <w:t xml:space="preserve"> poziom moralności podatkowej (</w:t>
      </w:r>
      <w:proofErr w:type="spellStart"/>
      <w:r w:rsidRPr="004C7F18">
        <w:rPr>
          <w:rFonts w:ascii="Times New Roman" w:hAnsi="Times New Roman" w:cs="Times New Roman"/>
          <w:i/>
          <w:sz w:val="24"/>
          <w:szCs w:val="24"/>
        </w:rPr>
        <w:t>tax</w:t>
      </w:r>
      <w:proofErr w:type="spellEnd"/>
      <w:r w:rsidRPr="004C7F18">
        <w:rPr>
          <w:rFonts w:ascii="Times New Roman" w:hAnsi="Times New Roman" w:cs="Times New Roman"/>
          <w:i/>
          <w:sz w:val="24"/>
          <w:szCs w:val="24"/>
        </w:rPr>
        <w:t xml:space="preserve"> </w:t>
      </w:r>
      <w:proofErr w:type="spellStart"/>
      <w:r w:rsidRPr="004C7F18">
        <w:rPr>
          <w:rFonts w:ascii="Times New Roman" w:hAnsi="Times New Roman" w:cs="Times New Roman"/>
          <w:i/>
          <w:sz w:val="24"/>
          <w:szCs w:val="24"/>
        </w:rPr>
        <w:t>morality</w:t>
      </w:r>
      <w:proofErr w:type="spellEnd"/>
      <w:r>
        <w:rPr>
          <w:rFonts w:ascii="Times New Roman" w:hAnsi="Times New Roman" w:cs="Times New Roman"/>
          <w:sz w:val="24"/>
          <w:szCs w:val="24"/>
        </w:rPr>
        <w:t>).</w:t>
      </w:r>
    </w:p>
    <w:p w:rsidR="002778BF" w:rsidRDefault="002778BF" w:rsidP="0021647E">
      <w:pPr>
        <w:spacing w:line="360" w:lineRule="auto"/>
        <w:rPr>
          <w:rFonts w:ascii="Times New Roman" w:hAnsi="Times New Roman" w:cs="Times New Roman"/>
          <w:sz w:val="24"/>
          <w:szCs w:val="24"/>
        </w:rPr>
      </w:pPr>
      <w:r>
        <w:rPr>
          <w:rFonts w:ascii="Times New Roman" w:hAnsi="Times New Roman" w:cs="Times New Roman"/>
          <w:sz w:val="24"/>
          <w:szCs w:val="24"/>
        </w:rPr>
        <w:t xml:space="preserve">Niekiedy genezę i  uwarunkowania funkcjonowania szarej strefy łączy się z historią danego państwa i jego kulturą narodową.  </w:t>
      </w:r>
      <w:r w:rsidR="00AA659F" w:rsidRPr="00AA659F">
        <w:rPr>
          <w:rFonts w:ascii="Times New Roman" w:hAnsi="Times New Roman" w:cs="Times New Roman"/>
          <w:sz w:val="24"/>
          <w:szCs w:val="24"/>
        </w:rPr>
        <w:t xml:space="preserve">W encyklopedii  PWN można znaleźć definicję kultury  jako całokształtu materialnego i duchowego dorobku ludzkości – gromadzonego i utrwalonego oraz wzbogaconego w ciągu jej dziejów, przekazywanego z pokolenia na pokolenie. W skład tak pojętej kultury wchodzą nie tylko wytwory materialne i instytucje społeczne, ale także zasady współżycia społecznego, sposoby postępowania, wzory, kryteria ocen estetycznych i moralnych przyjęte w danej zbiorowości i wyznaczające obowiązujące  wzorce </w:t>
      </w:r>
      <w:proofErr w:type="spellStart"/>
      <w:r w:rsidR="00AA659F" w:rsidRPr="00AA659F">
        <w:rPr>
          <w:rFonts w:ascii="Times New Roman" w:hAnsi="Times New Roman" w:cs="Times New Roman"/>
          <w:sz w:val="24"/>
          <w:szCs w:val="24"/>
        </w:rPr>
        <w:t>zachowań</w:t>
      </w:r>
      <w:proofErr w:type="spellEnd"/>
      <w:r w:rsidR="00AA659F" w:rsidRPr="00AA659F">
        <w:rPr>
          <w:rFonts w:ascii="Times New Roman" w:hAnsi="Times New Roman" w:cs="Times New Roman"/>
          <w:sz w:val="24"/>
          <w:szCs w:val="24"/>
        </w:rPr>
        <w:t xml:space="preserve"> (Encyklopedia</w:t>
      </w:r>
      <w:r w:rsidR="00AA659F">
        <w:rPr>
          <w:rFonts w:ascii="Times New Roman" w:hAnsi="Times New Roman" w:cs="Times New Roman"/>
          <w:sz w:val="24"/>
          <w:szCs w:val="24"/>
        </w:rPr>
        <w:t>,</w:t>
      </w:r>
      <w:r w:rsidR="00AA659F" w:rsidRPr="00AA659F">
        <w:rPr>
          <w:rFonts w:ascii="Times New Roman" w:hAnsi="Times New Roman" w:cs="Times New Roman"/>
          <w:sz w:val="24"/>
          <w:szCs w:val="24"/>
        </w:rPr>
        <w:t xml:space="preserve"> 1994</w:t>
      </w:r>
      <w:r w:rsidR="00396ECD">
        <w:rPr>
          <w:rFonts w:ascii="Times New Roman" w:hAnsi="Times New Roman" w:cs="Times New Roman"/>
          <w:sz w:val="24"/>
          <w:szCs w:val="24"/>
        </w:rPr>
        <w:t xml:space="preserve"> s.24</w:t>
      </w:r>
      <w:r w:rsidR="00AA659F" w:rsidRPr="00AA659F">
        <w:rPr>
          <w:rFonts w:ascii="Times New Roman" w:hAnsi="Times New Roman" w:cs="Times New Roman"/>
          <w:sz w:val="24"/>
          <w:szCs w:val="24"/>
        </w:rPr>
        <w:t>).</w:t>
      </w:r>
      <w:r w:rsidR="00AA659F">
        <w:rPr>
          <w:rFonts w:ascii="Times New Roman" w:hAnsi="Times New Roman" w:cs="Times New Roman"/>
          <w:sz w:val="24"/>
          <w:szCs w:val="24"/>
        </w:rPr>
        <w:t xml:space="preserve"> Jeżeli wzorce i przyjęte normy akceptują </w:t>
      </w:r>
      <w:r w:rsidR="00AA659F">
        <w:rPr>
          <w:rFonts w:ascii="Times New Roman" w:hAnsi="Times New Roman" w:cs="Times New Roman"/>
          <w:sz w:val="24"/>
          <w:szCs w:val="24"/>
        </w:rPr>
        <w:lastRenderedPageBreak/>
        <w:t>działania szarej strefy wówczas jest kreowana przestrzeń do takich działań.</w:t>
      </w:r>
      <w:r w:rsidR="00AA659F" w:rsidRPr="00AA659F">
        <w:t xml:space="preserve"> </w:t>
      </w:r>
      <w:r w:rsidR="00AA659F">
        <w:rPr>
          <w:rFonts w:ascii="Times New Roman" w:hAnsi="Times New Roman" w:cs="Times New Roman"/>
          <w:sz w:val="24"/>
          <w:szCs w:val="24"/>
        </w:rPr>
        <w:t xml:space="preserve">Normy społeczne </w:t>
      </w:r>
      <w:r w:rsidR="00404AAA">
        <w:rPr>
          <w:rFonts w:ascii="Times New Roman" w:hAnsi="Times New Roman" w:cs="Times New Roman"/>
          <w:sz w:val="24"/>
          <w:szCs w:val="24"/>
        </w:rPr>
        <w:t>są kształtowane</w:t>
      </w:r>
      <w:r w:rsidR="00AA659F" w:rsidRPr="00AA659F">
        <w:rPr>
          <w:rFonts w:ascii="Times New Roman" w:hAnsi="Times New Roman" w:cs="Times New Roman"/>
          <w:sz w:val="24"/>
          <w:szCs w:val="24"/>
        </w:rPr>
        <w:t xml:space="preserve"> pod wpływem kultury narodowej</w:t>
      </w:r>
      <w:r w:rsidR="00AA659F">
        <w:rPr>
          <w:rFonts w:ascii="Times New Roman" w:hAnsi="Times New Roman" w:cs="Times New Roman"/>
          <w:sz w:val="24"/>
          <w:szCs w:val="24"/>
        </w:rPr>
        <w:t xml:space="preserve">. </w:t>
      </w:r>
      <w:r w:rsidR="00B42584">
        <w:rPr>
          <w:rFonts w:ascii="Times New Roman" w:hAnsi="Times New Roman" w:cs="Times New Roman"/>
          <w:sz w:val="24"/>
          <w:szCs w:val="24"/>
        </w:rPr>
        <w:t>Na podstawie danych w</w:t>
      </w:r>
      <w:r w:rsidR="00B42584" w:rsidRPr="00B42584">
        <w:rPr>
          <w:rFonts w:ascii="Times New Roman" w:hAnsi="Times New Roman" w:cs="Times New Roman"/>
          <w:sz w:val="24"/>
          <w:szCs w:val="24"/>
        </w:rPr>
        <w:t>ewnątrz</w:t>
      </w:r>
      <w:r w:rsidR="00B42584">
        <w:rPr>
          <w:rFonts w:ascii="Times New Roman" w:hAnsi="Times New Roman" w:cs="Times New Roman"/>
          <w:sz w:val="24"/>
          <w:szCs w:val="24"/>
        </w:rPr>
        <w:t xml:space="preserve"> </w:t>
      </w:r>
      <w:r w:rsidR="00B42584" w:rsidRPr="00B42584">
        <w:rPr>
          <w:rFonts w:ascii="Times New Roman" w:hAnsi="Times New Roman" w:cs="Times New Roman"/>
          <w:sz w:val="24"/>
          <w:szCs w:val="24"/>
        </w:rPr>
        <w:t>europejskiej Organizacji Administracji Podatkowych można stwierdzić, że odsetek wydatków na administracje skarbową w Polsce w 2010 r. wyniósł 1,4 proc. W Norwegii koszty te stanowią zaledwie 0,55 proc. wpływów z podatków, w Finlandii – 0,68</w:t>
      </w:r>
      <w:r w:rsidR="00B42584">
        <w:rPr>
          <w:rFonts w:ascii="Times New Roman" w:hAnsi="Times New Roman" w:cs="Times New Roman"/>
          <w:sz w:val="24"/>
          <w:szCs w:val="24"/>
        </w:rPr>
        <w:t xml:space="preserve"> proc., a w Austrii – 0,82 proc (Wojciechowski, 2013</w:t>
      </w:r>
      <w:r w:rsidR="00396ECD">
        <w:rPr>
          <w:rFonts w:ascii="Times New Roman" w:hAnsi="Times New Roman" w:cs="Times New Roman"/>
          <w:sz w:val="24"/>
          <w:szCs w:val="24"/>
        </w:rPr>
        <w:t xml:space="preserve"> s. 11</w:t>
      </w:r>
      <w:r w:rsidR="00B42584">
        <w:rPr>
          <w:rFonts w:ascii="Times New Roman" w:hAnsi="Times New Roman" w:cs="Times New Roman"/>
          <w:sz w:val="24"/>
          <w:szCs w:val="24"/>
        </w:rPr>
        <w:t>).  Tam gdzie państwo jest słabe i nie rozwiązuje problemów społecznych powstaje szara strefa. Problem ten był szczególnie w</w:t>
      </w:r>
      <w:r w:rsidR="0021647E">
        <w:rPr>
          <w:rFonts w:ascii="Times New Roman" w:hAnsi="Times New Roman" w:cs="Times New Roman"/>
          <w:sz w:val="24"/>
          <w:szCs w:val="24"/>
        </w:rPr>
        <w:t>idoczny w gospodarce planowej (</w:t>
      </w:r>
      <w:r w:rsidR="00B42584">
        <w:rPr>
          <w:rFonts w:ascii="Times New Roman" w:hAnsi="Times New Roman" w:cs="Times New Roman"/>
          <w:sz w:val="24"/>
          <w:szCs w:val="24"/>
        </w:rPr>
        <w:t xml:space="preserve">potocznie zwanej niedoboru). </w:t>
      </w:r>
      <w:r w:rsidR="0021647E">
        <w:rPr>
          <w:rFonts w:ascii="Times New Roman" w:hAnsi="Times New Roman" w:cs="Times New Roman"/>
          <w:sz w:val="24"/>
          <w:szCs w:val="24"/>
        </w:rPr>
        <w:t xml:space="preserve">Dostęp do produktów konsumpcyjnych ( w tym nawet żywności) był ograniczony, a źródłem zaspokojenia </w:t>
      </w:r>
      <w:r w:rsidR="00F62741">
        <w:rPr>
          <w:rFonts w:ascii="Times New Roman" w:hAnsi="Times New Roman" w:cs="Times New Roman"/>
          <w:sz w:val="24"/>
          <w:szCs w:val="24"/>
        </w:rPr>
        <w:t xml:space="preserve">przynajmniej </w:t>
      </w:r>
      <w:r w:rsidR="0021647E">
        <w:rPr>
          <w:rFonts w:ascii="Times New Roman" w:hAnsi="Times New Roman" w:cs="Times New Roman"/>
          <w:sz w:val="24"/>
          <w:szCs w:val="24"/>
        </w:rPr>
        <w:t>częściowego popytu była szara strefa. W okresie transformacji brak możliwości oficjalnego zatrudnienia, efektywnej pomocy społecznej skutkował zatrudnieniem w szarej strefie. Co wię</w:t>
      </w:r>
      <w:r w:rsidR="00F62741">
        <w:rPr>
          <w:rFonts w:ascii="Times New Roman" w:hAnsi="Times New Roman" w:cs="Times New Roman"/>
          <w:sz w:val="24"/>
          <w:szCs w:val="24"/>
        </w:rPr>
        <w:t>cej tego typu postępowanie powodowało i nadal wzbudza</w:t>
      </w:r>
      <w:r w:rsidR="0021647E">
        <w:rPr>
          <w:rFonts w:ascii="Times New Roman" w:hAnsi="Times New Roman" w:cs="Times New Roman"/>
          <w:sz w:val="24"/>
          <w:szCs w:val="24"/>
        </w:rPr>
        <w:t xml:space="preserve"> akceptację społeczną</w:t>
      </w:r>
      <w:r w:rsidR="00F62741">
        <w:rPr>
          <w:rFonts w:ascii="Times New Roman" w:hAnsi="Times New Roman" w:cs="Times New Roman"/>
          <w:sz w:val="24"/>
          <w:szCs w:val="24"/>
        </w:rPr>
        <w:t>. Ponadto</w:t>
      </w:r>
      <w:r w:rsidR="0021647E">
        <w:rPr>
          <w:rFonts w:ascii="Times New Roman" w:hAnsi="Times New Roman" w:cs="Times New Roman"/>
          <w:sz w:val="24"/>
          <w:szCs w:val="24"/>
        </w:rPr>
        <w:t xml:space="preserve"> w praktyce jest trudne do ograniczenia ( Buszko, 2016</w:t>
      </w:r>
      <w:r w:rsidR="00396ECD">
        <w:rPr>
          <w:rFonts w:ascii="Times New Roman" w:hAnsi="Times New Roman" w:cs="Times New Roman"/>
          <w:sz w:val="24"/>
          <w:szCs w:val="24"/>
        </w:rPr>
        <w:t xml:space="preserve"> s.11</w:t>
      </w:r>
      <w:r w:rsidR="0021647E">
        <w:rPr>
          <w:rFonts w:ascii="Times New Roman" w:hAnsi="Times New Roman" w:cs="Times New Roman"/>
          <w:sz w:val="24"/>
          <w:szCs w:val="24"/>
        </w:rPr>
        <w:t>).</w:t>
      </w:r>
    </w:p>
    <w:p w:rsidR="00B21AB7" w:rsidRDefault="00F62741" w:rsidP="0021647E">
      <w:pPr>
        <w:spacing w:line="360" w:lineRule="auto"/>
        <w:rPr>
          <w:rFonts w:ascii="Times New Roman" w:hAnsi="Times New Roman" w:cs="Times New Roman"/>
          <w:sz w:val="24"/>
          <w:szCs w:val="24"/>
        </w:rPr>
      </w:pPr>
      <w:r>
        <w:rPr>
          <w:rFonts w:ascii="Times New Roman" w:hAnsi="Times New Roman" w:cs="Times New Roman"/>
          <w:sz w:val="24"/>
          <w:szCs w:val="24"/>
        </w:rPr>
        <w:t>Biorąc pod uwagę wyniki badań doty</w:t>
      </w:r>
      <w:r w:rsidR="00517145">
        <w:rPr>
          <w:rFonts w:ascii="Times New Roman" w:hAnsi="Times New Roman" w:cs="Times New Roman"/>
          <w:sz w:val="24"/>
          <w:szCs w:val="24"/>
        </w:rPr>
        <w:t>czących efektów szarej strefy</w:t>
      </w:r>
      <w:r w:rsidR="004C7F18">
        <w:rPr>
          <w:rFonts w:ascii="Times New Roman" w:hAnsi="Times New Roman" w:cs="Times New Roman"/>
          <w:sz w:val="24"/>
          <w:szCs w:val="24"/>
        </w:rPr>
        <w:t xml:space="preserve"> oraz podstawy teoretyczne</w:t>
      </w:r>
      <w:r w:rsidR="00517145">
        <w:rPr>
          <w:rFonts w:ascii="Times New Roman" w:hAnsi="Times New Roman" w:cs="Times New Roman"/>
          <w:sz w:val="24"/>
          <w:szCs w:val="24"/>
        </w:rPr>
        <w:t xml:space="preserve"> należy stwierdzić, że nie są one jednoznaczne. </w:t>
      </w:r>
      <w:proofErr w:type="spellStart"/>
      <w:r w:rsidR="00B21AB7" w:rsidRPr="00B21AB7">
        <w:rPr>
          <w:rFonts w:ascii="Times New Roman" w:hAnsi="Times New Roman" w:cs="Times New Roman"/>
          <w:sz w:val="24"/>
          <w:szCs w:val="24"/>
        </w:rPr>
        <w:t>Elgin</w:t>
      </w:r>
      <w:proofErr w:type="spellEnd"/>
      <w:r w:rsidR="00B21AB7" w:rsidRPr="00B21AB7">
        <w:rPr>
          <w:rFonts w:ascii="Times New Roman" w:hAnsi="Times New Roman" w:cs="Times New Roman"/>
          <w:sz w:val="24"/>
          <w:szCs w:val="24"/>
        </w:rPr>
        <w:t xml:space="preserve"> oraz </w:t>
      </w:r>
      <w:r w:rsidR="00B21AB7">
        <w:rPr>
          <w:rFonts w:ascii="Times New Roman" w:hAnsi="Times New Roman" w:cs="Times New Roman"/>
          <w:sz w:val="24"/>
          <w:szCs w:val="24"/>
        </w:rPr>
        <w:t xml:space="preserve"> </w:t>
      </w:r>
      <w:proofErr w:type="spellStart"/>
      <w:r w:rsidR="00B21AB7">
        <w:rPr>
          <w:rFonts w:ascii="Times New Roman" w:hAnsi="Times New Roman" w:cs="Times New Roman"/>
          <w:sz w:val="24"/>
          <w:szCs w:val="24"/>
        </w:rPr>
        <w:t>Uras</w:t>
      </w:r>
      <w:proofErr w:type="spellEnd"/>
      <w:r w:rsidR="00B21AB7">
        <w:rPr>
          <w:rFonts w:ascii="Times New Roman" w:hAnsi="Times New Roman" w:cs="Times New Roman"/>
          <w:sz w:val="24"/>
          <w:szCs w:val="24"/>
        </w:rPr>
        <w:t xml:space="preserve">  na podstawie swoich badań dowiedli, że szara strefa skutkuje szeregiem negatywnych zjawisk:</w:t>
      </w:r>
    </w:p>
    <w:p w:rsidR="00B21AB7" w:rsidRDefault="00B21AB7" w:rsidP="0021647E">
      <w:pPr>
        <w:spacing w:line="360" w:lineRule="auto"/>
        <w:rPr>
          <w:rFonts w:ascii="Times New Roman" w:hAnsi="Times New Roman" w:cs="Times New Roman"/>
          <w:sz w:val="24"/>
          <w:szCs w:val="24"/>
        </w:rPr>
      </w:pPr>
      <w:r>
        <w:rPr>
          <w:rFonts w:ascii="Times New Roman" w:hAnsi="Times New Roman" w:cs="Times New Roman"/>
          <w:sz w:val="24"/>
          <w:szCs w:val="24"/>
        </w:rPr>
        <w:t>- zwiększonym zadłużeniem,</w:t>
      </w:r>
    </w:p>
    <w:p w:rsidR="00B21AB7" w:rsidRDefault="00B21AB7" w:rsidP="0021647E">
      <w:pPr>
        <w:spacing w:line="360" w:lineRule="auto"/>
        <w:rPr>
          <w:rFonts w:ascii="Times New Roman" w:hAnsi="Times New Roman" w:cs="Times New Roman"/>
          <w:sz w:val="24"/>
          <w:szCs w:val="24"/>
        </w:rPr>
      </w:pPr>
      <w:r>
        <w:rPr>
          <w:rFonts w:ascii="Times New Roman" w:hAnsi="Times New Roman" w:cs="Times New Roman"/>
          <w:sz w:val="24"/>
          <w:szCs w:val="24"/>
        </w:rPr>
        <w:t>- większymi kosztami obsługi długu publicznego,</w:t>
      </w:r>
    </w:p>
    <w:p w:rsidR="002E18EB" w:rsidRPr="00EF5662" w:rsidRDefault="00B21AB7" w:rsidP="0021647E">
      <w:pPr>
        <w:spacing w:line="360" w:lineRule="auto"/>
        <w:rPr>
          <w:rFonts w:ascii="Times New Roman" w:hAnsi="Times New Roman" w:cs="Times New Roman"/>
          <w:sz w:val="24"/>
          <w:szCs w:val="24"/>
        </w:rPr>
      </w:pPr>
      <w:r>
        <w:rPr>
          <w:rFonts w:ascii="Times New Roman" w:hAnsi="Times New Roman" w:cs="Times New Roman"/>
          <w:sz w:val="24"/>
          <w:szCs w:val="24"/>
        </w:rPr>
        <w:t xml:space="preserve">- podwyższonym ryzykiem niestabilności finansowej państwa </w:t>
      </w:r>
      <w:r w:rsidRPr="00B21AB7">
        <w:rPr>
          <w:rFonts w:ascii="Times New Roman" w:hAnsi="Times New Roman" w:cs="Times New Roman"/>
          <w:sz w:val="24"/>
          <w:szCs w:val="24"/>
        </w:rPr>
        <w:t>(</w:t>
      </w:r>
      <w:proofErr w:type="spellStart"/>
      <w:r w:rsidRPr="00B21AB7">
        <w:rPr>
          <w:rFonts w:ascii="Times New Roman" w:hAnsi="Times New Roman" w:cs="Times New Roman"/>
          <w:sz w:val="24"/>
          <w:szCs w:val="24"/>
        </w:rPr>
        <w:t>Elgin</w:t>
      </w:r>
      <w:proofErr w:type="spellEnd"/>
      <w:r w:rsidRPr="00B21AB7">
        <w:rPr>
          <w:rFonts w:ascii="Times New Roman" w:hAnsi="Times New Roman" w:cs="Times New Roman"/>
          <w:sz w:val="24"/>
          <w:szCs w:val="24"/>
        </w:rPr>
        <w:t xml:space="preserve">, C., </w:t>
      </w:r>
      <w:proofErr w:type="spellStart"/>
      <w:r w:rsidRPr="00B21AB7">
        <w:rPr>
          <w:rFonts w:ascii="Times New Roman" w:hAnsi="Times New Roman" w:cs="Times New Roman"/>
          <w:sz w:val="24"/>
          <w:szCs w:val="24"/>
        </w:rPr>
        <w:t>Uras</w:t>
      </w:r>
      <w:proofErr w:type="spellEnd"/>
      <w:r w:rsidRPr="00B21AB7">
        <w:rPr>
          <w:rFonts w:ascii="Times New Roman" w:hAnsi="Times New Roman" w:cs="Times New Roman"/>
          <w:sz w:val="24"/>
          <w:szCs w:val="24"/>
        </w:rPr>
        <w:t>, B.R., 2013</w:t>
      </w:r>
      <w:r w:rsidR="00396ECD">
        <w:rPr>
          <w:rFonts w:ascii="Times New Roman" w:hAnsi="Times New Roman" w:cs="Times New Roman"/>
          <w:sz w:val="24"/>
          <w:szCs w:val="24"/>
        </w:rPr>
        <w:t xml:space="preserve"> s.19</w:t>
      </w:r>
      <w:r w:rsidRPr="00B21AB7">
        <w:rPr>
          <w:rFonts w:ascii="Times New Roman" w:hAnsi="Times New Roman" w:cs="Times New Roman"/>
          <w:sz w:val="24"/>
          <w:szCs w:val="24"/>
        </w:rPr>
        <w:t>)</w:t>
      </w:r>
      <w:r w:rsidR="00F62741">
        <w:rPr>
          <w:rFonts w:ascii="Times New Roman" w:hAnsi="Times New Roman" w:cs="Times New Roman"/>
          <w:sz w:val="24"/>
          <w:szCs w:val="24"/>
        </w:rPr>
        <w:t>.</w:t>
      </w:r>
      <w:r w:rsidRPr="00B21AB7">
        <w:rPr>
          <w:rFonts w:ascii="Times New Roman" w:hAnsi="Times New Roman" w:cs="Times New Roman"/>
          <w:sz w:val="24"/>
          <w:szCs w:val="24"/>
        </w:rPr>
        <w:t xml:space="preserve">  </w:t>
      </w:r>
      <w:r w:rsidR="0051593D">
        <w:rPr>
          <w:rFonts w:ascii="Times New Roman" w:hAnsi="Times New Roman" w:cs="Times New Roman"/>
          <w:sz w:val="24"/>
          <w:szCs w:val="24"/>
        </w:rPr>
        <w:t xml:space="preserve">Ciekawe są spostrzeżenia </w:t>
      </w:r>
      <w:proofErr w:type="spellStart"/>
      <w:r w:rsidR="00637A11">
        <w:rPr>
          <w:rFonts w:ascii="Times New Roman" w:hAnsi="Times New Roman" w:cs="Times New Roman"/>
          <w:sz w:val="24"/>
          <w:szCs w:val="24"/>
        </w:rPr>
        <w:t>Gall</w:t>
      </w:r>
      <w:r w:rsidR="0051593D">
        <w:rPr>
          <w:rFonts w:ascii="Times New Roman" w:hAnsi="Times New Roman" w:cs="Times New Roman"/>
          <w:sz w:val="24"/>
          <w:szCs w:val="24"/>
        </w:rPr>
        <w:t>i</w:t>
      </w:r>
      <w:proofErr w:type="spellEnd"/>
      <w:r w:rsidR="0051593D">
        <w:rPr>
          <w:rFonts w:ascii="Times New Roman" w:hAnsi="Times New Roman" w:cs="Times New Roman"/>
          <w:sz w:val="24"/>
          <w:szCs w:val="24"/>
        </w:rPr>
        <w:t xml:space="preserve"> i Kucera, którzy w szarej strefie upatrują korzyści na rynku pracy związane z koniunkturą. Zatrudnienie oficjalne ma charakter pro cykliczny,  a nieoficjalne anty cykliczny. Otóż w okresie wzrostu gospodarczego rośnie zatrudnienie, a w przypadku bessy rośnie zatrudnienie w szarej strefie, gdyż w oficjalnej następuje redukcja pracowników </w:t>
      </w:r>
      <w:r w:rsidR="00637A11">
        <w:rPr>
          <w:rFonts w:ascii="Times New Roman" w:hAnsi="Times New Roman" w:cs="Times New Roman"/>
          <w:sz w:val="24"/>
          <w:szCs w:val="24"/>
        </w:rPr>
        <w:t>(</w:t>
      </w:r>
      <w:proofErr w:type="spellStart"/>
      <w:r w:rsidR="00637A11">
        <w:rPr>
          <w:rFonts w:ascii="Times New Roman" w:hAnsi="Times New Roman" w:cs="Times New Roman"/>
          <w:sz w:val="24"/>
          <w:szCs w:val="24"/>
        </w:rPr>
        <w:t>Galli</w:t>
      </w:r>
      <w:proofErr w:type="spellEnd"/>
      <w:r w:rsidR="00637A11">
        <w:rPr>
          <w:rFonts w:ascii="Times New Roman" w:hAnsi="Times New Roman" w:cs="Times New Roman"/>
          <w:sz w:val="24"/>
          <w:szCs w:val="24"/>
        </w:rPr>
        <w:t xml:space="preserve">, </w:t>
      </w:r>
      <w:proofErr w:type="spellStart"/>
      <w:r w:rsidR="00637A11">
        <w:rPr>
          <w:rFonts w:ascii="Times New Roman" w:hAnsi="Times New Roman" w:cs="Times New Roman"/>
          <w:sz w:val="24"/>
          <w:szCs w:val="24"/>
        </w:rPr>
        <w:t>Kucer</w:t>
      </w:r>
      <w:proofErr w:type="spellEnd"/>
      <w:r w:rsidR="00637A11">
        <w:rPr>
          <w:rFonts w:ascii="Times New Roman" w:hAnsi="Times New Roman" w:cs="Times New Roman"/>
          <w:sz w:val="24"/>
          <w:szCs w:val="24"/>
        </w:rPr>
        <w:t>, 2003</w:t>
      </w:r>
      <w:r w:rsidR="00396ECD">
        <w:rPr>
          <w:rFonts w:ascii="Times New Roman" w:hAnsi="Times New Roman" w:cs="Times New Roman"/>
          <w:sz w:val="24"/>
          <w:szCs w:val="24"/>
        </w:rPr>
        <w:t xml:space="preserve"> s.9</w:t>
      </w:r>
      <w:r w:rsidR="00637A11">
        <w:rPr>
          <w:rFonts w:ascii="Times New Roman" w:hAnsi="Times New Roman" w:cs="Times New Roman"/>
          <w:sz w:val="24"/>
          <w:szCs w:val="24"/>
        </w:rPr>
        <w:t>). Część badaczy przyjmuje, że wielkość szarej strefy pozytywnie wpływa na wzrost gospodarczy i przedstawia ku temu zarówno uzasadnienie teoretyczne</w:t>
      </w:r>
      <w:r w:rsidR="004C7F18">
        <w:rPr>
          <w:rFonts w:ascii="Times New Roman" w:hAnsi="Times New Roman" w:cs="Times New Roman"/>
          <w:sz w:val="24"/>
          <w:szCs w:val="24"/>
        </w:rPr>
        <w:t xml:space="preserve"> jak</w:t>
      </w:r>
      <w:r w:rsidR="00637A11">
        <w:rPr>
          <w:rFonts w:ascii="Times New Roman" w:hAnsi="Times New Roman" w:cs="Times New Roman"/>
          <w:sz w:val="24"/>
          <w:szCs w:val="24"/>
        </w:rPr>
        <w:t xml:space="preserve"> i empiryczne (</w:t>
      </w:r>
      <w:proofErr w:type="spellStart"/>
      <w:r w:rsidR="00637A11">
        <w:rPr>
          <w:rFonts w:ascii="Times New Roman" w:hAnsi="Times New Roman" w:cs="Times New Roman"/>
          <w:sz w:val="24"/>
          <w:szCs w:val="24"/>
        </w:rPr>
        <w:t>DellAnno</w:t>
      </w:r>
      <w:proofErr w:type="spellEnd"/>
      <w:r w:rsidR="00637A11">
        <w:rPr>
          <w:rFonts w:ascii="Times New Roman" w:hAnsi="Times New Roman" w:cs="Times New Roman"/>
          <w:sz w:val="24"/>
          <w:szCs w:val="24"/>
        </w:rPr>
        <w:t>, 2008</w:t>
      </w:r>
      <w:r w:rsidR="00396ECD">
        <w:rPr>
          <w:rFonts w:ascii="Times New Roman" w:hAnsi="Times New Roman" w:cs="Times New Roman"/>
          <w:sz w:val="24"/>
          <w:szCs w:val="24"/>
        </w:rPr>
        <w:t xml:space="preserve"> s.12</w:t>
      </w:r>
      <w:r w:rsidR="00637A11">
        <w:rPr>
          <w:rFonts w:ascii="Times New Roman" w:hAnsi="Times New Roman" w:cs="Times New Roman"/>
          <w:sz w:val="24"/>
          <w:szCs w:val="24"/>
        </w:rPr>
        <w:t xml:space="preserve">), a druga reprezentowana zwłaszcza przez </w:t>
      </w:r>
      <w:proofErr w:type="spellStart"/>
      <w:r w:rsidR="00637A11">
        <w:rPr>
          <w:rFonts w:ascii="Times New Roman" w:hAnsi="Times New Roman" w:cs="Times New Roman"/>
          <w:sz w:val="24"/>
          <w:szCs w:val="24"/>
        </w:rPr>
        <w:t>Loayza</w:t>
      </w:r>
      <w:proofErr w:type="spellEnd"/>
      <w:r w:rsidR="00637A11">
        <w:rPr>
          <w:rFonts w:ascii="Times New Roman" w:hAnsi="Times New Roman" w:cs="Times New Roman"/>
          <w:sz w:val="24"/>
          <w:szCs w:val="24"/>
        </w:rPr>
        <w:t xml:space="preserve"> utrzymuje negatywny związek pomiędzy wzrostem i rozmiarem szarej strefy (</w:t>
      </w:r>
      <w:proofErr w:type="spellStart"/>
      <w:r w:rsidR="00637A11">
        <w:rPr>
          <w:rFonts w:ascii="Times New Roman" w:hAnsi="Times New Roman" w:cs="Times New Roman"/>
          <w:sz w:val="24"/>
          <w:szCs w:val="24"/>
        </w:rPr>
        <w:t>Loayza</w:t>
      </w:r>
      <w:proofErr w:type="spellEnd"/>
      <w:r w:rsidR="00637A11">
        <w:rPr>
          <w:rFonts w:ascii="Times New Roman" w:hAnsi="Times New Roman" w:cs="Times New Roman"/>
          <w:sz w:val="24"/>
          <w:szCs w:val="24"/>
        </w:rPr>
        <w:t>, 1996</w:t>
      </w:r>
      <w:r w:rsidR="00396ECD">
        <w:rPr>
          <w:rFonts w:ascii="Times New Roman" w:hAnsi="Times New Roman" w:cs="Times New Roman"/>
          <w:sz w:val="24"/>
          <w:szCs w:val="24"/>
        </w:rPr>
        <w:t xml:space="preserve"> s.19</w:t>
      </w:r>
      <w:r w:rsidR="00637A11">
        <w:rPr>
          <w:rFonts w:ascii="Times New Roman" w:hAnsi="Times New Roman" w:cs="Times New Roman"/>
          <w:sz w:val="24"/>
          <w:szCs w:val="24"/>
        </w:rPr>
        <w:t>).</w:t>
      </w:r>
      <w:r w:rsidR="00517145">
        <w:rPr>
          <w:rFonts w:ascii="Times New Roman" w:hAnsi="Times New Roman" w:cs="Times New Roman"/>
          <w:sz w:val="24"/>
          <w:szCs w:val="24"/>
        </w:rPr>
        <w:t xml:space="preserve"> Szara strefa deformuje zasady równiej konkurencji. Podmioty działające w szarej strefie są w znacznie mniejszym stopniu obciążone kosztami, ale z drugiej strony mają trudniejszy dostęp do oficjalnych nisz rynkowych np. w przy zamówieniach rządowych, czy też przetargach organizowanych przez samorządy lokalne. Korupcja, która jest elementem szarej strefy skutkuje obniżeniem innowacyjności, kreatywności oraz przedsiębiorczości.</w:t>
      </w:r>
      <w:r w:rsidR="00517145" w:rsidRPr="00517145">
        <w:t xml:space="preserve"> </w:t>
      </w:r>
      <w:r w:rsidR="00517145">
        <w:rPr>
          <w:rFonts w:ascii="Times New Roman" w:hAnsi="Times New Roman" w:cs="Times New Roman"/>
          <w:sz w:val="24"/>
          <w:szCs w:val="24"/>
        </w:rPr>
        <w:t xml:space="preserve">Adam oraz </w:t>
      </w:r>
      <w:proofErr w:type="spellStart"/>
      <w:r w:rsidR="00517145" w:rsidRPr="00517145">
        <w:rPr>
          <w:rFonts w:ascii="Times New Roman" w:hAnsi="Times New Roman" w:cs="Times New Roman"/>
          <w:sz w:val="24"/>
          <w:szCs w:val="24"/>
        </w:rPr>
        <w:t>Ginsburgh</w:t>
      </w:r>
      <w:proofErr w:type="spellEnd"/>
      <w:r w:rsidR="00517145">
        <w:rPr>
          <w:rFonts w:ascii="Times New Roman" w:hAnsi="Times New Roman" w:cs="Times New Roman"/>
          <w:sz w:val="24"/>
          <w:szCs w:val="24"/>
        </w:rPr>
        <w:t xml:space="preserve"> doszli do wniosku, że szara strefa nie wymaga dużych kosztów wejścia i wyjścia</w:t>
      </w:r>
      <w:r w:rsidR="00C96FC4">
        <w:rPr>
          <w:rFonts w:ascii="Times New Roman" w:hAnsi="Times New Roman" w:cs="Times New Roman"/>
          <w:sz w:val="24"/>
          <w:szCs w:val="24"/>
        </w:rPr>
        <w:t xml:space="preserve"> z ryn</w:t>
      </w:r>
      <w:r w:rsidR="004C7F18">
        <w:rPr>
          <w:rFonts w:ascii="Times New Roman" w:hAnsi="Times New Roman" w:cs="Times New Roman"/>
          <w:sz w:val="24"/>
          <w:szCs w:val="24"/>
        </w:rPr>
        <w:t>k</w:t>
      </w:r>
      <w:r w:rsidR="00C96FC4">
        <w:rPr>
          <w:rFonts w:ascii="Times New Roman" w:hAnsi="Times New Roman" w:cs="Times New Roman"/>
          <w:sz w:val="24"/>
          <w:szCs w:val="24"/>
        </w:rPr>
        <w:t>u</w:t>
      </w:r>
      <w:r w:rsidR="004C7F18">
        <w:rPr>
          <w:rFonts w:ascii="Times New Roman" w:hAnsi="Times New Roman" w:cs="Times New Roman"/>
          <w:sz w:val="24"/>
          <w:szCs w:val="24"/>
        </w:rPr>
        <w:t>,</w:t>
      </w:r>
      <w:r w:rsidR="00517145">
        <w:rPr>
          <w:rFonts w:ascii="Times New Roman" w:hAnsi="Times New Roman" w:cs="Times New Roman"/>
          <w:sz w:val="24"/>
          <w:szCs w:val="24"/>
        </w:rPr>
        <w:t xml:space="preserve"> co powoduje zwiększoną ( a zatem korzystną ) konkurencję (Adam, </w:t>
      </w:r>
      <w:proofErr w:type="spellStart"/>
      <w:r w:rsidR="00517145">
        <w:rPr>
          <w:rFonts w:ascii="Times New Roman" w:hAnsi="Times New Roman" w:cs="Times New Roman"/>
          <w:sz w:val="24"/>
          <w:szCs w:val="24"/>
        </w:rPr>
        <w:lastRenderedPageBreak/>
        <w:t>Ginsburgh</w:t>
      </w:r>
      <w:proofErr w:type="spellEnd"/>
      <w:r w:rsidR="00517145">
        <w:rPr>
          <w:rFonts w:ascii="Times New Roman" w:hAnsi="Times New Roman" w:cs="Times New Roman"/>
          <w:sz w:val="24"/>
          <w:szCs w:val="24"/>
        </w:rPr>
        <w:t>, 1985</w:t>
      </w:r>
      <w:r w:rsidR="00396ECD">
        <w:rPr>
          <w:rFonts w:ascii="Times New Roman" w:hAnsi="Times New Roman" w:cs="Times New Roman"/>
          <w:sz w:val="24"/>
          <w:szCs w:val="24"/>
        </w:rPr>
        <w:t xml:space="preserve"> s.19</w:t>
      </w:r>
      <w:r w:rsidR="00517145">
        <w:rPr>
          <w:rFonts w:ascii="Times New Roman" w:hAnsi="Times New Roman" w:cs="Times New Roman"/>
          <w:sz w:val="24"/>
          <w:szCs w:val="24"/>
        </w:rPr>
        <w:t>).</w:t>
      </w:r>
      <w:r w:rsidR="004C7F18">
        <w:rPr>
          <w:rFonts w:ascii="Times New Roman" w:hAnsi="Times New Roman" w:cs="Times New Roman"/>
          <w:sz w:val="24"/>
          <w:szCs w:val="24"/>
        </w:rPr>
        <w:t xml:space="preserve"> Konkludując powyższy wątek należy stwierdzić, że problem efektów szarej strefy jest </w:t>
      </w:r>
      <w:r w:rsidR="00711943">
        <w:rPr>
          <w:rFonts w:ascii="Times New Roman" w:hAnsi="Times New Roman" w:cs="Times New Roman"/>
          <w:sz w:val="24"/>
          <w:szCs w:val="24"/>
        </w:rPr>
        <w:t xml:space="preserve">wieloaspektowy, a jednoznaczna ocena </w:t>
      </w:r>
      <w:r w:rsidR="0050284F">
        <w:rPr>
          <w:rFonts w:ascii="Times New Roman" w:hAnsi="Times New Roman" w:cs="Times New Roman"/>
          <w:sz w:val="24"/>
          <w:szCs w:val="24"/>
        </w:rPr>
        <w:t xml:space="preserve">jej skutków </w:t>
      </w:r>
      <w:r w:rsidR="00711943">
        <w:rPr>
          <w:rFonts w:ascii="Times New Roman" w:hAnsi="Times New Roman" w:cs="Times New Roman"/>
          <w:sz w:val="24"/>
          <w:szCs w:val="24"/>
        </w:rPr>
        <w:t>bywa złożona.</w:t>
      </w:r>
    </w:p>
    <w:p w:rsidR="00B02076" w:rsidRDefault="00B02076" w:rsidP="00B02076">
      <w:pPr>
        <w:spacing w:line="360" w:lineRule="auto"/>
        <w:rPr>
          <w:rFonts w:ascii="Times New Roman" w:hAnsi="Times New Roman" w:cs="Times New Roman"/>
          <w:sz w:val="28"/>
          <w:szCs w:val="28"/>
        </w:rPr>
      </w:pPr>
    </w:p>
    <w:p w:rsidR="0050284F" w:rsidRPr="00B02076" w:rsidRDefault="00F62741" w:rsidP="00B02076">
      <w:pPr>
        <w:spacing w:line="360" w:lineRule="auto"/>
        <w:rPr>
          <w:rFonts w:ascii="Times New Roman" w:hAnsi="Times New Roman" w:cs="Times New Roman"/>
          <w:sz w:val="28"/>
          <w:szCs w:val="28"/>
        </w:rPr>
      </w:pPr>
      <w:r w:rsidRPr="00711943">
        <w:rPr>
          <w:rFonts w:ascii="Times New Roman" w:hAnsi="Times New Roman" w:cs="Times New Roman"/>
          <w:sz w:val="28"/>
          <w:szCs w:val="28"/>
        </w:rPr>
        <w:t>Luka p</w:t>
      </w:r>
      <w:r w:rsidR="00583861">
        <w:rPr>
          <w:rFonts w:ascii="Times New Roman" w:hAnsi="Times New Roman" w:cs="Times New Roman"/>
          <w:sz w:val="28"/>
          <w:szCs w:val="28"/>
        </w:rPr>
        <w:t>oda</w:t>
      </w:r>
      <w:r w:rsidR="00F4788C">
        <w:rPr>
          <w:rFonts w:ascii="Times New Roman" w:hAnsi="Times New Roman" w:cs="Times New Roman"/>
          <w:sz w:val="28"/>
          <w:szCs w:val="28"/>
        </w:rPr>
        <w:t>tkowa</w:t>
      </w:r>
      <w:r w:rsidRPr="00711943">
        <w:rPr>
          <w:rFonts w:ascii="Times New Roman" w:hAnsi="Times New Roman" w:cs="Times New Roman"/>
          <w:sz w:val="28"/>
          <w:szCs w:val="28"/>
        </w:rPr>
        <w:t xml:space="preserve"> w Polsce</w:t>
      </w:r>
    </w:p>
    <w:p w:rsidR="000C69BF" w:rsidRDefault="000C69BF" w:rsidP="002E18EB">
      <w:pPr>
        <w:spacing w:line="360" w:lineRule="auto"/>
        <w:ind w:firstLine="708"/>
        <w:rPr>
          <w:rFonts w:ascii="Times New Roman" w:hAnsi="Times New Roman" w:cs="Times New Roman"/>
          <w:sz w:val="24"/>
          <w:szCs w:val="24"/>
        </w:rPr>
      </w:pPr>
    </w:p>
    <w:p w:rsidR="0050284F" w:rsidRDefault="002E18EB" w:rsidP="00396ECD">
      <w:pPr>
        <w:spacing w:line="360" w:lineRule="auto"/>
        <w:ind w:firstLine="708"/>
        <w:rPr>
          <w:rFonts w:ascii="Times New Roman" w:hAnsi="Times New Roman" w:cs="Times New Roman"/>
          <w:sz w:val="24"/>
          <w:szCs w:val="24"/>
        </w:rPr>
      </w:pPr>
      <w:r w:rsidRPr="002E18EB">
        <w:rPr>
          <w:rFonts w:ascii="Times New Roman" w:hAnsi="Times New Roman" w:cs="Times New Roman"/>
          <w:sz w:val="24"/>
          <w:szCs w:val="24"/>
        </w:rPr>
        <w:t xml:space="preserve">Lukę podatkową </w:t>
      </w:r>
      <w:r>
        <w:rPr>
          <w:rFonts w:ascii="Times New Roman" w:hAnsi="Times New Roman" w:cs="Times New Roman"/>
          <w:sz w:val="24"/>
          <w:szCs w:val="24"/>
        </w:rPr>
        <w:t xml:space="preserve"> zasadniczo </w:t>
      </w:r>
      <w:r w:rsidRPr="002E18EB">
        <w:rPr>
          <w:rFonts w:ascii="Times New Roman" w:hAnsi="Times New Roman" w:cs="Times New Roman"/>
          <w:sz w:val="24"/>
          <w:szCs w:val="24"/>
        </w:rPr>
        <w:t xml:space="preserve">definiuje się jako różnicę pomiędzy wpływami z podatków, które powinny zostać teoretycznie osiągnięte oraz kwotą </w:t>
      </w:r>
      <w:r>
        <w:rPr>
          <w:rFonts w:ascii="Times New Roman" w:hAnsi="Times New Roman" w:cs="Times New Roman"/>
          <w:sz w:val="24"/>
          <w:szCs w:val="24"/>
        </w:rPr>
        <w:t>rzeczywistych wpływów. Innymi słowy jest to kwota, która powinna, a nie została uregulowana z tytułu podatków. Luka podatkowa w Polsce systematycznie rośnie i nie tylko dotyczy to najważniejszego z podatków (VAT), ale również z CIT, akcyzy oraz w mniejszym stopniu z PIT.</w:t>
      </w:r>
    </w:p>
    <w:p w:rsidR="001C6278" w:rsidRPr="00B21AB7" w:rsidRDefault="00D526C4">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6B685BC1" wp14:editId="1D94E60A">
            <wp:extent cx="5499100" cy="299339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2993390"/>
                    </a:xfrm>
                    <a:prstGeom prst="rect">
                      <a:avLst/>
                    </a:prstGeom>
                    <a:noFill/>
                  </pic:spPr>
                </pic:pic>
              </a:graphicData>
            </a:graphic>
          </wp:inline>
        </w:drawing>
      </w:r>
    </w:p>
    <w:p w:rsidR="005B340D" w:rsidRDefault="005B340D" w:rsidP="005B340D">
      <w:pPr>
        <w:rPr>
          <w:rFonts w:ascii="Times New Roman" w:hAnsi="Times New Roman" w:cs="Times New Roman"/>
          <w:sz w:val="24"/>
          <w:szCs w:val="24"/>
        </w:rPr>
      </w:pPr>
      <w:r>
        <w:rPr>
          <w:rFonts w:ascii="Times New Roman" w:hAnsi="Times New Roman" w:cs="Times New Roman"/>
          <w:sz w:val="24"/>
          <w:szCs w:val="24"/>
        </w:rPr>
        <w:t>Rys. 1</w:t>
      </w:r>
    </w:p>
    <w:p w:rsidR="005B340D" w:rsidRPr="00B21AB7" w:rsidRDefault="005B340D" w:rsidP="005B340D">
      <w:pPr>
        <w:rPr>
          <w:rFonts w:ascii="Times New Roman" w:hAnsi="Times New Roman" w:cs="Times New Roman"/>
          <w:sz w:val="24"/>
          <w:szCs w:val="24"/>
        </w:rPr>
      </w:pPr>
      <w:r w:rsidRPr="00D526C4">
        <w:rPr>
          <w:rFonts w:ascii="Times New Roman" w:hAnsi="Times New Roman" w:cs="Times New Roman"/>
          <w:sz w:val="24"/>
          <w:szCs w:val="24"/>
        </w:rPr>
        <w:t>Luka podatkowa jako odsetek rzeczywistych wpływów z podatku VAT (%)</w:t>
      </w:r>
      <w:r>
        <w:rPr>
          <w:rFonts w:ascii="Times New Roman" w:hAnsi="Times New Roman" w:cs="Times New Roman"/>
          <w:sz w:val="24"/>
          <w:szCs w:val="24"/>
        </w:rPr>
        <w:t xml:space="preserve"> w latach 2006-2015</w:t>
      </w:r>
    </w:p>
    <w:p w:rsidR="00D526C4" w:rsidRPr="00D526C4" w:rsidRDefault="00D526C4">
      <w:pPr>
        <w:rPr>
          <w:rFonts w:ascii="Times New Roman" w:hAnsi="Times New Roman" w:cs="Times New Roman"/>
          <w:sz w:val="20"/>
          <w:szCs w:val="20"/>
        </w:rPr>
      </w:pPr>
      <w:r w:rsidRPr="00D526C4">
        <w:rPr>
          <w:rFonts w:ascii="Times New Roman" w:hAnsi="Times New Roman" w:cs="Times New Roman"/>
          <w:sz w:val="20"/>
          <w:szCs w:val="20"/>
        </w:rPr>
        <w:t xml:space="preserve">Źródło: </w:t>
      </w:r>
      <w:proofErr w:type="spellStart"/>
      <w:r w:rsidRPr="00D526C4">
        <w:rPr>
          <w:rFonts w:ascii="Times New Roman" w:hAnsi="Times New Roman" w:cs="Times New Roman"/>
          <w:sz w:val="20"/>
          <w:szCs w:val="20"/>
        </w:rPr>
        <w:t>PwC</w:t>
      </w:r>
      <w:proofErr w:type="spellEnd"/>
      <w:r w:rsidRPr="00D526C4">
        <w:rPr>
          <w:rFonts w:ascii="Times New Roman" w:hAnsi="Times New Roman" w:cs="Times New Roman"/>
          <w:sz w:val="20"/>
          <w:szCs w:val="20"/>
        </w:rPr>
        <w:t>. (2014) Luka podatkowa w VAT – jak to zwalczać? Warszawa. Styczeń. Ministerstwo Finansów</w:t>
      </w:r>
    </w:p>
    <w:p w:rsidR="00D526C4" w:rsidRDefault="00D526C4">
      <w:pPr>
        <w:rPr>
          <w:rFonts w:ascii="Times New Roman" w:hAnsi="Times New Roman" w:cs="Times New Roman"/>
          <w:sz w:val="24"/>
          <w:szCs w:val="24"/>
        </w:rPr>
      </w:pPr>
    </w:p>
    <w:p w:rsidR="00D526C4" w:rsidRPr="00D526C4" w:rsidRDefault="00D526C4" w:rsidP="002E18EB">
      <w:pPr>
        <w:spacing w:line="360" w:lineRule="auto"/>
        <w:ind w:firstLine="708"/>
        <w:rPr>
          <w:rFonts w:ascii="Times New Roman" w:hAnsi="Times New Roman" w:cs="Times New Roman"/>
          <w:sz w:val="24"/>
          <w:szCs w:val="24"/>
        </w:rPr>
      </w:pPr>
      <w:r w:rsidRPr="00D526C4">
        <w:rPr>
          <w:rFonts w:ascii="Times New Roman" w:hAnsi="Times New Roman" w:cs="Times New Roman"/>
          <w:sz w:val="24"/>
          <w:szCs w:val="24"/>
        </w:rPr>
        <w:t xml:space="preserve">W raporcie </w:t>
      </w:r>
      <w:proofErr w:type="spellStart"/>
      <w:r w:rsidRPr="00D526C4">
        <w:rPr>
          <w:rFonts w:ascii="Times New Roman" w:hAnsi="Times New Roman" w:cs="Times New Roman"/>
          <w:sz w:val="24"/>
          <w:szCs w:val="24"/>
        </w:rPr>
        <w:t>PwC</w:t>
      </w:r>
      <w:proofErr w:type="spellEnd"/>
      <w:r w:rsidRPr="00D526C4">
        <w:rPr>
          <w:rFonts w:ascii="Times New Roman" w:hAnsi="Times New Roman" w:cs="Times New Roman"/>
          <w:sz w:val="24"/>
          <w:szCs w:val="24"/>
        </w:rPr>
        <w:t xml:space="preserve"> pt. Luka podatkowa w VAT – jak to zwalczać? stwierdzono, że tak naprawdę występują dwa istotne uwarunkowania zmniejszające dochody budżetowe z tytułu podatków tj. :</w:t>
      </w:r>
    </w:p>
    <w:p w:rsidR="00D526C4" w:rsidRPr="00D526C4" w:rsidRDefault="00D526C4" w:rsidP="002E18EB">
      <w:pPr>
        <w:spacing w:line="360" w:lineRule="auto"/>
        <w:rPr>
          <w:rFonts w:ascii="Times New Roman" w:hAnsi="Times New Roman" w:cs="Times New Roman"/>
          <w:sz w:val="24"/>
          <w:szCs w:val="24"/>
        </w:rPr>
      </w:pPr>
      <w:r w:rsidRPr="00D526C4">
        <w:rPr>
          <w:rFonts w:ascii="Times New Roman" w:hAnsi="Times New Roman" w:cs="Times New Roman"/>
          <w:sz w:val="24"/>
          <w:szCs w:val="24"/>
        </w:rPr>
        <w:t>1)   szara strefa, czyli działalność gospodarcza nieujawniona organom państwa w celu uchylenia się od obciążeń podatkowych,</w:t>
      </w:r>
    </w:p>
    <w:p w:rsidR="00D526C4" w:rsidRDefault="00D526C4" w:rsidP="002E18EB">
      <w:pPr>
        <w:spacing w:line="360" w:lineRule="auto"/>
        <w:rPr>
          <w:rFonts w:ascii="Times New Roman" w:hAnsi="Times New Roman" w:cs="Times New Roman"/>
          <w:sz w:val="24"/>
          <w:szCs w:val="24"/>
        </w:rPr>
      </w:pPr>
      <w:r w:rsidRPr="00D526C4">
        <w:rPr>
          <w:rFonts w:ascii="Times New Roman" w:hAnsi="Times New Roman" w:cs="Times New Roman"/>
          <w:sz w:val="24"/>
          <w:szCs w:val="24"/>
        </w:rPr>
        <w:t>2) oszustwa podatkowe, czyli działalność stricte kryminalna bezpośrednio ukierunkowana na wyłudzenie korzyści majątkowych poprzez nadużywanie elementów konstrukcyjnych podatku VAT</w:t>
      </w:r>
      <w:r w:rsidR="002E18EB">
        <w:rPr>
          <w:rFonts w:ascii="Times New Roman" w:hAnsi="Times New Roman" w:cs="Times New Roman"/>
          <w:sz w:val="24"/>
          <w:szCs w:val="24"/>
        </w:rPr>
        <w:t xml:space="preserve"> tzw. przestępstwa karuzelowe</w:t>
      </w:r>
      <w:r w:rsidRPr="00D526C4">
        <w:rPr>
          <w:rFonts w:ascii="Times New Roman" w:hAnsi="Times New Roman" w:cs="Times New Roman"/>
          <w:sz w:val="24"/>
          <w:szCs w:val="24"/>
        </w:rPr>
        <w:t xml:space="preserve"> ( </w:t>
      </w:r>
      <w:proofErr w:type="spellStart"/>
      <w:r w:rsidRPr="00D526C4">
        <w:rPr>
          <w:rFonts w:ascii="Times New Roman" w:hAnsi="Times New Roman" w:cs="Times New Roman"/>
          <w:sz w:val="24"/>
          <w:szCs w:val="24"/>
        </w:rPr>
        <w:t>PwC</w:t>
      </w:r>
      <w:proofErr w:type="spellEnd"/>
      <w:r w:rsidRPr="00D526C4">
        <w:rPr>
          <w:rFonts w:ascii="Times New Roman" w:hAnsi="Times New Roman" w:cs="Times New Roman"/>
          <w:sz w:val="24"/>
          <w:szCs w:val="24"/>
        </w:rPr>
        <w:t xml:space="preserve"> 2014</w:t>
      </w:r>
      <w:r w:rsidR="00396ECD">
        <w:rPr>
          <w:rFonts w:ascii="Times New Roman" w:hAnsi="Times New Roman" w:cs="Times New Roman"/>
          <w:sz w:val="24"/>
          <w:szCs w:val="24"/>
        </w:rPr>
        <w:t xml:space="preserve"> s.9</w:t>
      </w:r>
      <w:r w:rsidRPr="00D526C4">
        <w:rPr>
          <w:rFonts w:ascii="Times New Roman" w:hAnsi="Times New Roman" w:cs="Times New Roman"/>
          <w:sz w:val="24"/>
          <w:szCs w:val="24"/>
        </w:rPr>
        <w:t>).</w:t>
      </w:r>
    </w:p>
    <w:p w:rsidR="002E18EB" w:rsidRDefault="002E18EB" w:rsidP="00714377">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Powyższym  uwarunkowaniom sprzyja</w:t>
      </w:r>
      <w:r w:rsidR="00B4134B">
        <w:rPr>
          <w:rFonts w:ascii="Times New Roman" w:hAnsi="Times New Roman" w:cs="Times New Roman"/>
          <w:sz w:val="24"/>
          <w:szCs w:val="24"/>
        </w:rPr>
        <w:t xml:space="preserve"> nie tylko szara strefa, ale również</w:t>
      </w:r>
      <w:r>
        <w:rPr>
          <w:rFonts w:ascii="Times New Roman" w:hAnsi="Times New Roman" w:cs="Times New Roman"/>
          <w:sz w:val="24"/>
          <w:szCs w:val="24"/>
        </w:rPr>
        <w:t xml:space="preserve"> wysoka akceptacja do unikania zobowiązań podatkowych, </w:t>
      </w:r>
      <w:r w:rsidR="00A34016">
        <w:rPr>
          <w:rFonts w:ascii="Times New Roman" w:hAnsi="Times New Roman" w:cs="Times New Roman"/>
          <w:sz w:val="24"/>
          <w:szCs w:val="24"/>
        </w:rPr>
        <w:t xml:space="preserve">oraz </w:t>
      </w:r>
      <w:r>
        <w:rPr>
          <w:rFonts w:ascii="Times New Roman" w:hAnsi="Times New Roman" w:cs="Times New Roman"/>
          <w:sz w:val="24"/>
          <w:szCs w:val="24"/>
        </w:rPr>
        <w:t xml:space="preserve">brak jasnych przepisów prawnych, co skłania podatników do poszukiwania rozwiązań ukierunkowanych na pozorną optymalizację podatkową. </w:t>
      </w:r>
      <w:r w:rsidR="0092256A">
        <w:rPr>
          <w:rFonts w:ascii="Times New Roman" w:hAnsi="Times New Roman" w:cs="Times New Roman"/>
          <w:sz w:val="24"/>
          <w:szCs w:val="24"/>
        </w:rPr>
        <w:t xml:space="preserve">Bardzo </w:t>
      </w:r>
      <w:r w:rsidR="003D6A01">
        <w:rPr>
          <w:rFonts w:ascii="Times New Roman" w:hAnsi="Times New Roman" w:cs="Times New Roman"/>
          <w:sz w:val="24"/>
          <w:szCs w:val="24"/>
        </w:rPr>
        <w:t xml:space="preserve">ważną kwestią jest </w:t>
      </w:r>
      <w:r w:rsidR="00D62B5D">
        <w:rPr>
          <w:rFonts w:ascii="Times New Roman" w:hAnsi="Times New Roman" w:cs="Times New Roman"/>
          <w:sz w:val="24"/>
          <w:szCs w:val="24"/>
        </w:rPr>
        <w:t xml:space="preserve">nie tylko </w:t>
      </w:r>
      <w:r w:rsidR="003D6A01">
        <w:rPr>
          <w:rFonts w:ascii="Times New Roman" w:hAnsi="Times New Roman" w:cs="Times New Roman"/>
          <w:sz w:val="24"/>
          <w:szCs w:val="24"/>
        </w:rPr>
        <w:t xml:space="preserve">akceptacja </w:t>
      </w:r>
      <w:r w:rsidR="00D62B5D">
        <w:rPr>
          <w:rFonts w:ascii="Times New Roman" w:hAnsi="Times New Roman" w:cs="Times New Roman"/>
          <w:sz w:val="24"/>
          <w:szCs w:val="24"/>
        </w:rPr>
        <w:t>do unikania podatków, ale akceptacja do działań w szarej strefie. T</w:t>
      </w:r>
      <w:r w:rsidR="0092256A">
        <w:rPr>
          <w:rFonts w:ascii="Times New Roman" w:hAnsi="Times New Roman" w:cs="Times New Roman"/>
          <w:sz w:val="24"/>
          <w:szCs w:val="24"/>
        </w:rPr>
        <w:t>rafną diagn</w:t>
      </w:r>
      <w:r w:rsidR="003D6A01">
        <w:rPr>
          <w:rFonts w:ascii="Times New Roman" w:hAnsi="Times New Roman" w:cs="Times New Roman"/>
          <w:sz w:val="24"/>
          <w:szCs w:val="24"/>
        </w:rPr>
        <w:t xml:space="preserve">ozę </w:t>
      </w:r>
      <w:r w:rsidR="00D62B5D">
        <w:rPr>
          <w:rFonts w:ascii="Times New Roman" w:hAnsi="Times New Roman" w:cs="Times New Roman"/>
          <w:sz w:val="24"/>
          <w:szCs w:val="24"/>
        </w:rPr>
        <w:t xml:space="preserve"> powyższej kwestii</w:t>
      </w:r>
      <w:r w:rsidR="0092256A">
        <w:rPr>
          <w:rFonts w:ascii="Times New Roman" w:hAnsi="Times New Roman" w:cs="Times New Roman"/>
          <w:sz w:val="24"/>
          <w:szCs w:val="24"/>
        </w:rPr>
        <w:t xml:space="preserve"> </w:t>
      </w:r>
      <w:r w:rsidR="00D62B5D">
        <w:rPr>
          <w:rFonts w:ascii="Times New Roman" w:hAnsi="Times New Roman" w:cs="Times New Roman"/>
          <w:sz w:val="24"/>
          <w:szCs w:val="24"/>
        </w:rPr>
        <w:t xml:space="preserve"> </w:t>
      </w:r>
      <w:r w:rsidR="0092256A">
        <w:rPr>
          <w:rFonts w:ascii="Times New Roman" w:hAnsi="Times New Roman" w:cs="Times New Roman"/>
          <w:sz w:val="24"/>
          <w:szCs w:val="24"/>
        </w:rPr>
        <w:t xml:space="preserve">przedstawili </w:t>
      </w:r>
      <w:proofErr w:type="spellStart"/>
      <w:r w:rsidR="0092256A">
        <w:rPr>
          <w:rFonts w:ascii="Times New Roman" w:hAnsi="Times New Roman" w:cs="Times New Roman"/>
          <w:sz w:val="24"/>
          <w:szCs w:val="24"/>
        </w:rPr>
        <w:t>Firlit</w:t>
      </w:r>
      <w:proofErr w:type="spellEnd"/>
      <w:r w:rsidR="0092256A">
        <w:rPr>
          <w:rFonts w:ascii="Times New Roman" w:hAnsi="Times New Roman" w:cs="Times New Roman"/>
          <w:sz w:val="24"/>
          <w:szCs w:val="24"/>
        </w:rPr>
        <w:t xml:space="preserve"> oraz </w:t>
      </w:r>
      <w:proofErr w:type="spellStart"/>
      <w:r w:rsidR="0092256A">
        <w:rPr>
          <w:rFonts w:ascii="Times New Roman" w:hAnsi="Times New Roman" w:cs="Times New Roman"/>
          <w:sz w:val="24"/>
          <w:szCs w:val="24"/>
        </w:rPr>
        <w:t>Chlopecki</w:t>
      </w:r>
      <w:proofErr w:type="spellEnd"/>
      <w:r w:rsidR="0092256A">
        <w:rPr>
          <w:rFonts w:ascii="Times New Roman" w:hAnsi="Times New Roman" w:cs="Times New Roman"/>
          <w:sz w:val="24"/>
          <w:szCs w:val="24"/>
        </w:rPr>
        <w:t>. Zwrócili uwagę na powszechny dualizm norm zachowania. Oficjalnie jest powszechne przekonanie, że normy, przepisy prawa należy przestrzegać, ale w praktyce powszechnie tych norm się unika.</w:t>
      </w:r>
      <w:r w:rsidR="003D6A01">
        <w:rPr>
          <w:rFonts w:ascii="Times New Roman" w:hAnsi="Times New Roman" w:cs="Times New Roman"/>
          <w:sz w:val="24"/>
          <w:szCs w:val="24"/>
        </w:rPr>
        <w:t xml:space="preserve"> </w:t>
      </w:r>
      <w:r w:rsidR="00D62B5D">
        <w:rPr>
          <w:rFonts w:ascii="Times New Roman" w:hAnsi="Times New Roman" w:cs="Times New Roman"/>
          <w:sz w:val="24"/>
          <w:szCs w:val="24"/>
        </w:rPr>
        <w:t xml:space="preserve">Często </w:t>
      </w:r>
      <w:r w:rsidR="005B340D">
        <w:rPr>
          <w:rFonts w:ascii="Times New Roman" w:hAnsi="Times New Roman" w:cs="Times New Roman"/>
          <w:sz w:val="24"/>
          <w:szCs w:val="24"/>
        </w:rPr>
        <w:t xml:space="preserve"> animatorzy szarej strefy</w:t>
      </w:r>
      <w:r w:rsidR="00D62B5D">
        <w:rPr>
          <w:rFonts w:ascii="Times New Roman" w:hAnsi="Times New Roman" w:cs="Times New Roman"/>
          <w:sz w:val="24"/>
          <w:szCs w:val="24"/>
        </w:rPr>
        <w:t xml:space="preserve"> wymieniają się doświadczeniem i niechętnie zgłaszają </w:t>
      </w:r>
      <w:r w:rsidR="00035ED4">
        <w:rPr>
          <w:rFonts w:ascii="Times New Roman" w:hAnsi="Times New Roman" w:cs="Times New Roman"/>
          <w:sz w:val="24"/>
          <w:szCs w:val="24"/>
        </w:rPr>
        <w:t xml:space="preserve">właściwym organom </w:t>
      </w:r>
      <w:r w:rsidR="00D62B5D">
        <w:rPr>
          <w:rFonts w:ascii="Times New Roman" w:hAnsi="Times New Roman" w:cs="Times New Roman"/>
          <w:sz w:val="24"/>
          <w:szCs w:val="24"/>
        </w:rPr>
        <w:t>naruszenia pra</w:t>
      </w:r>
      <w:r w:rsidR="00035ED4">
        <w:rPr>
          <w:rFonts w:ascii="Times New Roman" w:hAnsi="Times New Roman" w:cs="Times New Roman"/>
          <w:sz w:val="24"/>
          <w:szCs w:val="24"/>
        </w:rPr>
        <w:t>wa</w:t>
      </w:r>
      <w:r w:rsidR="00714377">
        <w:rPr>
          <w:rFonts w:ascii="Times New Roman" w:hAnsi="Times New Roman" w:cs="Times New Roman"/>
          <w:sz w:val="24"/>
          <w:szCs w:val="24"/>
        </w:rPr>
        <w:t xml:space="preserve"> </w:t>
      </w:r>
      <w:r w:rsidR="0092256A">
        <w:rPr>
          <w:rFonts w:ascii="Times New Roman" w:hAnsi="Times New Roman" w:cs="Times New Roman"/>
          <w:sz w:val="24"/>
          <w:szCs w:val="24"/>
        </w:rPr>
        <w:t>(</w:t>
      </w:r>
      <w:proofErr w:type="spellStart"/>
      <w:r w:rsidR="0092256A">
        <w:rPr>
          <w:rFonts w:ascii="Times New Roman" w:hAnsi="Times New Roman" w:cs="Times New Roman"/>
          <w:sz w:val="24"/>
          <w:szCs w:val="24"/>
        </w:rPr>
        <w:t>Firlit</w:t>
      </w:r>
      <w:proofErr w:type="spellEnd"/>
      <w:r w:rsidR="0092256A">
        <w:rPr>
          <w:rFonts w:ascii="Times New Roman" w:hAnsi="Times New Roman" w:cs="Times New Roman"/>
          <w:sz w:val="24"/>
          <w:szCs w:val="24"/>
        </w:rPr>
        <w:t xml:space="preserve">,  </w:t>
      </w:r>
      <w:proofErr w:type="spellStart"/>
      <w:r w:rsidR="0092256A">
        <w:rPr>
          <w:rFonts w:ascii="Times New Roman" w:hAnsi="Times New Roman" w:cs="Times New Roman"/>
          <w:sz w:val="24"/>
          <w:szCs w:val="24"/>
        </w:rPr>
        <w:t>Chlopecki</w:t>
      </w:r>
      <w:proofErr w:type="spellEnd"/>
      <w:r w:rsidR="0092256A">
        <w:rPr>
          <w:rFonts w:ascii="Times New Roman" w:hAnsi="Times New Roman" w:cs="Times New Roman"/>
          <w:sz w:val="24"/>
          <w:szCs w:val="24"/>
        </w:rPr>
        <w:t xml:space="preserve">, </w:t>
      </w:r>
      <w:r w:rsidR="0092256A" w:rsidRPr="0092256A">
        <w:rPr>
          <w:rFonts w:ascii="Times New Roman" w:hAnsi="Times New Roman" w:cs="Times New Roman"/>
          <w:sz w:val="24"/>
          <w:szCs w:val="24"/>
        </w:rPr>
        <w:t>1992</w:t>
      </w:r>
      <w:r w:rsidR="00396ECD">
        <w:rPr>
          <w:rFonts w:ascii="Times New Roman" w:hAnsi="Times New Roman" w:cs="Times New Roman"/>
          <w:sz w:val="24"/>
          <w:szCs w:val="24"/>
        </w:rPr>
        <w:t xml:space="preserve"> s.6</w:t>
      </w:r>
      <w:r w:rsidR="0092256A">
        <w:rPr>
          <w:rFonts w:ascii="Times New Roman" w:hAnsi="Times New Roman" w:cs="Times New Roman"/>
          <w:sz w:val="24"/>
          <w:szCs w:val="24"/>
        </w:rPr>
        <w:t xml:space="preserve">). </w:t>
      </w:r>
    </w:p>
    <w:p w:rsidR="00D526C4" w:rsidRDefault="00D526C4">
      <w:pPr>
        <w:rPr>
          <w:rFonts w:ascii="Times New Roman" w:hAnsi="Times New Roman" w:cs="Times New Roman"/>
          <w:sz w:val="24"/>
          <w:szCs w:val="24"/>
        </w:rPr>
      </w:pPr>
    </w:p>
    <w:p w:rsidR="007B6655" w:rsidRPr="007B6655" w:rsidRDefault="007B6655">
      <w:pPr>
        <w:rPr>
          <w:rFonts w:ascii="Times New Roman" w:hAnsi="Times New Roman" w:cs="Times New Roman"/>
          <w:sz w:val="28"/>
          <w:szCs w:val="28"/>
        </w:rPr>
      </w:pPr>
      <w:r w:rsidRPr="007B6655">
        <w:rPr>
          <w:rFonts w:ascii="Times New Roman" w:hAnsi="Times New Roman" w:cs="Times New Roman"/>
          <w:sz w:val="28"/>
          <w:szCs w:val="28"/>
        </w:rPr>
        <w:t>Wyniki empiryczne</w:t>
      </w:r>
    </w:p>
    <w:p w:rsidR="007B6655" w:rsidRDefault="007B6655">
      <w:pPr>
        <w:rPr>
          <w:rFonts w:ascii="Times New Roman" w:hAnsi="Times New Roman" w:cs="Times New Roman"/>
          <w:sz w:val="24"/>
          <w:szCs w:val="24"/>
        </w:rPr>
      </w:pPr>
    </w:p>
    <w:p w:rsidR="00EF5662" w:rsidRDefault="005B340D">
      <w:pPr>
        <w:rPr>
          <w:rFonts w:ascii="Times New Roman" w:hAnsi="Times New Roman" w:cs="Times New Roman"/>
          <w:sz w:val="24"/>
          <w:szCs w:val="24"/>
        </w:rPr>
      </w:pPr>
      <w:r>
        <w:rPr>
          <w:rFonts w:ascii="Times New Roman" w:hAnsi="Times New Roman" w:cs="Times New Roman"/>
          <w:sz w:val="24"/>
          <w:szCs w:val="24"/>
        </w:rPr>
        <w:t>W t</w:t>
      </w:r>
      <w:r w:rsidR="00EF5662">
        <w:rPr>
          <w:rFonts w:ascii="Times New Roman" w:hAnsi="Times New Roman" w:cs="Times New Roman"/>
          <w:sz w:val="24"/>
          <w:szCs w:val="24"/>
        </w:rPr>
        <w:t>abeli 1 przedstawiono wielkość szarej strefy i luki podatkowej w Polsce w latach 1993-2016.</w:t>
      </w:r>
    </w:p>
    <w:p w:rsidR="00EF5662" w:rsidRDefault="00EF5662">
      <w:pPr>
        <w:rPr>
          <w:rFonts w:ascii="Times New Roman" w:hAnsi="Times New Roman" w:cs="Times New Roman"/>
          <w:sz w:val="24"/>
          <w:szCs w:val="24"/>
        </w:rPr>
      </w:pPr>
    </w:p>
    <w:p w:rsidR="007B6655" w:rsidRDefault="007B6655">
      <w:pPr>
        <w:rPr>
          <w:rFonts w:ascii="Times New Roman" w:hAnsi="Times New Roman" w:cs="Times New Roman"/>
          <w:sz w:val="24"/>
          <w:szCs w:val="24"/>
        </w:rPr>
      </w:pPr>
      <w:r>
        <w:rPr>
          <w:rFonts w:ascii="Times New Roman" w:hAnsi="Times New Roman" w:cs="Times New Roman"/>
          <w:sz w:val="24"/>
          <w:szCs w:val="24"/>
        </w:rPr>
        <w:t xml:space="preserve">Tabela 1 </w:t>
      </w:r>
    </w:p>
    <w:p w:rsidR="007B6655" w:rsidRDefault="007B6655">
      <w:pPr>
        <w:rPr>
          <w:rFonts w:ascii="Times New Roman" w:hAnsi="Times New Roman" w:cs="Times New Roman"/>
          <w:sz w:val="24"/>
          <w:szCs w:val="24"/>
        </w:rPr>
      </w:pPr>
      <w:r>
        <w:rPr>
          <w:rFonts w:ascii="Times New Roman" w:hAnsi="Times New Roman" w:cs="Times New Roman"/>
          <w:sz w:val="24"/>
          <w:szCs w:val="24"/>
        </w:rPr>
        <w:t>Poziom szarej strefy oraz wielkości luki podatkowej w Polsce w latach 1993-2016</w:t>
      </w:r>
    </w:p>
    <w:tbl>
      <w:tblPr>
        <w:tblStyle w:val="Tabela-Siatka"/>
        <w:tblW w:w="11340" w:type="dxa"/>
        <w:tblInd w:w="-1026" w:type="dxa"/>
        <w:tblLayout w:type="fixed"/>
        <w:tblLook w:val="04A0" w:firstRow="1" w:lastRow="0" w:firstColumn="1" w:lastColumn="0" w:noHBand="0" w:noVBand="1"/>
      </w:tblPr>
      <w:tblGrid>
        <w:gridCol w:w="1276"/>
        <w:gridCol w:w="419"/>
        <w:gridCol w:w="419"/>
        <w:gridCol w:w="420"/>
        <w:gridCol w:w="419"/>
        <w:gridCol w:w="419"/>
        <w:gridCol w:w="420"/>
        <w:gridCol w:w="419"/>
        <w:gridCol w:w="419"/>
        <w:gridCol w:w="420"/>
        <w:gridCol w:w="419"/>
        <w:gridCol w:w="419"/>
        <w:gridCol w:w="420"/>
        <w:gridCol w:w="419"/>
        <w:gridCol w:w="419"/>
        <w:gridCol w:w="420"/>
        <w:gridCol w:w="419"/>
        <w:gridCol w:w="419"/>
        <w:gridCol w:w="420"/>
        <w:gridCol w:w="419"/>
        <w:gridCol w:w="419"/>
        <w:gridCol w:w="420"/>
        <w:gridCol w:w="419"/>
        <w:gridCol w:w="419"/>
        <w:gridCol w:w="420"/>
      </w:tblGrid>
      <w:tr w:rsidR="007B6655" w:rsidTr="00CC58E6">
        <w:tc>
          <w:tcPr>
            <w:tcW w:w="1276" w:type="dxa"/>
          </w:tcPr>
          <w:p w:rsidR="007B6655" w:rsidRPr="00E12438" w:rsidRDefault="007B6655" w:rsidP="00CC58E6">
            <w:pPr>
              <w:rPr>
                <w:rFonts w:ascii="Times New Roman" w:hAnsi="Times New Roman" w:cs="Times New Roman"/>
              </w:rPr>
            </w:pPr>
            <w:r w:rsidRPr="00E12438">
              <w:rPr>
                <w:rFonts w:ascii="Times New Roman" w:hAnsi="Times New Roman" w:cs="Times New Roman"/>
              </w:rPr>
              <w:t>Lata</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93</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94</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95</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96</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97</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98</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99</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00</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01</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02</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03</w:t>
            </w:r>
          </w:p>
        </w:tc>
        <w:tc>
          <w:tcPr>
            <w:tcW w:w="420"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04</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05</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06</w:t>
            </w:r>
          </w:p>
        </w:tc>
        <w:tc>
          <w:tcPr>
            <w:tcW w:w="420"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07</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08</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09</w:t>
            </w:r>
          </w:p>
        </w:tc>
        <w:tc>
          <w:tcPr>
            <w:tcW w:w="420"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10</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11</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12</w:t>
            </w:r>
          </w:p>
        </w:tc>
        <w:tc>
          <w:tcPr>
            <w:tcW w:w="420"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13</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14</w:t>
            </w:r>
          </w:p>
        </w:tc>
        <w:tc>
          <w:tcPr>
            <w:tcW w:w="419"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15</w:t>
            </w:r>
          </w:p>
        </w:tc>
        <w:tc>
          <w:tcPr>
            <w:tcW w:w="420" w:type="dxa"/>
          </w:tcPr>
          <w:p w:rsidR="007B6655" w:rsidRPr="00E12438" w:rsidRDefault="007B6655" w:rsidP="00CC58E6">
            <w:pPr>
              <w:rPr>
                <w:rFonts w:ascii="Times New Roman" w:hAnsi="Times New Roman" w:cs="Times New Roman"/>
                <w:sz w:val="18"/>
                <w:szCs w:val="18"/>
              </w:rPr>
            </w:pPr>
            <w:r w:rsidRPr="00E12438">
              <w:rPr>
                <w:rFonts w:ascii="Times New Roman" w:hAnsi="Times New Roman" w:cs="Times New Roman"/>
                <w:sz w:val="18"/>
                <w:szCs w:val="18"/>
              </w:rPr>
              <w:t>16</w:t>
            </w:r>
          </w:p>
        </w:tc>
      </w:tr>
      <w:tr w:rsidR="007B6655" w:rsidTr="00CC58E6">
        <w:tc>
          <w:tcPr>
            <w:tcW w:w="1276" w:type="dxa"/>
          </w:tcPr>
          <w:p w:rsidR="007B6655" w:rsidRPr="00E12438" w:rsidRDefault="007B6655" w:rsidP="00CC58E6">
            <w:pPr>
              <w:rPr>
                <w:rFonts w:ascii="Times New Roman" w:hAnsi="Times New Roman" w:cs="Times New Roman"/>
              </w:rPr>
            </w:pPr>
            <w:r w:rsidRPr="00E12438">
              <w:rPr>
                <w:rFonts w:ascii="Times New Roman" w:hAnsi="Times New Roman" w:cs="Times New Roman"/>
              </w:rPr>
              <w:t>Szara strefa % PKB</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30</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31</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27</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26</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27</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25</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23</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26</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27</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27</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26</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27</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29</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29</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29</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30</w:t>
            </w:r>
          </w:p>
        </w:tc>
      </w:tr>
      <w:tr w:rsidR="007B6655" w:rsidTr="00CC58E6">
        <w:tc>
          <w:tcPr>
            <w:tcW w:w="1276" w:type="dxa"/>
          </w:tcPr>
          <w:p w:rsidR="007B6655" w:rsidRPr="00E12438" w:rsidRDefault="007B6655" w:rsidP="00CC58E6">
            <w:pPr>
              <w:rPr>
                <w:rFonts w:ascii="Times New Roman" w:hAnsi="Times New Roman" w:cs="Times New Roman"/>
              </w:rPr>
            </w:pPr>
            <w:r w:rsidRPr="00E12438">
              <w:rPr>
                <w:rFonts w:ascii="Times New Roman" w:hAnsi="Times New Roman" w:cs="Times New Roman"/>
              </w:rPr>
              <w:t xml:space="preserve">Luka podatkowa w mld PLN </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28</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29</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30</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31</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32</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33</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35</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34</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37</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40</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41</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40</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41</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38</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34</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36</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39</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42</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43</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44</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43</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44</w:t>
            </w:r>
          </w:p>
        </w:tc>
        <w:tc>
          <w:tcPr>
            <w:tcW w:w="419"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45</w:t>
            </w:r>
          </w:p>
        </w:tc>
        <w:tc>
          <w:tcPr>
            <w:tcW w:w="420" w:type="dxa"/>
          </w:tcPr>
          <w:p w:rsidR="007B6655" w:rsidRPr="00E12438" w:rsidRDefault="007B6655" w:rsidP="00CC58E6">
            <w:pPr>
              <w:rPr>
                <w:rFonts w:ascii="Times New Roman" w:hAnsi="Times New Roman" w:cs="Times New Roman"/>
                <w:sz w:val="18"/>
                <w:szCs w:val="18"/>
              </w:rPr>
            </w:pPr>
            <w:r>
              <w:rPr>
                <w:rFonts w:ascii="Times New Roman" w:hAnsi="Times New Roman" w:cs="Times New Roman"/>
                <w:sz w:val="18"/>
                <w:szCs w:val="18"/>
              </w:rPr>
              <w:t>47</w:t>
            </w:r>
          </w:p>
        </w:tc>
      </w:tr>
    </w:tbl>
    <w:p w:rsidR="007B6655" w:rsidRPr="00583861" w:rsidRDefault="007B6655">
      <w:pPr>
        <w:rPr>
          <w:rFonts w:ascii="Times New Roman" w:hAnsi="Times New Roman" w:cs="Times New Roman"/>
          <w:sz w:val="20"/>
          <w:szCs w:val="20"/>
        </w:rPr>
      </w:pPr>
      <w:proofErr w:type="spellStart"/>
      <w:r w:rsidRPr="00583861">
        <w:rPr>
          <w:rFonts w:ascii="Times New Roman" w:hAnsi="Times New Roman" w:cs="Times New Roman"/>
          <w:sz w:val="20"/>
          <w:szCs w:val="20"/>
          <w:lang w:val="en-US"/>
        </w:rPr>
        <w:t>Źródło</w:t>
      </w:r>
      <w:proofErr w:type="spellEnd"/>
      <w:r w:rsidRPr="00583861">
        <w:rPr>
          <w:rFonts w:ascii="Times New Roman" w:hAnsi="Times New Roman" w:cs="Times New Roman"/>
          <w:sz w:val="20"/>
          <w:szCs w:val="20"/>
          <w:lang w:val="en-US"/>
        </w:rPr>
        <w:t>:</w:t>
      </w:r>
      <w:r w:rsidR="00583861" w:rsidRPr="00583861">
        <w:rPr>
          <w:sz w:val="20"/>
          <w:szCs w:val="20"/>
          <w:lang w:val="en-US"/>
        </w:rPr>
        <w:t xml:space="preserve"> </w:t>
      </w:r>
      <w:proofErr w:type="spellStart"/>
      <w:r w:rsidR="00583861" w:rsidRPr="00583861">
        <w:rPr>
          <w:rFonts w:ascii="Times New Roman" w:hAnsi="Times New Roman" w:cs="Times New Roman"/>
          <w:sz w:val="20"/>
          <w:szCs w:val="20"/>
          <w:lang w:val="en-US"/>
        </w:rPr>
        <w:t>Cichocki</w:t>
      </w:r>
      <w:proofErr w:type="spellEnd"/>
      <w:r w:rsidR="00583861" w:rsidRPr="00583861">
        <w:rPr>
          <w:rFonts w:ascii="Times New Roman" w:hAnsi="Times New Roman" w:cs="Times New Roman"/>
          <w:sz w:val="20"/>
          <w:szCs w:val="20"/>
          <w:lang w:val="en-US"/>
        </w:rPr>
        <w:t xml:space="preserve"> S., Shadow economy and its relations with tax system and state budget in Poland 1995-2007, University of Warsaw, Faculty of Economic Sciences, Working Paper No. 05/2008, 2008. </w:t>
      </w:r>
      <w:r w:rsidR="00583861" w:rsidRPr="00583861">
        <w:rPr>
          <w:rFonts w:ascii="Times New Roman" w:hAnsi="Times New Roman" w:cs="Times New Roman"/>
          <w:sz w:val="20"/>
          <w:szCs w:val="20"/>
        </w:rPr>
        <w:t xml:space="preserve">Rachunki narodowe według sektorów i podsektorów instytucjonalnych. GUS. 2015, Łapiński K., </w:t>
      </w:r>
      <w:proofErr w:type="spellStart"/>
      <w:r w:rsidR="00583861" w:rsidRPr="00583861">
        <w:rPr>
          <w:rFonts w:ascii="Times New Roman" w:hAnsi="Times New Roman" w:cs="Times New Roman"/>
          <w:sz w:val="20"/>
          <w:szCs w:val="20"/>
        </w:rPr>
        <w:t>Peterlik</w:t>
      </w:r>
      <w:proofErr w:type="spellEnd"/>
      <w:r w:rsidR="00583861" w:rsidRPr="00583861">
        <w:rPr>
          <w:rFonts w:ascii="Times New Roman" w:hAnsi="Times New Roman" w:cs="Times New Roman"/>
          <w:sz w:val="20"/>
          <w:szCs w:val="20"/>
        </w:rPr>
        <w:t xml:space="preserve"> M., Wyżnikiewicz B. Szara strefa w polskiej gospodarce w 2015 roku. </w:t>
      </w:r>
      <w:proofErr w:type="spellStart"/>
      <w:r w:rsidR="00583861" w:rsidRPr="00583861">
        <w:rPr>
          <w:rFonts w:ascii="Times New Roman" w:hAnsi="Times New Roman" w:cs="Times New Roman"/>
          <w:sz w:val="20"/>
          <w:szCs w:val="20"/>
          <w:lang w:val="en-US"/>
        </w:rPr>
        <w:t>IBnGR</w:t>
      </w:r>
      <w:proofErr w:type="spellEnd"/>
      <w:r w:rsidR="00583861" w:rsidRPr="00583861">
        <w:rPr>
          <w:rFonts w:ascii="Times New Roman" w:hAnsi="Times New Roman" w:cs="Times New Roman"/>
          <w:sz w:val="20"/>
          <w:szCs w:val="20"/>
          <w:lang w:val="en-US"/>
        </w:rPr>
        <w:t xml:space="preserve">. Warszawa. 2015, Schneider F., </w:t>
      </w:r>
      <w:proofErr w:type="spellStart"/>
      <w:r w:rsidR="00583861" w:rsidRPr="00583861">
        <w:rPr>
          <w:rFonts w:ascii="Times New Roman" w:hAnsi="Times New Roman" w:cs="Times New Roman"/>
          <w:sz w:val="20"/>
          <w:szCs w:val="20"/>
          <w:lang w:val="en-US"/>
        </w:rPr>
        <w:t>Buehn</w:t>
      </w:r>
      <w:proofErr w:type="spellEnd"/>
      <w:r w:rsidR="00583861" w:rsidRPr="00583861">
        <w:rPr>
          <w:rFonts w:ascii="Times New Roman" w:hAnsi="Times New Roman" w:cs="Times New Roman"/>
          <w:sz w:val="20"/>
          <w:szCs w:val="20"/>
          <w:lang w:val="en-US"/>
        </w:rPr>
        <w:t xml:space="preserve"> A. Montenegro C.E. New Estimates for the Shadow Economies all over the World. </w:t>
      </w:r>
      <w:r w:rsidR="00583861" w:rsidRPr="00583861">
        <w:rPr>
          <w:rFonts w:ascii="Times New Roman" w:hAnsi="Times New Roman" w:cs="Times New Roman"/>
          <w:sz w:val="20"/>
          <w:szCs w:val="20"/>
        </w:rPr>
        <w:t xml:space="preserve">International </w:t>
      </w:r>
      <w:proofErr w:type="spellStart"/>
      <w:r w:rsidR="00583861" w:rsidRPr="00583861">
        <w:rPr>
          <w:rFonts w:ascii="Times New Roman" w:hAnsi="Times New Roman" w:cs="Times New Roman"/>
          <w:sz w:val="20"/>
          <w:szCs w:val="20"/>
        </w:rPr>
        <w:t>Economic</w:t>
      </w:r>
      <w:proofErr w:type="spellEnd"/>
      <w:r w:rsidR="00583861" w:rsidRPr="00583861">
        <w:rPr>
          <w:rFonts w:ascii="Times New Roman" w:hAnsi="Times New Roman" w:cs="Times New Roman"/>
          <w:sz w:val="20"/>
          <w:szCs w:val="20"/>
        </w:rPr>
        <w:t xml:space="preserve"> </w:t>
      </w:r>
      <w:proofErr w:type="spellStart"/>
      <w:r w:rsidR="00583861" w:rsidRPr="00583861">
        <w:rPr>
          <w:rFonts w:ascii="Times New Roman" w:hAnsi="Times New Roman" w:cs="Times New Roman"/>
          <w:sz w:val="20"/>
          <w:szCs w:val="20"/>
        </w:rPr>
        <w:t>Journal</w:t>
      </w:r>
      <w:proofErr w:type="spellEnd"/>
      <w:r w:rsidR="00583861" w:rsidRPr="00583861">
        <w:rPr>
          <w:rFonts w:ascii="Times New Roman" w:hAnsi="Times New Roman" w:cs="Times New Roman"/>
          <w:sz w:val="20"/>
          <w:szCs w:val="20"/>
        </w:rPr>
        <w:t>. Vol. 24, No. 4, 2010</w:t>
      </w:r>
    </w:p>
    <w:p w:rsidR="00D526C4" w:rsidRDefault="00D526C4">
      <w:pPr>
        <w:rPr>
          <w:rFonts w:ascii="Times New Roman" w:hAnsi="Times New Roman" w:cs="Times New Roman"/>
          <w:sz w:val="24"/>
          <w:szCs w:val="24"/>
        </w:rPr>
      </w:pPr>
    </w:p>
    <w:p w:rsidR="005955BD" w:rsidRDefault="005955BD" w:rsidP="005955BD">
      <w:pPr>
        <w:spacing w:line="360" w:lineRule="auto"/>
        <w:ind w:firstLine="708"/>
        <w:rPr>
          <w:rFonts w:ascii="Times New Roman" w:hAnsi="Times New Roman" w:cs="Times New Roman"/>
          <w:sz w:val="24"/>
          <w:szCs w:val="24"/>
        </w:rPr>
      </w:pPr>
      <w:r>
        <w:rPr>
          <w:rFonts w:ascii="Times New Roman" w:hAnsi="Times New Roman" w:cs="Times New Roman"/>
          <w:sz w:val="24"/>
          <w:szCs w:val="24"/>
        </w:rPr>
        <w:t>Na podstawie zawartych w tabeli danych należy stwierdzić, że poziom szarej strefy w Polsce utrzymuje się na wysokim poziomie. Praktycznie w całym okresie badawczym jej wartość przekracza 25% PKB. Również niepokojącym zjawiskiem jest rozmiar luki podatkowej, która w 1993 r. wyniosła 28 mld zł, a w 2016 r. jest szacowana na 47 mld zł. Wyraźne obniżenie luki podatkowej nastąpiło w 2007 r. kiedy to luka podatkowa wyniosła 34 mld zł. Wykorzystując program</w:t>
      </w:r>
      <w:r w:rsidR="006748A9">
        <w:rPr>
          <w:rFonts w:ascii="Times New Roman" w:hAnsi="Times New Roman" w:cs="Times New Roman"/>
          <w:sz w:val="24"/>
          <w:szCs w:val="24"/>
        </w:rPr>
        <w:t xml:space="preserve"> </w:t>
      </w:r>
      <w:proofErr w:type="spellStart"/>
      <w:r w:rsidR="006748A9">
        <w:rPr>
          <w:rFonts w:ascii="Times New Roman" w:hAnsi="Times New Roman" w:cs="Times New Roman"/>
          <w:sz w:val="24"/>
          <w:szCs w:val="24"/>
        </w:rPr>
        <w:t>Statistica</w:t>
      </w:r>
      <w:proofErr w:type="spellEnd"/>
      <w:r w:rsidR="006748A9">
        <w:rPr>
          <w:rFonts w:ascii="Times New Roman" w:hAnsi="Times New Roman" w:cs="Times New Roman"/>
          <w:sz w:val="24"/>
          <w:szCs w:val="24"/>
        </w:rPr>
        <w:t xml:space="preserve">  ustalono</w:t>
      </w:r>
      <w:r>
        <w:rPr>
          <w:rFonts w:ascii="Times New Roman" w:hAnsi="Times New Roman" w:cs="Times New Roman"/>
          <w:sz w:val="24"/>
          <w:szCs w:val="24"/>
        </w:rPr>
        <w:t xml:space="preserve"> związek pomiędzy rozmiarami szarej strefy a luką podatkową, który zamieszczono w tabeli 2.</w:t>
      </w:r>
    </w:p>
    <w:p w:rsidR="00DF71D1" w:rsidRDefault="00DF71D1" w:rsidP="005955BD">
      <w:pPr>
        <w:spacing w:line="360" w:lineRule="auto"/>
        <w:ind w:firstLine="708"/>
        <w:rPr>
          <w:rFonts w:ascii="Times New Roman" w:hAnsi="Times New Roman" w:cs="Times New Roman"/>
          <w:sz w:val="24"/>
          <w:szCs w:val="24"/>
        </w:rPr>
      </w:pPr>
    </w:p>
    <w:p w:rsidR="00DF71D1" w:rsidRDefault="00DF71D1" w:rsidP="005955BD">
      <w:pPr>
        <w:spacing w:line="360" w:lineRule="auto"/>
        <w:ind w:firstLine="708"/>
        <w:rPr>
          <w:rFonts w:ascii="Times New Roman" w:hAnsi="Times New Roman" w:cs="Times New Roman"/>
          <w:sz w:val="24"/>
          <w:szCs w:val="24"/>
        </w:rPr>
      </w:pPr>
    </w:p>
    <w:p w:rsidR="005955BD" w:rsidRDefault="005955BD" w:rsidP="005955BD">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Tabela 2</w:t>
      </w:r>
    </w:p>
    <w:p w:rsidR="005955BD" w:rsidRDefault="005955BD" w:rsidP="00A6145E">
      <w:pPr>
        <w:spacing w:line="360" w:lineRule="auto"/>
        <w:rPr>
          <w:rFonts w:ascii="Times New Roman" w:hAnsi="Times New Roman" w:cs="Times New Roman"/>
          <w:sz w:val="24"/>
          <w:szCs w:val="24"/>
        </w:rPr>
      </w:pPr>
      <w:r>
        <w:rPr>
          <w:rFonts w:ascii="Times New Roman" w:hAnsi="Times New Roman" w:cs="Times New Roman"/>
          <w:sz w:val="24"/>
          <w:szCs w:val="24"/>
        </w:rPr>
        <w:t xml:space="preserve">Wartość </w:t>
      </w:r>
      <w:r w:rsidR="00A6145E">
        <w:rPr>
          <w:rFonts w:ascii="Times New Roman" w:hAnsi="Times New Roman" w:cs="Times New Roman"/>
          <w:sz w:val="24"/>
          <w:szCs w:val="24"/>
        </w:rPr>
        <w:t xml:space="preserve">współczynnika korelacji rang </w:t>
      </w:r>
      <w:proofErr w:type="spellStart"/>
      <w:r w:rsidR="00A6145E">
        <w:rPr>
          <w:rFonts w:ascii="Times New Roman" w:hAnsi="Times New Roman" w:cs="Times New Roman"/>
          <w:sz w:val="24"/>
          <w:szCs w:val="24"/>
        </w:rPr>
        <w:t>Spearmana</w:t>
      </w:r>
      <w:proofErr w:type="spellEnd"/>
      <w:r w:rsidR="00A6145E">
        <w:rPr>
          <w:rFonts w:ascii="Times New Roman" w:hAnsi="Times New Roman" w:cs="Times New Roman"/>
          <w:sz w:val="24"/>
          <w:szCs w:val="24"/>
        </w:rPr>
        <w:t xml:space="preserve"> pomiędzy szarą strefą a luką podatkową w Polsce</w:t>
      </w:r>
      <w:r w:rsidR="00B02076">
        <w:rPr>
          <w:rFonts w:ascii="Times New Roman" w:hAnsi="Times New Roman" w:cs="Times New Roman"/>
          <w:sz w:val="24"/>
          <w:szCs w:val="24"/>
        </w:rPr>
        <w:t xml:space="preserve"> w latach 1993-2016</w:t>
      </w:r>
    </w:p>
    <w:p w:rsidR="005955BD" w:rsidRPr="00A6145E" w:rsidRDefault="005955BD" w:rsidP="005955BD">
      <w:pPr>
        <w:spacing w:line="360" w:lineRule="auto"/>
        <w:ind w:firstLine="708"/>
        <w:rPr>
          <w:rFonts w:ascii="Times New Roman" w:hAnsi="Times New Roman" w:cs="Times New Roman"/>
          <w:sz w:val="20"/>
          <w:szCs w:val="20"/>
        </w:rPr>
      </w:pPr>
      <w:r>
        <w:rPr>
          <w:rFonts w:ascii="Calibri" w:eastAsia="Calibri" w:hAnsi="Calibri" w:cs="Times New Roman"/>
        </w:rPr>
        <w:object w:dxaOrig="849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81.2pt" o:ole="">
            <v:imagedata r:id="rId10" o:title=""/>
          </v:shape>
          <o:OLEObject Type="Embed" ProgID="STATISTICA.Spreadsheet" ShapeID="_x0000_i1025" DrawAspect="Content" ObjectID="_1554042254" r:id="rId11">
            <o:FieldCodes>\s</o:FieldCodes>
          </o:OLEObject>
        </w:object>
      </w:r>
      <w:r w:rsidR="00A6145E" w:rsidRPr="00A6145E">
        <w:rPr>
          <w:rFonts w:ascii="Times New Roman" w:eastAsia="Calibri" w:hAnsi="Times New Roman" w:cs="Times New Roman"/>
          <w:sz w:val="20"/>
          <w:szCs w:val="20"/>
        </w:rPr>
        <w:t>źródło:</w:t>
      </w:r>
      <w:r w:rsidR="00A6145E">
        <w:rPr>
          <w:rFonts w:ascii="Times New Roman" w:eastAsia="Calibri" w:hAnsi="Times New Roman" w:cs="Times New Roman"/>
          <w:sz w:val="20"/>
          <w:szCs w:val="20"/>
        </w:rPr>
        <w:t xml:space="preserve"> Obliczenia na podstawie tabeli</w:t>
      </w:r>
      <w:r w:rsidR="00B02076">
        <w:rPr>
          <w:rFonts w:ascii="Times New Roman" w:eastAsia="Calibri" w:hAnsi="Times New Roman" w:cs="Times New Roman"/>
          <w:sz w:val="20"/>
          <w:szCs w:val="20"/>
        </w:rPr>
        <w:t xml:space="preserve"> 1</w:t>
      </w:r>
    </w:p>
    <w:p w:rsidR="00B02076" w:rsidRDefault="00B02076" w:rsidP="006748A9">
      <w:pPr>
        <w:spacing w:line="360" w:lineRule="auto"/>
        <w:rPr>
          <w:rFonts w:ascii="Times New Roman" w:hAnsi="Times New Roman" w:cs="Times New Roman"/>
          <w:sz w:val="24"/>
          <w:szCs w:val="24"/>
        </w:rPr>
      </w:pPr>
    </w:p>
    <w:p w:rsidR="00C11C7D" w:rsidRDefault="00B02076" w:rsidP="00A22FD1">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W tym przypadku przy poziomie istotności p&lt; </w:t>
      </w:r>
      <w:r w:rsidR="00207661">
        <w:rPr>
          <w:rFonts w:ascii="Times New Roman" w:hAnsi="Times New Roman" w:cs="Times New Roman"/>
          <w:sz w:val="24"/>
          <w:szCs w:val="24"/>
        </w:rPr>
        <w:t>0</w:t>
      </w:r>
      <w:r>
        <w:rPr>
          <w:rFonts w:ascii="Times New Roman" w:hAnsi="Times New Roman" w:cs="Times New Roman"/>
          <w:sz w:val="24"/>
          <w:szCs w:val="24"/>
        </w:rPr>
        <w:t>,05 uzyskano wynik 0,289910. Na tej podstawie można stwierdzić, że pomiędzy rozmiarem szarej strefy</w:t>
      </w:r>
      <w:r w:rsidR="0077526E">
        <w:rPr>
          <w:rFonts w:ascii="Times New Roman" w:hAnsi="Times New Roman" w:cs="Times New Roman"/>
          <w:sz w:val="24"/>
          <w:szCs w:val="24"/>
        </w:rPr>
        <w:t>,</w:t>
      </w:r>
      <w:r>
        <w:rPr>
          <w:rFonts w:ascii="Times New Roman" w:hAnsi="Times New Roman" w:cs="Times New Roman"/>
          <w:sz w:val="24"/>
          <w:szCs w:val="24"/>
        </w:rPr>
        <w:t xml:space="preserve"> a luką podatkową w Polsce jest słaba zależność dodatnia. W ten sposób przyjętą roboczą hipotezę zakładającą silny stochastyczny związek dodatni należy odrzucić. W oparciu o powyższy wynik można </w:t>
      </w:r>
      <w:r w:rsidR="006748A9">
        <w:rPr>
          <w:rFonts w:ascii="Times New Roman" w:hAnsi="Times New Roman" w:cs="Times New Roman"/>
          <w:sz w:val="24"/>
          <w:szCs w:val="24"/>
        </w:rPr>
        <w:t xml:space="preserve">przyjąć, że zmienia się struktura szarej strefy w Polsce. Pozostaje ona na wysokim poziome ( co prawda, część  badaczy np. </w:t>
      </w:r>
      <w:r w:rsidR="006748A9" w:rsidRPr="006748A9">
        <w:rPr>
          <w:rFonts w:ascii="Times New Roman" w:hAnsi="Times New Roman" w:cs="Times New Roman"/>
          <w:sz w:val="24"/>
          <w:szCs w:val="24"/>
        </w:rPr>
        <w:t xml:space="preserve">Łapiński,  </w:t>
      </w:r>
      <w:proofErr w:type="spellStart"/>
      <w:r w:rsidR="006748A9" w:rsidRPr="006748A9">
        <w:rPr>
          <w:rFonts w:ascii="Times New Roman" w:hAnsi="Times New Roman" w:cs="Times New Roman"/>
          <w:sz w:val="24"/>
          <w:szCs w:val="24"/>
        </w:rPr>
        <w:t>Peterlik</w:t>
      </w:r>
      <w:proofErr w:type="spellEnd"/>
      <w:r w:rsidR="006748A9" w:rsidRPr="006748A9">
        <w:rPr>
          <w:rFonts w:ascii="Times New Roman" w:hAnsi="Times New Roman" w:cs="Times New Roman"/>
          <w:sz w:val="24"/>
          <w:szCs w:val="24"/>
        </w:rPr>
        <w:t>, Wyżnikiewicz</w:t>
      </w:r>
      <w:r w:rsidR="00F633DA">
        <w:rPr>
          <w:rFonts w:ascii="Times New Roman" w:hAnsi="Times New Roman" w:cs="Times New Roman"/>
          <w:sz w:val="24"/>
          <w:szCs w:val="24"/>
        </w:rPr>
        <w:t xml:space="preserve">, </w:t>
      </w:r>
      <w:r w:rsidR="006748A9">
        <w:rPr>
          <w:rFonts w:ascii="Times New Roman" w:hAnsi="Times New Roman" w:cs="Times New Roman"/>
          <w:sz w:val="24"/>
          <w:szCs w:val="24"/>
        </w:rPr>
        <w:t>2015</w:t>
      </w:r>
      <w:r w:rsidR="005B340D">
        <w:rPr>
          <w:rFonts w:ascii="Times New Roman" w:hAnsi="Times New Roman" w:cs="Times New Roman"/>
          <w:sz w:val="24"/>
          <w:szCs w:val="24"/>
        </w:rPr>
        <w:t xml:space="preserve"> s.4</w:t>
      </w:r>
      <w:r w:rsidR="006748A9">
        <w:rPr>
          <w:rFonts w:ascii="Times New Roman" w:hAnsi="Times New Roman" w:cs="Times New Roman"/>
          <w:sz w:val="24"/>
          <w:szCs w:val="24"/>
        </w:rPr>
        <w:t>)</w:t>
      </w:r>
      <w:r w:rsidR="006748A9" w:rsidRPr="006748A9">
        <w:rPr>
          <w:rFonts w:ascii="Times New Roman" w:hAnsi="Times New Roman" w:cs="Times New Roman"/>
          <w:sz w:val="24"/>
          <w:szCs w:val="24"/>
        </w:rPr>
        <w:t xml:space="preserve"> dowodzi spadku szarej strefy</w:t>
      </w:r>
      <w:r w:rsidR="006748A9">
        <w:rPr>
          <w:rFonts w:ascii="Times New Roman" w:hAnsi="Times New Roman" w:cs="Times New Roman"/>
          <w:sz w:val="24"/>
          <w:szCs w:val="24"/>
        </w:rPr>
        <w:t xml:space="preserve">, to taka sytuacja jest kolejną przesłanką do podkreślenia zwiększającej się  wartości luki podatkowej w Polsce i jej ważnej roli w strukturze szarej strefy. </w:t>
      </w:r>
    </w:p>
    <w:p w:rsidR="00744A29" w:rsidRDefault="00744A29">
      <w:pPr>
        <w:rPr>
          <w:rFonts w:ascii="Times New Roman" w:hAnsi="Times New Roman" w:cs="Times New Roman"/>
          <w:sz w:val="24"/>
          <w:szCs w:val="24"/>
        </w:rPr>
      </w:pPr>
    </w:p>
    <w:p w:rsidR="00C11C7D" w:rsidRPr="00744A29" w:rsidRDefault="005B340D">
      <w:pPr>
        <w:rPr>
          <w:rFonts w:ascii="Times New Roman" w:hAnsi="Times New Roman" w:cs="Times New Roman"/>
          <w:sz w:val="28"/>
          <w:szCs w:val="28"/>
        </w:rPr>
      </w:pPr>
      <w:r>
        <w:rPr>
          <w:rFonts w:ascii="Times New Roman" w:hAnsi="Times New Roman" w:cs="Times New Roman"/>
          <w:sz w:val="28"/>
          <w:szCs w:val="28"/>
        </w:rPr>
        <w:t>Podsumowanie</w:t>
      </w:r>
    </w:p>
    <w:p w:rsidR="00744A29" w:rsidRDefault="00744A29">
      <w:pPr>
        <w:rPr>
          <w:rFonts w:ascii="Times New Roman" w:hAnsi="Times New Roman" w:cs="Times New Roman"/>
          <w:sz w:val="24"/>
          <w:szCs w:val="24"/>
        </w:rPr>
      </w:pPr>
    </w:p>
    <w:p w:rsidR="00744A29" w:rsidRDefault="00744A29" w:rsidP="00C24B53">
      <w:pPr>
        <w:spacing w:line="360" w:lineRule="auto"/>
        <w:ind w:firstLine="708"/>
        <w:rPr>
          <w:rFonts w:ascii="Times New Roman" w:hAnsi="Times New Roman" w:cs="Times New Roman"/>
          <w:sz w:val="24"/>
          <w:szCs w:val="24"/>
        </w:rPr>
      </w:pPr>
      <w:r>
        <w:rPr>
          <w:rFonts w:ascii="Times New Roman" w:hAnsi="Times New Roman" w:cs="Times New Roman"/>
          <w:sz w:val="24"/>
          <w:szCs w:val="24"/>
        </w:rPr>
        <w:t>Szara strefa</w:t>
      </w:r>
      <w:r w:rsidR="001F3008">
        <w:rPr>
          <w:rFonts w:ascii="Times New Roman" w:hAnsi="Times New Roman" w:cs="Times New Roman"/>
          <w:sz w:val="24"/>
          <w:szCs w:val="24"/>
        </w:rPr>
        <w:t xml:space="preserve"> była i nadal pozostaje</w:t>
      </w:r>
      <w:r>
        <w:rPr>
          <w:rFonts w:ascii="Times New Roman" w:hAnsi="Times New Roman" w:cs="Times New Roman"/>
          <w:sz w:val="24"/>
          <w:szCs w:val="24"/>
        </w:rPr>
        <w:t xml:space="preserve"> ważnym problemem gospodarczym w Polsce. Zmienia się struktura szarej strefy. </w:t>
      </w:r>
      <w:r w:rsidR="001F3008">
        <w:rPr>
          <w:rFonts w:ascii="Times New Roman" w:hAnsi="Times New Roman" w:cs="Times New Roman"/>
          <w:sz w:val="24"/>
          <w:szCs w:val="24"/>
        </w:rPr>
        <w:t>Ważne w niej miejsce zajmuje luka podatkowa. Począwszy od 2007 r. jej poziom systematycznie rośnie. Na podstawie przeprowadzonej krytycznej analizy literatury przedmiotu i badań empirycznych można wyciągną</w:t>
      </w:r>
      <w:r w:rsidR="00586B7F">
        <w:rPr>
          <w:rFonts w:ascii="Times New Roman" w:hAnsi="Times New Roman" w:cs="Times New Roman"/>
          <w:sz w:val="24"/>
          <w:szCs w:val="24"/>
        </w:rPr>
        <w:t>ć szereg ciekawych wniosków oraz</w:t>
      </w:r>
      <w:r w:rsidR="001F3008">
        <w:rPr>
          <w:rFonts w:ascii="Times New Roman" w:hAnsi="Times New Roman" w:cs="Times New Roman"/>
          <w:sz w:val="24"/>
          <w:szCs w:val="24"/>
        </w:rPr>
        <w:t xml:space="preserve"> rekomendacji. Brakuje jednej spójnej i powszechnie obowiązującej definicji. </w:t>
      </w:r>
      <w:r w:rsidR="001A628C">
        <w:rPr>
          <w:rFonts w:ascii="Times New Roman" w:hAnsi="Times New Roman" w:cs="Times New Roman"/>
          <w:sz w:val="24"/>
          <w:szCs w:val="24"/>
        </w:rPr>
        <w:t>Odrębne definicje skutkują</w:t>
      </w:r>
      <w:r w:rsidR="00C24B53">
        <w:rPr>
          <w:rFonts w:ascii="Times New Roman" w:hAnsi="Times New Roman" w:cs="Times New Roman"/>
          <w:sz w:val="24"/>
          <w:szCs w:val="24"/>
        </w:rPr>
        <w:t xml:space="preserve"> odmiennymi kategoriami ekonomicznymi. Dlatego też uwarunkowania funkcjonowania szarej strefy, jej efekty, dynamika, zmiany, mogą być ( w zależności od przyjętej definicji) bardzo różne.</w:t>
      </w:r>
      <w:r w:rsidR="00530116">
        <w:rPr>
          <w:rFonts w:ascii="Times New Roman" w:hAnsi="Times New Roman" w:cs="Times New Roman"/>
          <w:sz w:val="24"/>
          <w:szCs w:val="24"/>
        </w:rPr>
        <w:t xml:space="preserve"> </w:t>
      </w:r>
      <w:r w:rsidR="00977D28">
        <w:rPr>
          <w:rFonts w:ascii="Times New Roman" w:hAnsi="Times New Roman" w:cs="Times New Roman"/>
          <w:sz w:val="24"/>
          <w:szCs w:val="24"/>
        </w:rPr>
        <w:t>Szara strefa powinna być nadal badana.</w:t>
      </w:r>
      <w:r w:rsidR="004568A0">
        <w:rPr>
          <w:rFonts w:ascii="Times New Roman" w:hAnsi="Times New Roman" w:cs="Times New Roman"/>
          <w:sz w:val="24"/>
          <w:szCs w:val="24"/>
        </w:rPr>
        <w:t xml:space="preserve"> Szczególnie ważne są jej uwarunkowania, tendencje zmian oraz efekty jakie wywołuje. Poznanie tych aspektów może przyczynić się do efektywniejszego ograniczenia szarej strefy i rozwoju legalnej sfery działalności gospodarczej.</w:t>
      </w:r>
    </w:p>
    <w:p w:rsidR="00396ECD" w:rsidRPr="000E75A8" w:rsidRDefault="00396ECD" w:rsidP="00396ECD">
      <w:pPr>
        <w:rPr>
          <w:rFonts w:ascii="Times New Roman" w:hAnsi="Times New Roman" w:cs="Times New Roman"/>
          <w:sz w:val="20"/>
          <w:szCs w:val="20"/>
        </w:rPr>
      </w:pPr>
      <w:r w:rsidRPr="000E75A8">
        <w:rPr>
          <w:rFonts w:ascii="Times New Roman" w:hAnsi="Times New Roman" w:cs="Times New Roman"/>
          <w:sz w:val="20"/>
          <w:szCs w:val="20"/>
        </w:rPr>
        <w:t>Streszczenie</w:t>
      </w:r>
    </w:p>
    <w:p w:rsidR="00396ECD" w:rsidRDefault="00396ECD" w:rsidP="00396ECD">
      <w:pPr>
        <w:rPr>
          <w:rFonts w:ascii="Times New Roman" w:hAnsi="Times New Roman" w:cs="Times New Roman"/>
          <w:sz w:val="20"/>
          <w:szCs w:val="20"/>
        </w:rPr>
      </w:pPr>
    </w:p>
    <w:p w:rsidR="00396ECD" w:rsidRDefault="00396ECD" w:rsidP="00396ECD">
      <w:pPr>
        <w:rPr>
          <w:rFonts w:ascii="Times New Roman" w:hAnsi="Times New Roman" w:cs="Times New Roman"/>
          <w:sz w:val="20"/>
          <w:szCs w:val="20"/>
        </w:rPr>
      </w:pPr>
      <w:r>
        <w:rPr>
          <w:rFonts w:ascii="Times New Roman" w:hAnsi="Times New Roman" w:cs="Times New Roman"/>
          <w:sz w:val="20"/>
          <w:szCs w:val="20"/>
        </w:rPr>
        <w:t>W artykule przedstawiono związek pomiędzy wielkością szarej strefy w Polsce a luką podatkową.  Opisano podstawowe źródła szarej strefy, dynamikę jej zmian. Zwrócono uwagę na rozbieżności definicyjne, które rodzą odmienne kategorie ekonomiczne.</w:t>
      </w:r>
    </w:p>
    <w:p w:rsidR="00396ECD" w:rsidRPr="009955F2" w:rsidRDefault="00396ECD" w:rsidP="00396ECD">
      <w:pPr>
        <w:rPr>
          <w:rFonts w:ascii="Times New Roman" w:hAnsi="Times New Roman" w:cs="Times New Roman"/>
          <w:sz w:val="20"/>
          <w:szCs w:val="20"/>
        </w:rPr>
      </w:pPr>
      <w:r w:rsidRPr="009955F2">
        <w:rPr>
          <w:rFonts w:ascii="Times New Roman" w:hAnsi="Times New Roman" w:cs="Times New Roman"/>
          <w:sz w:val="20"/>
          <w:szCs w:val="20"/>
        </w:rPr>
        <w:lastRenderedPageBreak/>
        <w:t xml:space="preserve">słowa kluczowe: szara strefa, luka </w:t>
      </w:r>
      <w:r>
        <w:rPr>
          <w:rFonts w:ascii="Times New Roman" w:hAnsi="Times New Roman" w:cs="Times New Roman"/>
          <w:sz w:val="20"/>
          <w:szCs w:val="20"/>
        </w:rPr>
        <w:t>podatkowa, rozwój, związek</w:t>
      </w:r>
    </w:p>
    <w:p w:rsidR="00396ECD" w:rsidRPr="00171FF9" w:rsidRDefault="00396ECD" w:rsidP="00396ECD">
      <w:pPr>
        <w:rPr>
          <w:rFonts w:ascii="Times New Roman" w:hAnsi="Times New Roman" w:cs="Times New Roman"/>
          <w:sz w:val="20"/>
          <w:szCs w:val="20"/>
        </w:rPr>
      </w:pPr>
    </w:p>
    <w:p w:rsidR="00396ECD" w:rsidRDefault="00396ECD" w:rsidP="00396ECD">
      <w:pPr>
        <w:rPr>
          <w:rFonts w:ascii="Times New Roman" w:hAnsi="Times New Roman" w:cs="Times New Roman"/>
          <w:sz w:val="20"/>
          <w:szCs w:val="20"/>
          <w:lang w:val="en-US"/>
        </w:rPr>
      </w:pPr>
      <w:r>
        <w:rPr>
          <w:rFonts w:ascii="Times New Roman" w:hAnsi="Times New Roman" w:cs="Times New Roman"/>
          <w:sz w:val="20"/>
          <w:szCs w:val="20"/>
          <w:lang w:val="en-US"/>
        </w:rPr>
        <w:t>Abstract</w:t>
      </w:r>
    </w:p>
    <w:p w:rsidR="00396ECD" w:rsidRDefault="00396ECD" w:rsidP="00396ECD">
      <w:pPr>
        <w:rPr>
          <w:rFonts w:ascii="Times New Roman" w:hAnsi="Times New Roman" w:cs="Times New Roman"/>
          <w:sz w:val="20"/>
          <w:szCs w:val="20"/>
          <w:lang w:val="en-US"/>
        </w:rPr>
      </w:pPr>
    </w:p>
    <w:p w:rsidR="00396ECD" w:rsidRDefault="00396ECD" w:rsidP="00396ECD">
      <w:pPr>
        <w:rPr>
          <w:rFonts w:ascii="Times New Roman" w:hAnsi="Times New Roman" w:cs="Times New Roman"/>
          <w:sz w:val="20"/>
          <w:szCs w:val="20"/>
          <w:lang w:val="en-US"/>
        </w:rPr>
      </w:pPr>
      <w:r>
        <w:rPr>
          <w:rFonts w:ascii="Times New Roman" w:hAnsi="Times New Roman" w:cs="Times New Roman"/>
          <w:sz w:val="20"/>
          <w:szCs w:val="20"/>
          <w:lang w:val="en-US"/>
        </w:rPr>
        <w:t>The article is devoted to the relation between the size  of the shadow economy and the taxation gap in Poland. The roots, dynamic of the shadow economy was presented. The close attention was paid to different definitions of the shadow economy, which cause different economic categories.</w:t>
      </w:r>
    </w:p>
    <w:p w:rsidR="00396ECD" w:rsidRDefault="00396ECD" w:rsidP="00396ECD">
      <w:pPr>
        <w:rPr>
          <w:rFonts w:ascii="Times New Roman" w:hAnsi="Times New Roman" w:cs="Times New Roman"/>
          <w:sz w:val="20"/>
          <w:szCs w:val="20"/>
          <w:lang w:val="en-US"/>
        </w:rPr>
      </w:pPr>
      <w:r w:rsidRPr="009955F2">
        <w:rPr>
          <w:rFonts w:ascii="Times New Roman" w:hAnsi="Times New Roman" w:cs="Times New Roman"/>
          <w:sz w:val="20"/>
          <w:szCs w:val="20"/>
          <w:lang w:val="en-US"/>
        </w:rPr>
        <w:t>key words: shadow economy</w:t>
      </w:r>
      <w:r>
        <w:rPr>
          <w:rFonts w:ascii="Times New Roman" w:hAnsi="Times New Roman" w:cs="Times New Roman"/>
          <w:sz w:val="20"/>
          <w:szCs w:val="20"/>
          <w:lang w:val="en-US"/>
        </w:rPr>
        <w:t>, taxation gap, development, relationship</w:t>
      </w:r>
      <w:r w:rsidR="005B340D">
        <w:rPr>
          <w:rFonts w:ascii="Times New Roman" w:hAnsi="Times New Roman" w:cs="Times New Roman"/>
          <w:sz w:val="20"/>
          <w:szCs w:val="20"/>
          <w:lang w:val="en-US"/>
        </w:rPr>
        <w:t xml:space="preserve"> </w:t>
      </w:r>
    </w:p>
    <w:p w:rsidR="00744A29" w:rsidRPr="005B340D" w:rsidRDefault="00744A29" w:rsidP="001F3008">
      <w:pPr>
        <w:spacing w:line="360" w:lineRule="auto"/>
        <w:rPr>
          <w:rFonts w:ascii="Times New Roman" w:hAnsi="Times New Roman" w:cs="Times New Roman"/>
          <w:sz w:val="24"/>
          <w:szCs w:val="24"/>
          <w:lang w:val="en-US"/>
        </w:rPr>
      </w:pPr>
    </w:p>
    <w:p w:rsidR="001C6278" w:rsidRPr="0077526E" w:rsidRDefault="001C6278">
      <w:pPr>
        <w:rPr>
          <w:rFonts w:ascii="Times New Roman" w:hAnsi="Times New Roman" w:cs="Times New Roman"/>
          <w:sz w:val="24"/>
          <w:szCs w:val="24"/>
        </w:rPr>
      </w:pPr>
      <w:r w:rsidRPr="0077526E">
        <w:rPr>
          <w:rFonts w:ascii="Times New Roman" w:hAnsi="Times New Roman" w:cs="Times New Roman"/>
          <w:sz w:val="24"/>
          <w:szCs w:val="24"/>
        </w:rPr>
        <w:t>Literatura</w:t>
      </w:r>
    </w:p>
    <w:p w:rsidR="001C6278" w:rsidRPr="0077526E" w:rsidRDefault="001C6278" w:rsidP="001C6278">
      <w:pPr>
        <w:rPr>
          <w:rFonts w:ascii="Times New Roman" w:hAnsi="Times New Roman" w:cs="Times New Roman"/>
          <w:sz w:val="24"/>
          <w:szCs w:val="24"/>
        </w:rPr>
      </w:pPr>
    </w:p>
    <w:p w:rsidR="00517145" w:rsidRPr="004C7F18" w:rsidRDefault="005B340D" w:rsidP="004C7F18">
      <w:pPr>
        <w:pStyle w:val="Akapitzlist"/>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Adam, M.C., </w:t>
      </w:r>
      <w:proofErr w:type="spellStart"/>
      <w:r>
        <w:rPr>
          <w:rFonts w:ascii="Times New Roman" w:hAnsi="Times New Roman" w:cs="Times New Roman"/>
          <w:sz w:val="24"/>
          <w:szCs w:val="24"/>
          <w:lang w:val="en-US"/>
        </w:rPr>
        <w:t>Ginsburgh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w:t>
      </w:r>
      <w:r w:rsidR="004C7F18" w:rsidRPr="00946A5B">
        <w:rPr>
          <w:rFonts w:ascii="Times New Roman" w:hAnsi="Times New Roman" w:cs="Times New Roman"/>
          <w:i/>
          <w:sz w:val="24"/>
          <w:szCs w:val="24"/>
          <w:lang w:val="en-US"/>
        </w:rPr>
        <w:t>The</w:t>
      </w:r>
      <w:proofErr w:type="spellEnd"/>
      <w:r w:rsidR="004C7F18" w:rsidRPr="00946A5B">
        <w:rPr>
          <w:rFonts w:ascii="Times New Roman" w:hAnsi="Times New Roman" w:cs="Times New Roman"/>
          <w:i/>
          <w:sz w:val="24"/>
          <w:szCs w:val="24"/>
          <w:lang w:val="en-US"/>
        </w:rPr>
        <w:t xml:space="preserve"> Effects of Irregular Markets on Macroeconomic Policy: Some Estimates for </w:t>
      </w:r>
      <w:r w:rsidR="004C7F18" w:rsidRPr="009E701F">
        <w:rPr>
          <w:rFonts w:ascii="Times New Roman" w:hAnsi="Times New Roman" w:cs="Times New Roman"/>
          <w:i/>
          <w:sz w:val="24"/>
          <w:szCs w:val="24"/>
          <w:lang w:val="en-US"/>
        </w:rPr>
        <w:t>Belgium</w:t>
      </w:r>
      <w:r w:rsidR="004C7F18">
        <w:rPr>
          <w:rFonts w:ascii="Times New Roman" w:hAnsi="Times New Roman" w:cs="Times New Roman"/>
          <w:sz w:val="24"/>
          <w:szCs w:val="24"/>
          <w:lang w:val="en-US"/>
        </w:rPr>
        <w:t>. European Economic Review</w:t>
      </w:r>
      <w:r w:rsidR="004C7F18" w:rsidRPr="004C7F18">
        <w:rPr>
          <w:rFonts w:ascii="Times New Roman" w:hAnsi="Times New Roman" w:cs="Times New Roman"/>
          <w:sz w:val="24"/>
          <w:szCs w:val="24"/>
          <w:lang w:val="en-US"/>
        </w:rPr>
        <w:t>, 29</w:t>
      </w:r>
      <w:r>
        <w:rPr>
          <w:rFonts w:ascii="Times New Roman" w:hAnsi="Times New Roman" w:cs="Times New Roman"/>
          <w:sz w:val="24"/>
          <w:szCs w:val="24"/>
          <w:lang w:val="en-US"/>
        </w:rPr>
        <w:t>, 1985</w:t>
      </w:r>
    </w:p>
    <w:p w:rsidR="005329C8" w:rsidRDefault="005B340D" w:rsidP="002B6A16">
      <w:pPr>
        <w:pStyle w:val="Akapitzlist"/>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Buszko</w:t>
      </w:r>
      <w:proofErr w:type="spellEnd"/>
      <w:r>
        <w:rPr>
          <w:rFonts w:ascii="Times New Roman" w:hAnsi="Times New Roman" w:cs="Times New Roman"/>
          <w:sz w:val="24"/>
          <w:szCs w:val="24"/>
          <w:lang w:val="en-US"/>
        </w:rPr>
        <w:t xml:space="preserve">, A. </w:t>
      </w:r>
      <w:r w:rsidR="001C6278" w:rsidRPr="009E701F">
        <w:rPr>
          <w:rFonts w:ascii="Times New Roman" w:hAnsi="Times New Roman" w:cs="Times New Roman"/>
          <w:i/>
          <w:sz w:val="24"/>
          <w:szCs w:val="24"/>
          <w:lang w:val="en-US"/>
        </w:rPr>
        <w:t>Cultural Implications for the Shadow Economy  A Consideration of Institutional Quality and an Economic Model</w:t>
      </w:r>
      <w:r w:rsidR="001C6278" w:rsidRPr="002B6A16">
        <w:rPr>
          <w:rFonts w:ascii="Times New Roman" w:hAnsi="Times New Roman" w:cs="Times New Roman"/>
          <w:sz w:val="24"/>
          <w:szCs w:val="24"/>
          <w:lang w:val="en-US"/>
        </w:rPr>
        <w:t xml:space="preserve"> (</w:t>
      </w:r>
      <w:proofErr w:type="spellStart"/>
      <w:r w:rsidR="001C6278" w:rsidRPr="002B6A16">
        <w:rPr>
          <w:rFonts w:ascii="Times New Roman" w:hAnsi="Times New Roman" w:cs="Times New Roman"/>
          <w:sz w:val="24"/>
          <w:szCs w:val="24"/>
          <w:lang w:val="en-US"/>
        </w:rPr>
        <w:t>artykuł</w:t>
      </w:r>
      <w:proofErr w:type="spellEnd"/>
      <w:r w:rsidR="001C6278" w:rsidRPr="002B6A16">
        <w:rPr>
          <w:rFonts w:ascii="Times New Roman" w:hAnsi="Times New Roman" w:cs="Times New Roman"/>
          <w:sz w:val="24"/>
          <w:szCs w:val="24"/>
          <w:lang w:val="en-US"/>
        </w:rPr>
        <w:t xml:space="preserve"> w </w:t>
      </w:r>
      <w:proofErr w:type="spellStart"/>
      <w:r w:rsidR="001C6278" w:rsidRPr="002B6A16">
        <w:rPr>
          <w:rFonts w:ascii="Times New Roman" w:hAnsi="Times New Roman" w:cs="Times New Roman"/>
          <w:sz w:val="24"/>
          <w:szCs w:val="24"/>
          <w:lang w:val="en-US"/>
        </w:rPr>
        <w:t>druku</w:t>
      </w:r>
      <w:proofErr w:type="spellEnd"/>
      <w:r w:rsidR="001C6278" w:rsidRPr="002B6A16">
        <w:rPr>
          <w:rFonts w:ascii="Times New Roman" w:hAnsi="Times New Roman" w:cs="Times New Roman"/>
          <w:sz w:val="24"/>
          <w:szCs w:val="24"/>
          <w:lang w:val="en-US"/>
        </w:rPr>
        <w:t>)</w:t>
      </w:r>
      <w:r>
        <w:rPr>
          <w:rFonts w:ascii="Times New Roman" w:hAnsi="Times New Roman" w:cs="Times New Roman"/>
          <w:sz w:val="24"/>
          <w:szCs w:val="24"/>
          <w:lang w:val="en-US"/>
        </w:rPr>
        <w:t>, 2017</w:t>
      </w:r>
    </w:p>
    <w:p w:rsidR="0021647E" w:rsidRPr="0021647E" w:rsidRDefault="005B340D" w:rsidP="002B6A16">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Buszko, A.</w:t>
      </w:r>
      <w:r w:rsidR="0021647E" w:rsidRPr="0021647E">
        <w:rPr>
          <w:rFonts w:ascii="Times New Roman" w:hAnsi="Times New Roman" w:cs="Times New Roman"/>
          <w:sz w:val="24"/>
          <w:szCs w:val="24"/>
        </w:rPr>
        <w:t xml:space="preserve"> </w:t>
      </w:r>
      <w:r w:rsidR="0021647E" w:rsidRPr="009E701F">
        <w:rPr>
          <w:rFonts w:ascii="Times New Roman" w:hAnsi="Times New Roman" w:cs="Times New Roman"/>
          <w:i/>
          <w:sz w:val="24"/>
          <w:szCs w:val="24"/>
        </w:rPr>
        <w:t>Mechanizmy szarej strefy</w:t>
      </w:r>
      <w:r w:rsidR="0021647E" w:rsidRPr="0021647E">
        <w:rPr>
          <w:rFonts w:ascii="Times New Roman" w:hAnsi="Times New Roman" w:cs="Times New Roman"/>
          <w:sz w:val="24"/>
          <w:szCs w:val="24"/>
        </w:rPr>
        <w:t xml:space="preserve">. </w:t>
      </w:r>
      <w:proofErr w:type="spellStart"/>
      <w:r w:rsidR="0021647E">
        <w:rPr>
          <w:rFonts w:ascii="Times New Roman" w:hAnsi="Times New Roman" w:cs="Times New Roman"/>
          <w:sz w:val="24"/>
          <w:szCs w:val="24"/>
        </w:rPr>
        <w:t>CeDeWu</w:t>
      </w:r>
      <w:proofErr w:type="spellEnd"/>
      <w:r w:rsidR="0021647E">
        <w:rPr>
          <w:rFonts w:ascii="Times New Roman" w:hAnsi="Times New Roman" w:cs="Times New Roman"/>
          <w:sz w:val="24"/>
          <w:szCs w:val="24"/>
        </w:rPr>
        <w:t>. Warszawa</w:t>
      </w:r>
      <w:r>
        <w:rPr>
          <w:rFonts w:ascii="Times New Roman" w:hAnsi="Times New Roman" w:cs="Times New Roman"/>
          <w:sz w:val="24"/>
          <w:szCs w:val="24"/>
        </w:rPr>
        <w:t>, 2016</w:t>
      </w:r>
    </w:p>
    <w:p w:rsidR="002B6A16" w:rsidRDefault="005B340D" w:rsidP="002B6A16">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 xml:space="preserve">Cichocki, S. </w:t>
      </w:r>
      <w:r w:rsidR="002B6A16" w:rsidRPr="002B6A16">
        <w:rPr>
          <w:rFonts w:ascii="Times New Roman" w:hAnsi="Times New Roman" w:cs="Times New Roman"/>
          <w:sz w:val="24"/>
          <w:szCs w:val="24"/>
        </w:rPr>
        <w:t xml:space="preserve"> </w:t>
      </w:r>
      <w:r w:rsidR="002B6A16" w:rsidRPr="009E701F">
        <w:rPr>
          <w:rFonts w:ascii="Times New Roman" w:hAnsi="Times New Roman" w:cs="Times New Roman"/>
          <w:i/>
          <w:sz w:val="24"/>
          <w:szCs w:val="24"/>
        </w:rPr>
        <w:t>Metody Pomiaru Szarej Strefy</w:t>
      </w:r>
      <w:r w:rsidR="002B6A16" w:rsidRPr="002B6A16">
        <w:rPr>
          <w:rFonts w:ascii="Times New Roman" w:hAnsi="Times New Roman" w:cs="Times New Roman"/>
          <w:sz w:val="24"/>
          <w:szCs w:val="24"/>
        </w:rPr>
        <w:t>. Gospodarka Narodowa Nr1-2</w:t>
      </w:r>
      <w:r>
        <w:rPr>
          <w:rFonts w:ascii="Times New Roman" w:hAnsi="Times New Roman" w:cs="Times New Roman"/>
          <w:sz w:val="24"/>
          <w:szCs w:val="24"/>
        </w:rPr>
        <w:t>, 2006</w:t>
      </w:r>
    </w:p>
    <w:p w:rsidR="00583861" w:rsidRPr="00583861" w:rsidRDefault="005B340D" w:rsidP="00583861">
      <w:pPr>
        <w:pStyle w:val="Akapitzlist"/>
        <w:numPr>
          <w:ilvl w:val="0"/>
          <w:numId w:val="2"/>
        </w:numPr>
        <w:rPr>
          <w:rFonts w:ascii="Times New Roman" w:hAnsi="Times New Roman" w:cs="Times New Roman"/>
          <w:sz w:val="24"/>
          <w:szCs w:val="24"/>
          <w:lang w:val="en-US"/>
        </w:rPr>
      </w:pPr>
      <w:proofErr w:type="spellStart"/>
      <w:r w:rsidRPr="005B340D">
        <w:rPr>
          <w:rFonts w:ascii="Times New Roman" w:hAnsi="Times New Roman" w:cs="Times New Roman"/>
          <w:sz w:val="24"/>
          <w:szCs w:val="24"/>
          <w:lang w:val="en-US"/>
        </w:rPr>
        <w:t>Cichocki</w:t>
      </w:r>
      <w:proofErr w:type="spellEnd"/>
      <w:r w:rsidRPr="005B340D">
        <w:rPr>
          <w:rFonts w:ascii="Times New Roman" w:hAnsi="Times New Roman" w:cs="Times New Roman"/>
          <w:sz w:val="24"/>
          <w:szCs w:val="24"/>
          <w:lang w:val="en-US"/>
        </w:rPr>
        <w:t xml:space="preserve"> S. </w:t>
      </w:r>
      <w:r w:rsidR="00583861" w:rsidRPr="005B340D">
        <w:rPr>
          <w:rFonts w:ascii="Times New Roman" w:hAnsi="Times New Roman" w:cs="Times New Roman"/>
          <w:i/>
          <w:sz w:val="24"/>
          <w:szCs w:val="24"/>
          <w:lang w:val="en-US"/>
        </w:rPr>
        <w:t>Shadow economy and its relations with tax system and state budget in Poland 1995-2007</w:t>
      </w:r>
      <w:r w:rsidR="00583861" w:rsidRPr="005B340D">
        <w:rPr>
          <w:rFonts w:ascii="Times New Roman" w:hAnsi="Times New Roman" w:cs="Times New Roman"/>
          <w:sz w:val="24"/>
          <w:szCs w:val="24"/>
          <w:lang w:val="en-US"/>
        </w:rPr>
        <w:t>, U</w:t>
      </w:r>
      <w:r w:rsidR="00583861" w:rsidRPr="00583861">
        <w:rPr>
          <w:rFonts w:ascii="Times New Roman" w:hAnsi="Times New Roman" w:cs="Times New Roman"/>
          <w:sz w:val="24"/>
          <w:szCs w:val="24"/>
          <w:lang w:val="en-US"/>
        </w:rPr>
        <w:t xml:space="preserve">niversity of Warsaw, Faculty of Economic Sciences, Working Paper No. 05/2008, </w:t>
      </w:r>
      <w:r>
        <w:rPr>
          <w:rFonts w:ascii="Times New Roman" w:hAnsi="Times New Roman" w:cs="Times New Roman"/>
          <w:sz w:val="24"/>
          <w:szCs w:val="24"/>
          <w:lang w:val="en-US"/>
        </w:rPr>
        <w:t>2008</w:t>
      </w:r>
    </w:p>
    <w:p w:rsidR="00637A11" w:rsidRPr="00637A11" w:rsidRDefault="00637A11" w:rsidP="00637A11">
      <w:pPr>
        <w:pStyle w:val="Akapitzlist"/>
        <w:numPr>
          <w:ilvl w:val="0"/>
          <w:numId w:val="2"/>
        </w:numPr>
        <w:rPr>
          <w:rFonts w:ascii="Times New Roman" w:hAnsi="Times New Roman" w:cs="Times New Roman"/>
          <w:sz w:val="24"/>
          <w:szCs w:val="24"/>
          <w:lang w:val="en-US"/>
        </w:rPr>
      </w:pPr>
      <w:proofErr w:type="spellStart"/>
      <w:r w:rsidRPr="00637A11">
        <w:rPr>
          <w:rFonts w:ascii="Times New Roman" w:hAnsi="Times New Roman" w:cs="Times New Roman"/>
          <w:sz w:val="24"/>
          <w:szCs w:val="24"/>
          <w:lang w:val="en-US"/>
        </w:rPr>
        <w:t>Dell’Anno</w:t>
      </w:r>
      <w:proofErr w:type="spellEnd"/>
      <w:r w:rsidR="005B340D">
        <w:rPr>
          <w:rFonts w:ascii="Times New Roman" w:hAnsi="Times New Roman" w:cs="Times New Roman"/>
          <w:sz w:val="24"/>
          <w:szCs w:val="24"/>
          <w:lang w:val="en-US"/>
        </w:rPr>
        <w:t xml:space="preserve">, R. </w:t>
      </w:r>
      <w:r w:rsidRPr="00637A11">
        <w:rPr>
          <w:rFonts w:ascii="Times New Roman" w:hAnsi="Times New Roman" w:cs="Times New Roman"/>
          <w:sz w:val="24"/>
          <w:szCs w:val="24"/>
          <w:lang w:val="en-US"/>
        </w:rPr>
        <w:t xml:space="preserve"> </w:t>
      </w:r>
      <w:r w:rsidRPr="009E701F">
        <w:rPr>
          <w:rFonts w:ascii="Times New Roman" w:hAnsi="Times New Roman" w:cs="Times New Roman"/>
          <w:i/>
          <w:sz w:val="24"/>
          <w:szCs w:val="24"/>
          <w:lang w:val="en-US"/>
        </w:rPr>
        <w:t>What is the relationship between Unofficial and Official Economy? An analysis in Latin American Countries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Quaderni</w:t>
      </w:r>
      <w:proofErr w:type="spellEnd"/>
      <w:r>
        <w:rPr>
          <w:rFonts w:ascii="Times New Roman" w:hAnsi="Times New Roman" w:cs="Times New Roman"/>
          <w:sz w:val="24"/>
          <w:szCs w:val="24"/>
          <w:lang w:val="en-US"/>
        </w:rPr>
        <w:t xml:space="preserve"> DSEMS 23-2008</w:t>
      </w:r>
      <w:r w:rsidR="005B340D">
        <w:rPr>
          <w:rFonts w:ascii="Times New Roman" w:hAnsi="Times New Roman" w:cs="Times New Roman"/>
          <w:sz w:val="24"/>
          <w:szCs w:val="24"/>
          <w:lang w:val="en-US"/>
        </w:rPr>
        <w:t>, 2008</w:t>
      </w:r>
    </w:p>
    <w:p w:rsidR="0032798B" w:rsidRPr="00633BB8" w:rsidRDefault="0032798B" w:rsidP="00633BB8">
      <w:pPr>
        <w:pStyle w:val="Akapitzlist"/>
        <w:numPr>
          <w:ilvl w:val="0"/>
          <w:numId w:val="2"/>
        </w:numPr>
        <w:rPr>
          <w:rFonts w:ascii="Times New Roman" w:hAnsi="Times New Roman" w:cs="Times New Roman"/>
          <w:sz w:val="24"/>
          <w:szCs w:val="24"/>
          <w:lang w:val="en-US"/>
        </w:rPr>
      </w:pPr>
      <w:proofErr w:type="spellStart"/>
      <w:r w:rsidRPr="0051593D">
        <w:rPr>
          <w:rFonts w:ascii="Times New Roman" w:hAnsi="Times New Roman" w:cs="Times New Roman"/>
          <w:sz w:val="24"/>
          <w:szCs w:val="24"/>
          <w:lang w:val="en-US"/>
        </w:rPr>
        <w:t>Domniguez</w:t>
      </w:r>
      <w:proofErr w:type="spellEnd"/>
      <w:r w:rsidR="00633BB8" w:rsidRPr="0051593D">
        <w:rPr>
          <w:rFonts w:ascii="Times New Roman" w:hAnsi="Times New Roman" w:cs="Times New Roman"/>
          <w:sz w:val="24"/>
          <w:szCs w:val="24"/>
          <w:lang w:val="en-US"/>
        </w:rPr>
        <w:t>, P.,</w:t>
      </w:r>
      <w:r w:rsidRPr="0051593D">
        <w:rPr>
          <w:rFonts w:ascii="Times New Roman" w:hAnsi="Times New Roman" w:cs="Times New Roman"/>
          <w:sz w:val="24"/>
          <w:szCs w:val="24"/>
          <w:lang w:val="en-US"/>
        </w:rPr>
        <w:t xml:space="preserve"> Raphael</w:t>
      </w:r>
      <w:r w:rsidR="005B340D">
        <w:rPr>
          <w:rFonts w:ascii="Times New Roman" w:hAnsi="Times New Roman" w:cs="Times New Roman"/>
          <w:sz w:val="24"/>
          <w:szCs w:val="24"/>
          <w:lang w:val="en-US"/>
        </w:rPr>
        <w:t xml:space="preserve">, S. </w:t>
      </w:r>
      <w:r w:rsidR="00633BB8" w:rsidRPr="0051593D">
        <w:rPr>
          <w:lang w:val="en-US"/>
        </w:rPr>
        <w:t xml:space="preserve"> </w:t>
      </w:r>
      <w:r w:rsidR="00633BB8" w:rsidRPr="009E701F">
        <w:rPr>
          <w:rFonts w:ascii="Times New Roman" w:hAnsi="Times New Roman" w:cs="Times New Roman"/>
          <w:i/>
          <w:sz w:val="24"/>
          <w:szCs w:val="24"/>
          <w:lang w:val="en-US"/>
        </w:rPr>
        <w:t>The Role of the Cost-of-Crime Literature in Bridging the Gap Between Social Science Research and Policy Making Potentials and Limitations.</w:t>
      </w:r>
      <w:r w:rsidR="00633BB8" w:rsidRPr="00633BB8">
        <w:rPr>
          <w:lang w:val="en-US"/>
        </w:rPr>
        <w:t xml:space="preserve"> </w:t>
      </w:r>
      <w:r w:rsidR="00633BB8">
        <w:rPr>
          <w:rFonts w:ascii="Times New Roman" w:hAnsi="Times New Roman" w:cs="Times New Roman"/>
          <w:sz w:val="24"/>
          <w:szCs w:val="24"/>
          <w:lang w:val="en-US"/>
        </w:rPr>
        <w:t>Criminology &amp; Public Policy, Volume 14,</w:t>
      </w:r>
      <w:r w:rsidR="00633BB8" w:rsidRPr="00633BB8">
        <w:rPr>
          <w:rFonts w:ascii="Times New Roman" w:hAnsi="Times New Roman" w:cs="Times New Roman"/>
          <w:sz w:val="24"/>
          <w:szCs w:val="24"/>
          <w:lang w:val="en-US"/>
        </w:rPr>
        <w:t xml:space="preserve"> Issue 4</w:t>
      </w:r>
      <w:r w:rsidR="005B340D">
        <w:rPr>
          <w:rFonts w:ascii="Times New Roman" w:hAnsi="Times New Roman" w:cs="Times New Roman"/>
          <w:sz w:val="24"/>
          <w:szCs w:val="24"/>
          <w:lang w:val="en-US"/>
        </w:rPr>
        <w:t>, 2015</w:t>
      </w:r>
    </w:p>
    <w:p w:rsidR="005329C8" w:rsidRPr="00AA659F" w:rsidRDefault="005B340D" w:rsidP="002B6A16">
      <w:pPr>
        <w:pStyle w:val="Akapitzlist"/>
        <w:numPr>
          <w:ilvl w:val="0"/>
          <w:numId w:val="2"/>
        </w:numPr>
        <w:rPr>
          <w:lang w:val="en-US"/>
        </w:rPr>
      </w:pPr>
      <w:r>
        <w:rPr>
          <w:rFonts w:ascii="Times New Roman" w:hAnsi="Times New Roman" w:cs="Times New Roman"/>
          <w:sz w:val="24"/>
          <w:szCs w:val="24"/>
          <w:lang w:val="en-US"/>
        </w:rPr>
        <w:t xml:space="preserve">Elgin, C., </w:t>
      </w:r>
      <w:proofErr w:type="spellStart"/>
      <w:r>
        <w:rPr>
          <w:rFonts w:ascii="Times New Roman" w:hAnsi="Times New Roman" w:cs="Times New Roman"/>
          <w:sz w:val="24"/>
          <w:szCs w:val="24"/>
          <w:lang w:val="en-US"/>
        </w:rPr>
        <w:t>Uras</w:t>
      </w:r>
      <w:proofErr w:type="spellEnd"/>
      <w:r>
        <w:rPr>
          <w:rFonts w:ascii="Times New Roman" w:hAnsi="Times New Roman" w:cs="Times New Roman"/>
          <w:sz w:val="24"/>
          <w:szCs w:val="24"/>
          <w:lang w:val="en-US"/>
        </w:rPr>
        <w:t xml:space="preserve">, B.R. </w:t>
      </w:r>
      <w:r w:rsidR="005329C8" w:rsidRPr="009D1FCA">
        <w:rPr>
          <w:rFonts w:ascii="Times New Roman" w:hAnsi="Times New Roman" w:cs="Times New Roman"/>
          <w:sz w:val="24"/>
          <w:szCs w:val="24"/>
          <w:lang w:val="en-US"/>
        </w:rPr>
        <w:t xml:space="preserve"> </w:t>
      </w:r>
      <w:r w:rsidR="00B21AB7" w:rsidRPr="009E701F">
        <w:rPr>
          <w:rFonts w:ascii="Times New Roman" w:hAnsi="Times New Roman" w:cs="Times New Roman"/>
          <w:i/>
          <w:sz w:val="24"/>
          <w:szCs w:val="24"/>
          <w:lang w:val="en-US"/>
        </w:rPr>
        <w:t>Public debt, sovereign default risk and shadow economy</w:t>
      </w:r>
      <w:r w:rsidR="00B21AB7" w:rsidRPr="002B6A16">
        <w:rPr>
          <w:rFonts w:ascii="Times New Roman" w:hAnsi="Times New Roman" w:cs="Times New Roman"/>
          <w:sz w:val="24"/>
          <w:szCs w:val="24"/>
          <w:lang w:val="en-US"/>
        </w:rPr>
        <w:t xml:space="preserve">. </w:t>
      </w:r>
      <w:r w:rsidR="005329C8" w:rsidRPr="002B6A16">
        <w:rPr>
          <w:rFonts w:ascii="Times New Roman" w:hAnsi="Times New Roman" w:cs="Times New Roman"/>
          <w:sz w:val="24"/>
          <w:szCs w:val="24"/>
          <w:lang w:val="en-US"/>
        </w:rPr>
        <w:t>J</w:t>
      </w:r>
      <w:r>
        <w:rPr>
          <w:rFonts w:ascii="Times New Roman" w:hAnsi="Times New Roman" w:cs="Times New Roman"/>
          <w:sz w:val="24"/>
          <w:szCs w:val="24"/>
          <w:lang w:val="en-US"/>
        </w:rPr>
        <w:t>ournal of Financial Stability 9, 2013</w:t>
      </w:r>
    </w:p>
    <w:p w:rsidR="00AA659F" w:rsidRPr="005B340D" w:rsidRDefault="005B340D" w:rsidP="00AA659F">
      <w:pPr>
        <w:pStyle w:val="Akapitzlist"/>
        <w:numPr>
          <w:ilvl w:val="0"/>
          <w:numId w:val="2"/>
        </w:numPr>
        <w:rPr>
          <w:rFonts w:ascii="Times New Roman" w:hAnsi="Times New Roman" w:cs="Times New Roman"/>
          <w:sz w:val="24"/>
          <w:szCs w:val="24"/>
          <w:lang w:val="en-US"/>
        </w:rPr>
      </w:pPr>
      <w:proofErr w:type="spellStart"/>
      <w:r w:rsidRPr="005B340D">
        <w:rPr>
          <w:rFonts w:ascii="Times New Roman" w:hAnsi="Times New Roman" w:cs="Times New Roman"/>
          <w:sz w:val="24"/>
          <w:szCs w:val="24"/>
          <w:lang w:val="en-US"/>
        </w:rPr>
        <w:t>Encyklopedia</w:t>
      </w:r>
      <w:proofErr w:type="spellEnd"/>
      <w:r w:rsidRPr="005B340D">
        <w:rPr>
          <w:rFonts w:ascii="Times New Roman" w:hAnsi="Times New Roman" w:cs="Times New Roman"/>
          <w:sz w:val="24"/>
          <w:szCs w:val="24"/>
          <w:lang w:val="en-US"/>
        </w:rPr>
        <w:t xml:space="preserve"> PWN.</w:t>
      </w:r>
      <w:r w:rsidR="00AA659F" w:rsidRPr="005B340D">
        <w:rPr>
          <w:rFonts w:ascii="Times New Roman" w:hAnsi="Times New Roman" w:cs="Times New Roman"/>
          <w:sz w:val="24"/>
          <w:szCs w:val="24"/>
          <w:lang w:val="en-US"/>
        </w:rPr>
        <w:t xml:space="preserve"> Warszawa.   </w:t>
      </w:r>
      <w:proofErr w:type="spellStart"/>
      <w:r w:rsidR="00AA659F" w:rsidRPr="005B340D">
        <w:rPr>
          <w:rFonts w:ascii="Times New Roman" w:hAnsi="Times New Roman" w:cs="Times New Roman"/>
          <w:sz w:val="24"/>
          <w:szCs w:val="24"/>
          <w:lang w:val="en-US"/>
        </w:rPr>
        <w:t>Kofman</w:t>
      </w:r>
      <w:proofErr w:type="spellEnd"/>
      <w:r w:rsidR="00AA659F" w:rsidRPr="005B340D">
        <w:rPr>
          <w:rFonts w:ascii="Times New Roman" w:hAnsi="Times New Roman" w:cs="Times New Roman"/>
          <w:sz w:val="24"/>
          <w:szCs w:val="24"/>
          <w:lang w:val="en-US"/>
        </w:rPr>
        <w:t xml:space="preserve"> J. (red.)</w:t>
      </w:r>
      <w:r w:rsidRPr="005B340D">
        <w:rPr>
          <w:rFonts w:ascii="Times New Roman" w:hAnsi="Times New Roman" w:cs="Times New Roman"/>
          <w:sz w:val="24"/>
          <w:szCs w:val="24"/>
          <w:lang w:val="en-US"/>
        </w:rPr>
        <w:t>, 1994</w:t>
      </w:r>
    </w:p>
    <w:p w:rsidR="00637A11" w:rsidRPr="00637A11" w:rsidRDefault="005B340D" w:rsidP="00637A11">
      <w:pPr>
        <w:pStyle w:val="Akapitzlist"/>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Galli</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Kucera</w:t>
      </w:r>
      <w:proofErr w:type="spellEnd"/>
      <w:r>
        <w:rPr>
          <w:rFonts w:ascii="Times New Roman" w:hAnsi="Times New Roman" w:cs="Times New Roman"/>
          <w:sz w:val="24"/>
          <w:szCs w:val="24"/>
          <w:lang w:val="en-US"/>
        </w:rPr>
        <w:t xml:space="preserve"> D. </w:t>
      </w:r>
      <w:r w:rsidR="00637A11" w:rsidRPr="00637A11">
        <w:rPr>
          <w:rFonts w:ascii="Times New Roman" w:hAnsi="Times New Roman" w:cs="Times New Roman"/>
          <w:sz w:val="24"/>
          <w:szCs w:val="24"/>
          <w:lang w:val="en-US"/>
        </w:rPr>
        <w:t xml:space="preserve"> </w:t>
      </w:r>
      <w:r w:rsidR="00637A11" w:rsidRPr="009E701F">
        <w:rPr>
          <w:rFonts w:ascii="Times New Roman" w:hAnsi="Times New Roman" w:cs="Times New Roman"/>
          <w:i/>
          <w:sz w:val="24"/>
          <w:szCs w:val="24"/>
          <w:lang w:val="en-US"/>
        </w:rPr>
        <w:t>Informal employment in Latin America: Movements over business cycles and the effects over worker rights</w:t>
      </w:r>
      <w:r w:rsidR="009E701F">
        <w:rPr>
          <w:rFonts w:ascii="Times New Roman" w:hAnsi="Times New Roman" w:cs="Times New Roman"/>
          <w:sz w:val="24"/>
          <w:szCs w:val="24"/>
          <w:lang w:val="en-US"/>
        </w:rPr>
        <w:t>.</w:t>
      </w:r>
      <w:r w:rsidR="00637A11" w:rsidRPr="00637A11">
        <w:rPr>
          <w:rFonts w:ascii="Times New Roman" w:hAnsi="Times New Roman" w:cs="Times New Roman"/>
          <w:sz w:val="24"/>
          <w:szCs w:val="24"/>
          <w:lang w:val="en-US"/>
        </w:rPr>
        <w:t xml:space="preserve"> International Institute for Labor Studies Discussion</w:t>
      </w:r>
      <w:r w:rsidR="00637A11">
        <w:rPr>
          <w:rFonts w:ascii="Times New Roman" w:hAnsi="Times New Roman" w:cs="Times New Roman"/>
          <w:sz w:val="24"/>
          <w:szCs w:val="24"/>
          <w:lang w:val="en-US"/>
        </w:rPr>
        <w:t xml:space="preserve"> paper, DP/145/2003</w:t>
      </w:r>
      <w:r>
        <w:rPr>
          <w:rFonts w:ascii="Times New Roman" w:hAnsi="Times New Roman" w:cs="Times New Roman"/>
          <w:sz w:val="24"/>
          <w:szCs w:val="24"/>
          <w:lang w:val="en-US"/>
        </w:rPr>
        <w:t>, 2003</w:t>
      </w:r>
    </w:p>
    <w:p w:rsidR="005329C8" w:rsidRPr="002B6A16" w:rsidRDefault="005329C8" w:rsidP="002B6A16">
      <w:pPr>
        <w:pStyle w:val="Akapitzlist"/>
        <w:numPr>
          <w:ilvl w:val="0"/>
          <w:numId w:val="2"/>
        </w:numPr>
        <w:rPr>
          <w:rFonts w:ascii="Times New Roman" w:hAnsi="Times New Roman" w:cs="Times New Roman"/>
          <w:sz w:val="24"/>
          <w:szCs w:val="24"/>
          <w:lang w:val="en-US"/>
        </w:rPr>
      </w:pPr>
      <w:proofErr w:type="spellStart"/>
      <w:r w:rsidRPr="002B6A16">
        <w:rPr>
          <w:rFonts w:ascii="Times New Roman" w:hAnsi="Times New Roman" w:cs="Times New Roman"/>
          <w:sz w:val="24"/>
          <w:szCs w:val="24"/>
          <w:lang w:val="en-US"/>
        </w:rPr>
        <w:t>Gomis-Porqueras</w:t>
      </w:r>
      <w:proofErr w:type="spellEnd"/>
      <w:r w:rsidRPr="002B6A16">
        <w:rPr>
          <w:rFonts w:ascii="Times New Roman" w:hAnsi="Times New Roman" w:cs="Times New Roman"/>
          <w:sz w:val="24"/>
          <w:szCs w:val="24"/>
          <w:lang w:val="en-US"/>
        </w:rPr>
        <w:t>, P., Peral</w:t>
      </w:r>
      <w:r w:rsidR="005B340D">
        <w:rPr>
          <w:rFonts w:ascii="Times New Roman" w:hAnsi="Times New Roman" w:cs="Times New Roman"/>
          <w:sz w:val="24"/>
          <w:szCs w:val="24"/>
          <w:lang w:val="en-US"/>
        </w:rPr>
        <w:t>ta-Alva, A., Waller, Ch.</w:t>
      </w:r>
      <w:r w:rsidRPr="009E701F">
        <w:rPr>
          <w:i/>
          <w:lang w:val="en-US"/>
        </w:rPr>
        <w:t xml:space="preserve"> </w:t>
      </w:r>
      <w:r w:rsidRPr="009E701F">
        <w:rPr>
          <w:rFonts w:ascii="Times New Roman" w:hAnsi="Times New Roman" w:cs="Times New Roman"/>
          <w:i/>
          <w:sz w:val="24"/>
          <w:szCs w:val="24"/>
          <w:lang w:val="en-US"/>
        </w:rPr>
        <w:t>Quantifying the Shadow Economy: Measurement with Theory.</w:t>
      </w:r>
      <w:r w:rsidRPr="009E701F">
        <w:rPr>
          <w:i/>
          <w:lang w:val="en-US"/>
        </w:rPr>
        <w:t xml:space="preserve"> </w:t>
      </w:r>
      <w:r w:rsidRPr="002B6A16">
        <w:rPr>
          <w:rFonts w:ascii="Times New Roman" w:hAnsi="Times New Roman" w:cs="Times New Roman"/>
          <w:sz w:val="24"/>
          <w:szCs w:val="24"/>
          <w:lang w:val="en-US"/>
        </w:rPr>
        <w:t>Research Division Federal Reserve Bank of St. Louis Working Paper Series</w:t>
      </w:r>
      <w:r w:rsidR="005B340D">
        <w:rPr>
          <w:rFonts w:ascii="Times New Roman" w:hAnsi="Times New Roman" w:cs="Times New Roman"/>
          <w:sz w:val="24"/>
          <w:szCs w:val="24"/>
          <w:lang w:val="en-US"/>
        </w:rPr>
        <w:t>, 2011</w:t>
      </w:r>
    </w:p>
    <w:p w:rsidR="003D2D14" w:rsidRDefault="003D2D14" w:rsidP="002B6A16">
      <w:pPr>
        <w:pStyle w:val="Akapitzlist"/>
        <w:numPr>
          <w:ilvl w:val="0"/>
          <w:numId w:val="2"/>
        </w:numPr>
        <w:rPr>
          <w:rFonts w:ascii="Times New Roman" w:hAnsi="Times New Roman" w:cs="Times New Roman"/>
          <w:sz w:val="24"/>
          <w:szCs w:val="24"/>
          <w:lang w:val="en-US"/>
        </w:rPr>
      </w:pPr>
      <w:proofErr w:type="spellStart"/>
      <w:r w:rsidRPr="002B6A16">
        <w:rPr>
          <w:rFonts w:ascii="Times New Roman" w:hAnsi="Times New Roman" w:cs="Times New Roman"/>
          <w:sz w:val="24"/>
          <w:szCs w:val="24"/>
          <w:lang w:val="en-US"/>
        </w:rPr>
        <w:t>Feige</w:t>
      </w:r>
      <w:proofErr w:type="spellEnd"/>
      <w:r w:rsidR="007714D6">
        <w:rPr>
          <w:rFonts w:ascii="Times New Roman" w:hAnsi="Times New Roman" w:cs="Times New Roman"/>
          <w:sz w:val="24"/>
          <w:szCs w:val="24"/>
          <w:lang w:val="en-US"/>
        </w:rPr>
        <w:t>,</w:t>
      </w:r>
      <w:r w:rsidR="005B340D">
        <w:rPr>
          <w:rFonts w:ascii="Times New Roman" w:hAnsi="Times New Roman" w:cs="Times New Roman"/>
          <w:sz w:val="24"/>
          <w:szCs w:val="24"/>
          <w:lang w:val="en-US"/>
        </w:rPr>
        <w:t xml:space="preserve"> L.E.</w:t>
      </w:r>
      <w:r w:rsidRPr="002B6A16">
        <w:rPr>
          <w:rFonts w:ascii="Times New Roman" w:hAnsi="Times New Roman" w:cs="Times New Roman"/>
          <w:sz w:val="24"/>
          <w:szCs w:val="24"/>
          <w:lang w:val="en-US"/>
        </w:rPr>
        <w:t xml:space="preserve">  </w:t>
      </w:r>
      <w:r w:rsidRPr="009E701F">
        <w:rPr>
          <w:rFonts w:ascii="Times New Roman" w:hAnsi="Times New Roman" w:cs="Times New Roman"/>
          <w:i/>
          <w:sz w:val="24"/>
          <w:szCs w:val="24"/>
          <w:lang w:val="en-US"/>
        </w:rPr>
        <w:t>Defining and Estimating Underground and Informal Economies: The New Institutional Economics Approach</w:t>
      </w:r>
      <w:r w:rsidR="009E701F">
        <w:rPr>
          <w:rFonts w:ascii="Times New Roman" w:hAnsi="Times New Roman" w:cs="Times New Roman"/>
          <w:sz w:val="24"/>
          <w:szCs w:val="24"/>
          <w:lang w:val="en-US"/>
        </w:rPr>
        <w:t>.</w:t>
      </w:r>
      <w:r w:rsidRPr="002B6A16">
        <w:rPr>
          <w:rFonts w:ascii="Times New Roman" w:hAnsi="Times New Roman" w:cs="Times New Roman"/>
          <w:sz w:val="24"/>
          <w:szCs w:val="24"/>
          <w:lang w:val="en-US"/>
        </w:rPr>
        <w:t xml:space="preserve"> </w:t>
      </w:r>
      <w:proofErr w:type="spellStart"/>
      <w:r w:rsidRPr="002B6A16">
        <w:rPr>
          <w:rFonts w:ascii="Times New Roman" w:hAnsi="Times New Roman" w:cs="Times New Roman"/>
          <w:sz w:val="24"/>
          <w:szCs w:val="24"/>
          <w:lang w:val="en-US"/>
        </w:rPr>
        <w:t>Univeristy</w:t>
      </w:r>
      <w:proofErr w:type="spellEnd"/>
      <w:r w:rsidRPr="002B6A16">
        <w:rPr>
          <w:rFonts w:ascii="Times New Roman" w:hAnsi="Times New Roman" w:cs="Times New Roman"/>
          <w:sz w:val="24"/>
          <w:szCs w:val="24"/>
          <w:lang w:val="en-US"/>
        </w:rPr>
        <w:t xml:space="preserve"> of </w:t>
      </w:r>
      <w:proofErr w:type="spellStart"/>
      <w:r w:rsidRPr="002B6A16">
        <w:rPr>
          <w:rFonts w:ascii="Times New Roman" w:hAnsi="Times New Roman" w:cs="Times New Roman"/>
          <w:sz w:val="24"/>
          <w:szCs w:val="24"/>
          <w:lang w:val="en-US"/>
        </w:rPr>
        <w:t>Winsconsin</w:t>
      </w:r>
      <w:proofErr w:type="spellEnd"/>
      <w:r w:rsidRPr="002B6A16">
        <w:rPr>
          <w:rFonts w:ascii="Times New Roman" w:hAnsi="Times New Roman" w:cs="Times New Roman"/>
          <w:sz w:val="24"/>
          <w:szCs w:val="24"/>
          <w:lang w:val="en-US"/>
        </w:rPr>
        <w:t>-Madison, Madison</w:t>
      </w:r>
      <w:r w:rsidR="005B340D">
        <w:rPr>
          <w:rFonts w:ascii="Times New Roman" w:hAnsi="Times New Roman" w:cs="Times New Roman"/>
          <w:sz w:val="24"/>
          <w:szCs w:val="24"/>
          <w:lang w:val="en-US"/>
        </w:rPr>
        <w:t>, 1990</w:t>
      </w:r>
    </w:p>
    <w:p w:rsidR="0092256A" w:rsidRPr="0092256A" w:rsidRDefault="0092256A" w:rsidP="0092256A">
      <w:pPr>
        <w:pStyle w:val="Akapitzlist"/>
        <w:numPr>
          <w:ilvl w:val="0"/>
          <w:numId w:val="2"/>
        </w:numPr>
        <w:rPr>
          <w:rFonts w:ascii="Times New Roman" w:hAnsi="Times New Roman" w:cs="Times New Roman"/>
          <w:sz w:val="24"/>
          <w:szCs w:val="24"/>
          <w:lang w:val="en-US"/>
        </w:rPr>
      </w:pPr>
      <w:proofErr w:type="spellStart"/>
      <w:r w:rsidRPr="0092256A">
        <w:rPr>
          <w:rFonts w:ascii="Times New Roman" w:hAnsi="Times New Roman" w:cs="Times New Roman"/>
          <w:sz w:val="24"/>
          <w:szCs w:val="24"/>
          <w:lang w:val="en-US"/>
        </w:rPr>
        <w:t>Firlit</w:t>
      </w:r>
      <w:proofErr w:type="spellEnd"/>
      <w:r w:rsidRPr="0092256A">
        <w:rPr>
          <w:rFonts w:ascii="Times New Roman" w:hAnsi="Times New Roman" w:cs="Times New Roman"/>
          <w:sz w:val="24"/>
          <w:szCs w:val="24"/>
          <w:lang w:val="en-US"/>
        </w:rPr>
        <w:t xml:space="preserve">, E,. </w:t>
      </w:r>
      <w:proofErr w:type="spellStart"/>
      <w:r w:rsidRPr="0092256A">
        <w:rPr>
          <w:rFonts w:ascii="Times New Roman" w:hAnsi="Times New Roman" w:cs="Times New Roman"/>
          <w:sz w:val="24"/>
          <w:szCs w:val="24"/>
          <w:lang w:val="en-US"/>
        </w:rPr>
        <w:t>Chlopecki</w:t>
      </w:r>
      <w:proofErr w:type="spellEnd"/>
      <w:r w:rsidR="005B340D">
        <w:rPr>
          <w:rFonts w:ascii="Times New Roman" w:hAnsi="Times New Roman" w:cs="Times New Roman"/>
          <w:sz w:val="24"/>
          <w:szCs w:val="24"/>
          <w:lang w:val="en-US"/>
        </w:rPr>
        <w:t xml:space="preserve">, J. </w:t>
      </w:r>
      <w:r w:rsidRPr="009E701F">
        <w:rPr>
          <w:rFonts w:ascii="Times New Roman" w:hAnsi="Times New Roman" w:cs="Times New Roman"/>
          <w:i/>
          <w:sz w:val="24"/>
          <w:szCs w:val="24"/>
          <w:lang w:val="en-US"/>
        </w:rPr>
        <w:t>When Theft is Not Theft, [in:] The Unplanned Society: Poland During and After Communism</w:t>
      </w:r>
      <w:r w:rsidR="009E701F">
        <w:rPr>
          <w:rFonts w:ascii="Times New Roman" w:hAnsi="Times New Roman" w:cs="Times New Roman"/>
          <w:sz w:val="24"/>
          <w:szCs w:val="24"/>
          <w:lang w:val="en-US"/>
        </w:rPr>
        <w:t>.</w:t>
      </w:r>
      <w:r w:rsidRPr="0092256A">
        <w:rPr>
          <w:rFonts w:ascii="Times New Roman" w:hAnsi="Times New Roman" w:cs="Times New Roman"/>
          <w:sz w:val="24"/>
          <w:szCs w:val="24"/>
          <w:lang w:val="en-US"/>
        </w:rPr>
        <w:t xml:space="preserve"> New York: Columbia University Press</w:t>
      </w:r>
      <w:r w:rsidR="005B340D">
        <w:rPr>
          <w:rFonts w:ascii="Times New Roman" w:hAnsi="Times New Roman" w:cs="Times New Roman"/>
          <w:sz w:val="24"/>
          <w:szCs w:val="24"/>
          <w:lang w:val="en-US"/>
        </w:rPr>
        <w:t>, 1992</w:t>
      </w:r>
    </w:p>
    <w:p w:rsidR="00F03BF7" w:rsidRPr="005B340D" w:rsidRDefault="00F03BF7" w:rsidP="00F03BF7">
      <w:pPr>
        <w:pStyle w:val="Akapitzlist"/>
        <w:numPr>
          <w:ilvl w:val="0"/>
          <w:numId w:val="2"/>
        </w:numPr>
        <w:rPr>
          <w:rFonts w:ascii="Times New Roman" w:hAnsi="Times New Roman" w:cs="Times New Roman"/>
          <w:sz w:val="24"/>
          <w:szCs w:val="24"/>
        </w:rPr>
      </w:pPr>
      <w:proofErr w:type="spellStart"/>
      <w:r w:rsidRPr="00F03BF7">
        <w:rPr>
          <w:rFonts w:ascii="Times New Roman" w:hAnsi="Times New Roman" w:cs="Times New Roman"/>
          <w:sz w:val="24"/>
          <w:szCs w:val="24"/>
        </w:rPr>
        <w:t>Jakóbiak</w:t>
      </w:r>
      <w:proofErr w:type="spellEnd"/>
      <w:r w:rsidR="007714D6">
        <w:rPr>
          <w:rFonts w:ascii="Times New Roman" w:hAnsi="Times New Roman" w:cs="Times New Roman"/>
          <w:sz w:val="24"/>
          <w:szCs w:val="24"/>
        </w:rPr>
        <w:t>,</w:t>
      </w:r>
      <w:r w:rsidRPr="00F03BF7">
        <w:rPr>
          <w:rFonts w:ascii="Times New Roman" w:hAnsi="Times New Roman" w:cs="Times New Roman"/>
          <w:sz w:val="24"/>
          <w:szCs w:val="24"/>
        </w:rPr>
        <w:t xml:space="preserve"> B., Jeznach</w:t>
      </w:r>
      <w:r w:rsidR="007714D6">
        <w:rPr>
          <w:rFonts w:ascii="Times New Roman" w:hAnsi="Times New Roman" w:cs="Times New Roman"/>
          <w:sz w:val="24"/>
          <w:szCs w:val="24"/>
        </w:rPr>
        <w:t>,</w:t>
      </w:r>
      <w:r w:rsidRPr="00F03BF7">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E701F">
        <w:rPr>
          <w:rFonts w:ascii="Times New Roman" w:hAnsi="Times New Roman" w:cs="Times New Roman"/>
          <w:i/>
          <w:sz w:val="24"/>
          <w:szCs w:val="24"/>
        </w:rPr>
        <w:t>Szara gospodarka w Polsce</w:t>
      </w:r>
      <w:r w:rsidRPr="009D1FCA">
        <w:rPr>
          <w:rFonts w:ascii="Times New Roman" w:hAnsi="Times New Roman" w:cs="Times New Roman"/>
          <w:sz w:val="24"/>
          <w:szCs w:val="24"/>
        </w:rPr>
        <w:t xml:space="preserve">. </w:t>
      </w:r>
      <w:r w:rsidRPr="005B340D">
        <w:rPr>
          <w:rFonts w:ascii="Times New Roman" w:hAnsi="Times New Roman" w:cs="Times New Roman"/>
          <w:sz w:val="24"/>
          <w:szCs w:val="24"/>
        </w:rPr>
        <w:t>Wiadomości Statystyczne,  Nr 4</w:t>
      </w:r>
      <w:r w:rsidR="005B340D">
        <w:rPr>
          <w:rFonts w:ascii="Times New Roman" w:hAnsi="Times New Roman" w:cs="Times New Roman"/>
          <w:sz w:val="24"/>
          <w:szCs w:val="24"/>
        </w:rPr>
        <w:t>, 1999</w:t>
      </w:r>
    </w:p>
    <w:p w:rsidR="00637A11" w:rsidRDefault="00637A11" w:rsidP="00637A11">
      <w:pPr>
        <w:pStyle w:val="Akapitzlist"/>
        <w:numPr>
          <w:ilvl w:val="0"/>
          <w:numId w:val="2"/>
        </w:numPr>
        <w:rPr>
          <w:rFonts w:ascii="Times New Roman" w:hAnsi="Times New Roman" w:cs="Times New Roman"/>
          <w:sz w:val="24"/>
          <w:szCs w:val="24"/>
          <w:lang w:val="en-US"/>
        </w:rPr>
      </w:pPr>
      <w:proofErr w:type="spellStart"/>
      <w:r w:rsidRPr="00637A11">
        <w:rPr>
          <w:rFonts w:ascii="Times New Roman" w:hAnsi="Times New Roman" w:cs="Times New Roman"/>
          <w:sz w:val="24"/>
          <w:szCs w:val="24"/>
          <w:lang w:val="en-US"/>
        </w:rPr>
        <w:t>Loayza</w:t>
      </w:r>
      <w:proofErr w:type="spellEnd"/>
      <w:r w:rsidR="005B340D">
        <w:rPr>
          <w:rFonts w:ascii="Times New Roman" w:hAnsi="Times New Roman" w:cs="Times New Roman"/>
          <w:sz w:val="24"/>
          <w:szCs w:val="24"/>
          <w:lang w:val="en-US"/>
        </w:rPr>
        <w:t>, N.V.</w:t>
      </w:r>
      <w:r w:rsidRPr="00637A11">
        <w:rPr>
          <w:rFonts w:ascii="Times New Roman" w:hAnsi="Times New Roman" w:cs="Times New Roman"/>
          <w:sz w:val="24"/>
          <w:szCs w:val="24"/>
          <w:lang w:val="en-US"/>
        </w:rPr>
        <w:t xml:space="preserve"> </w:t>
      </w:r>
      <w:r w:rsidRPr="009E701F">
        <w:rPr>
          <w:rFonts w:ascii="Times New Roman" w:hAnsi="Times New Roman" w:cs="Times New Roman"/>
          <w:i/>
          <w:sz w:val="24"/>
          <w:szCs w:val="24"/>
          <w:lang w:val="en-US"/>
        </w:rPr>
        <w:t>The economics of the informal sector: a simple model and some empirical evidence from Latin America</w:t>
      </w:r>
      <w:r w:rsidR="009E701F">
        <w:rPr>
          <w:rFonts w:ascii="Times New Roman" w:hAnsi="Times New Roman" w:cs="Times New Roman"/>
          <w:sz w:val="24"/>
          <w:szCs w:val="24"/>
          <w:lang w:val="en-US"/>
        </w:rPr>
        <w:t>.</w:t>
      </w:r>
      <w:r w:rsidRPr="00637A11">
        <w:rPr>
          <w:rFonts w:ascii="Times New Roman" w:hAnsi="Times New Roman" w:cs="Times New Roman"/>
          <w:sz w:val="24"/>
          <w:szCs w:val="24"/>
          <w:lang w:val="en-US"/>
        </w:rPr>
        <w:t xml:space="preserve"> Carnegie-Rochester Conference Series on Public Policy,</w:t>
      </w:r>
      <w:r>
        <w:rPr>
          <w:rFonts w:ascii="Times New Roman" w:hAnsi="Times New Roman" w:cs="Times New Roman"/>
          <w:sz w:val="24"/>
          <w:szCs w:val="24"/>
          <w:lang w:val="en-US"/>
        </w:rPr>
        <w:t xml:space="preserve"> Vol. 45</w:t>
      </w:r>
      <w:r w:rsidR="005B340D">
        <w:rPr>
          <w:rFonts w:ascii="Times New Roman" w:hAnsi="Times New Roman" w:cs="Times New Roman"/>
          <w:sz w:val="24"/>
          <w:szCs w:val="24"/>
          <w:lang w:val="en-US"/>
        </w:rPr>
        <w:t>, 1996</w:t>
      </w:r>
    </w:p>
    <w:p w:rsidR="00583861" w:rsidRPr="005B340D" w:rsidRDefault="00583861" w:rsidP="00583861">
      <w:pPr>
        <w:pStyle w:val="Akapitzlist"/>
        <w:numPr>
          <w:ilvl w:val="0"/>
          <w:numId w:val="2"/>
        </w:numPr>
        <w:rPr>
          <w:rFonts w:ascii="Times New Roman" w:hAnsi="Times New Roman" w:cs="Times New Roman"/>
          <w:sz w:val="24"/>
          <w:szCs w:val="24"/>
          <w:lang w:val="en-US"/>
        </w:rPr>
      </w:pPr>
      <w:r w:rsidRPr="005B340D">
        <w:rPr>
          <w:rFonts w:ascii="Times New Roman" w:hAnsi="Times New Roman" w:cs="Times New Roman"/>
          <w:sz w:val="24"/>
          <w:szCs w:val="24"/>
        </w:rPr>
        <w:lastRenderedPageBreak/>
        <w:t>Łapiński K</w:t>
      </w:r>
      <w:r w:rsidR="005B340D" w:rsidRPr="005B340D">
        <w:rPr>
          <w:rFonts w:ascii="Times New Roman" w:hAnsi="Times New Roman" w:cs="Times New Roman"/>
          <w:sz w:val="24"/>
          <w:szCs w:val="24"/>
        </w:rPr>
        <w:t xml:space="preserve">., </w:t>
      </w:r>
      <w:proofErr w:type="spellStart"/>
      <w:r w:rsidR="005B340D" w:rsidRPr="005B340D">
        <w:rPr>
          <w:rFonts w:ascii="Times New Roman" w:hAnsi="Times New Roman" w:cs="Times New Roman"/>
          <w:sz w:val="24"/>
          <w:szCs w:val="24"/>
        </w:rPr>
        <w:t>Peterlik</w:t>
      </w:r>
      <w:proofErr w:type="spellEnd"/>
      <w:r w:rsidR="005B340D" w:rsidRPr="005B340D">
        <w:rPr>
          <w:rFonts w:ascii="Times New Roman" w:hAnsi="Times New Roman" w:cs="Times New Roman"/>
          <w:sz w:val="24"/>
          <w:szCs w:val="24"/>
        </w:rPr>
        <w:t xml:space="preserve"> M., Wyżnikiewicz B.</w:t>
      </w:r>
      <w:r w:rsidR="00B02076" w:rsidRPr="005B340D">
        <w:rPr>
          <w:rFonts w:ascii="Times New Roman" w:hAnsi="Times New Roman" w:cs="Times New Roman"/>
          <w:i/>
          <w:sz w:val="24"/>
          <w:szCs w:val="24"/>
        </w:rPr>
        <w:t xml:space="preserve"> </w:t>
      </w:r>
      <w:r w:rsidRPr="005B340D">
        <w:rPr>
          <w:rFonts w:ascii="Times New Roman" w:hAnsi="Times New Roman" w:cs="Times New Roman"/>
          <w:i/>
          <w:sz w:val="24"/>
          <w:szCs w:val="24"/>
        </w:rPr>
        <w:t>Szara strefa w polskiej gospodarce w 2015 roku</w:t>
      </w:r>
      <w:r w:rsidRPr="005B340D">
        <w:rPr>
          <w:rFonts w:ascii="Times New Roman" w:hAnsi="Times New Roman" w:cs="Times New Roman"/>
          <w:sz w:val="24"/>
          <w:szCs w:val="24"/>
        </w:rPr>
        <w:t xml:space="preserve">. </w:t>
      </w:r>
      <w:proofErr w:type="spellStart"/>
      <w:r w:rsidRPr="005B340D">
        <w:rPr>
          <w:rFonts w:ascii="Times New Roman" w:hAnsi="Times New Roman" w:cs="Times New Roman"/>
          <w:sz w:val="24"/>
          <w:szCs w:val="24"/>
          <w:lang w:val="en-US"/>
        </w:rPr>
        <w:t>IBnGR</w:t>
      </w:r>
      <w:proofErr w:type="spellEnd"/>
      <w:r w:rsidRPr="005B340D">
        <w:rPr>
          <w:rFonts w:ascii="Times New Roman" w:hAnsi="Times New Roman" w:cs="Times New Roman"/>
          <w:sz w:val="24"/>
          <w:szCs w:val="24"/>
          <w:lang w:val="en-US"/>
        </w:rPr>
        <w:t xml:space="preserve">. Warszawa. </w:t>
      </w:r>
      <w:r w:rsidR="005B340D">
        <w:rPr>
          <w:rFonts w:ascii="Times New Roman" w:hAnsi="Times New Roman" w:cs="Times New Roman"/>
          <w:sz w:val="24"/>
          <w:szCs w:val="24"/>
          <w:lang w:val="en-US"/>
        </w:rPr>
        <w:t>2015</w:t>
      </w:r>
    </w:p>
    <w:p w:rsidR="0051593D" w:rsidRDefault="0051593D" w:rsidP="0051593D">
      <w:pPr>
        <w:pStyle w:val="Akapitzlist"/>
        <w:numPr>
          <w:ilvl w:val="0"/>
          <w:numId w:val="2"/>
        </w:numPr>
        <w:rPr>
          <w:rFonts w:ascii="Times New Roman" w:hAnsi="Times New Roman" w:cs="Times New Roman"/>
          <w:sz w:val="24"/>
          <w:szCs w:val="24"/>
        </w:rPr>
      </w:pPr>
      <w:r w:rsidRPr="005B340D">
        <w:rPr>
          <w:rFonts w:ascii="Times New Roman" w:hAnsi="Times New Roman" w:cs="Times New Roman"/>
          <w:sz w:val="24"/>
          <w:szCs w:val="24"/>
        </w:rPr>
        <w:t>Mróz B</w:t>
      </w:r>
      <w:r w:rsidR="005B340D">
        <w:rPr>
          <w:rFonts w:ascii="Times New Roman" w:hAnsi="Times New Roman" w:cs="Times New Roman"/>
          <w:sz w:val="24"/>
          <w:szCs w:val="24"/>
        </w:rPr>
        <w:t>.</w:t>
      </w:r>
      <w:r w:rsidRPr="0051593D">
        <w:rPr>
          <w:rFonts w:ascii="Times New Roman" w:hAnsi="Times New Roman" w:cs="Times New Roman"/>
          <w:sz w:val="24"/>
          <w:szCs w:val="24"/>
        </w:rPr>
        <w:t xml:space="preserve"> </w:t>
      </w:r>
      <w:r w:rsidRPr="009E701F">
        <w:rPr>
          <w:rFonts w:ascii="Times New Roman" w:hAnsi="Times New Roman" w:cs="Times New Roman"/>
          <w:i/>
          <w:sz w:val="24"/>
          <w:szCs w:val="24"/>
        </w:rPr>
        <w:t>Gospodarka nieoficjalna w systemie ekonomicznym</w:t>
      </w:r>
      <w:r>
        <w:rPr>
          <w:rFonts w:ascii="Times New Roman" w:hAnsi="Times New Roman" w:cs="Times New Roman"/>
          <w:sz w:val="24"/>
          <w:szCs w:val="24"/>
        </w:rPr>
        <w:t>.</w:t>
      </w:r>
      <w:r w:rsidRPr="0051593D">
        <w:rPr>
          <w:rFonts w:ascii="Times New Roman" w:hAnsi="Times New Roman" w:cs="Times New Roman"/>
          <w:sz w:val="24"/>
          <w:szCs w:val="24"/>
        </w:rPr>
        <w:t xml:space="preserve"> Monografie i Opracowania</w:t>
      </w:r>
      <w:r>
        <w:rPr>
          <w:rFonts w:ascii="Times New Roman" w:hAnsi="Times New Roman" w:cs="Times New Roman"/>
          <w:sz w:val="24"/>
          <w:szCs w:val="24"/>
        </w:rPr>
        <w:t xml:space="preserve"> SGH nr 509</w:t>
      </w:r>
      <w:r w:rsidR="005B340D">
        <w:rPr>
          <w:rFonts w:ascii="Times New Roman" w:hAnsi="Times New Roman" w:cs="Times New Roman"/>
          <w:sz w:val="24"/>
          <w:szCs w:val="24"/>
        </w:rPr>
        <w:t>, 2002</w:t>
      </w:r>
      <w:r>
        <w:rPr>
          <w:rFonts w:ascii="Times New Roman" w:hAnsi="Times New Roman" w:cs="Times New Roman"/>
          <w:sz w:val="24"/>
          <w:szCs w:val="24"/>
        </w:rPr>
        <w:t xml:space="preserve"> </w:t>
      </w:r>
    </w:p>
    <w:p w:rsidR="00D526C4" w:rsidRPr="009E701F" w:rsidRDefault="005B340D" w:rsidP="00D526C4">
      <w:pPr>
        <w:pStyle w:val="Akapitzlist"/>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PwC</w:t>
      </w:r>
      <w:proofErr w:type="spellEnd"/>
      <w:r>
        <w:rPr>
          <w:rFonts w:ascii="Times New Roman" w:hAnsi="Times New Roman" w:cs="Times New Roman"/>
          <w:sz w:val="24"/>
          <w:szCs w:val="24"/>
        </w:rPr>
        <w:t xml:space="preserve">. </w:t>
      </w:r>
      <w:r w:rsidR="00D526C4" w:rsidRPr="00D526C4">
        <w:rPr>
          <w:rFonts w:ascii="Times New Roman" w:hAnsi="Times New Roman" w:cs="Times New Roman"/>
          <w:sz w:val="24"/>
          <w:szCs w:val="24"/>
        </w:rPr>
        <w:t xml:space="preserve"> </w:t>
      </w:r>
      <w:r w:rsidR="00D526C4" w:rsidRPr="009E701F">
        <w:rPr>
          <w:rFonts w:ascii="Times New Roman" w:hAnsi="Times New Roman" w:cs="Times New Roman"/>
          <w:i/>
          <w:sz w:val="24"/>
          <w:szCs w:val="24"/>
        </w:rPr>
        <w:t>Luka podatkowa w VAT – jak to zwalczać</w:t>
      </w:r>
      <w:r w:rsidR="00D526C4" w:rsidRPr="00D526C4">
        <w:rPr>
          <w:rFonts w:ascii="Times New Roman" w:hAnsi="Times New Roman" w:cs="Times New Roman"/>
          <w:sz w:val="24"/>
          <w:szCs w:val="24"/>
        </w:rPr>
        <w:t xml:space="preserve">? </w:t>
      </w:r>
      <w:r w:rsidR="00D526C4" w:rsidRPr="009E701F">
        <w:rPr>
          <w:rFonts w:ascii="Times New Roman" w:hAnsi="Times New Roman" w:cs="Times New Roman"/>
          <w:sz w:val="24"/>
          <w:szCs w:val="24"/>
        </w:rPr>
        <w:t>Warszawa. Styczeń</w:t>
      </w:r>
      <w:r>
        <w:rPr>
          <w:rFonts w:ascii="Times New Roman" w:hAnsi="Times New Roman" w:cs="Times New Roman"/>
          <w:sz w:val="24"/>
          <w:szCs w:val="24"/>
        </w:rPr>
        <w:t>, 2014</w:t>
      </w:r>
    </w:p>
    <w:p w:rsidR="00583861" w:rsidRPr="009E701F" w:rsidRDefault="00583861" w:rsidP="00583861">
      <w:pPr>
        <w:pStyle w:val="Akapitzlist"/>
        <w:numPr>
          <w:ilvl w:val="0"/>
          <w:numId w:val="2"/>
        </w:numPr>
        <w:rPr>
          <w:rFonts w:ascii="Times New Roman" w:hAnsi="Times New Roman" w:cs="Times New Roman"/>
          <w:sz w:val="24"/>
          <w:szCs w:val="24"/>
        </w:rPr>
      </w:pPr>
      <w:r w:rsidRPr="00583861">
        <w:rPr>
          <w:rFonts w:ascii="Times New Roman" w:hAnsi="Times New Roman" w:cs="Times New Roman"/>
          <w:sz w:val="24"/>
          <w:szCs w:val="24"/>
        </w:rPr>
        <w:t xml:space="preserve">Rachunki narodowe według sektorów i podsektorów instytucjonalnych. </w:t>
      </w:r>
      <w:r w:rsidR="00B02076">
        <w:rPr>
          <w:rFonts w:ascii="Times New Roman" w:hAnsi="Times New Roman" w:cs="Times New Roman"/>
          <w:sz w:val="24"/>
          <w:szCs w:val="24"/>
        </w:rPr>
        <w:t>(</w:t>
      </w:r>
      <w:r w:rsidR="00B02076" w:rsidRPr="009E701F">
        <w:rPr>
          <w:rFonts w:ascii="Times New Roman" w:hAnsi="Times New Roman" w:cs="Times New Roman"/>
          <w:sz w:val="24"/>
          <w:szCs w:val="24"/>
        </w:rPr>
        <w:t xml:space="preserve">2015). </w:t>
      </w:r>
      <w:r w:rsidRPr="009E701F">
        <w:rPr>
          <w:rFonts w:ascii="Times New Roman" w:hAnsi="Times New Roman" w:cs="Times New Roman"/>
          <w:sz w:val="24"/>
          <w:szCs w:val="24"/>
        </w:rPr>
        <w:t xml:space="preserve">GUS. </w:t>
      </w:r>
    </w:p>
    <w:p w:rsidR="003D2D14" w:rsidRPr="002B6A16" w:rsidRDefault="005B340D" w:rsidP="002B6A16">
      <w:pPr>
        <w:pStyle w:val="Akapitzlist"/>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Schneider, F.</w:t>
      </w:r>
      <w:r w:rsidR="003D2D14" w:rsidRPr="00C11C7D">
        <w:rPr>
          <w:rFonts w:ascii="Times New Roman" w:hAnsi="Times New Roman" w:cs="Times New Roman"/>
          <w:sz w:val="24"/>
          <w:szCs w:val="24"/>
          <w:lang w:val="en-US"/>
        </w:rPr>
        <w:t xml:space="preserve"> </w:t>
      </w:r>
      <w:r w:rsidR="003D2D14" w:rsidRPr="00C11C7D">
        <w:rPr>
          <w:rFonts w:ascii="Times New Roman" w:hAnsi="Times New Roman" w:cs="Times New Roman"/>
          <w:i/>
          <w:sz w:val="24"/>
          <w:szCs w:val="24"/>
          <w:lang w:val="en-US"/>
        </w:rPr>
        <w:t xml:space="preserve">Shadow economies around </w:t>
      </w:r>
      <w:r w:rsidR="003D2D14" w:rsidRPr="009E701F">
        <w:rPr>
          <w:rFonts w:ascii="Times New Roman" w:hAnsi="Times New Roman" w:cs="Times New Roman"/>
          <w:i/>
          <w:sz w:val="24"/>
          <w:szCs w:val="24"/>
          <w:lang w:val="en-US"/>
        </w:rPr>
        <w:t>the world: what do we really know?</w:t>
      </w:r>
      <w:r w:rsidR="003D2D14" w:rsidRPr="00D526C4">
        <w:rPr>
          <w:rFonts w:ascii="Times New Roman" w:hAnsi="Times New Roman" w:cs="Times New Roman"/>
          <w:sz w:val="24"/>
          <w:szCs w:val="24"/>
          <w:lang w:val="en-US"/>
        </w:rPr>
        <w:t xml:space="preserve"> European Journal of P</w:t>
      </w:r>
      <w:r w:rsidR="003D2D14" w:rsidRPr="002B6A16">
        <w:rPr>
          <w:rFonts w:ascii="Times New Roman" w:hAnsi="Times New Roman" w:cs="Times New Roman"/>
          <w:sz w:val="24"/>
          <w:szCs w:val="24"/>
          <w:lang w:val="en-US"/>
        </w:rPr>
        <w:t>o</w:t>
      </w:r>
      <w:r>
        <w:rPr>
          <w:rFonts w:ascii="Times New Roman" w:hAnsi="Times New Roman" w:cs="Times New Roman"/>
          <w:sz w:val="24"/>
          <w:szCs w:val="24"/>
          <w:lang w:val="en-US"/>
        </w:rPr>
        <w:t>litical Economy 21 (3), 598–642, 2005</w:t>
      </w:r>
    </w:p>
    <w:p w:rsidR="003D2D14" w:rsidRDefault="005B340D" w:rsidP="002B6A16">
      <w:pPr>
        <w:pStyle w:val="Akapitzlist"/>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Schneider, F., </w:t>
      </w:r>
      <w:proofErr w:type="spellStart"/>
      <w:r>
        <w:rPr>
          <w:rFonts w:ascii="Times New Roman" w:hAnsi="Times New Roman" w:cs="Times New Roman"/>
          <w:sz w:val="24"/>
          <w:szCs w:val="24"/>
          <w:lang w:val="en-US"/>
        </w:rPr>
        <w:t>Enste</w:t>
      </w:r>
      <w:proofErr w:type="spellEnd"/>
      <w:r>
        <w:rPr>
          <w:rFonts w:ascii="Times New Roman" w:hAnsi="Times New Roman" w:cs="Times New Roman"/>
          <w:sz w:val="24"/>
          <w:szCs w:val="24"/>
          <w:lang w:val="en-US"/>
        </w:rPr>
        <w:t>, D.H.</w:t>
      </w:r>
      <w:r w:rsidR="003D2D14" w:rsidRPr="002B6A16">
        <w:rPr>
          <w:rFonts w:ascii="Times New Roman" w:hAnsi="Times New Roman" w:cs="Times New Roman"/>
          <w:sz w:val="24"/>
          <w:szCs w:val="24"/>
          <w:lang w:val="en-US"/>
        </w:rPr>
        <w:t xml:space="preserve"> </w:t>
      </w:r>
      <w:r w:rsidR="003D2D14" w:rsidRPr="009E701F">
        <w:rPr>
          <w:rFonts w:ascii="Times New Roman" w:hAnsi="Times New Roman" w:cs="Times New Roman"/>
          <w:i/>
          <w:sz w:val="24"/>
          <w:szCs w:val="24"/>
          <w:lang w:val="en-US"/>
        </w:rPr>
        <w:t>Shadow economies: size, causes, and consequences</w:t>
      </w:r>
      <w:r w:rsidR="003D2D14" w:rsidRPr="002B6A16">
        <w:rPr>
          <w:rFonts w:ascii="Times New Roman" w:hAnsi="Times New Roman" w:cs="Times New Roman"/>
          <w:sz w:val="24"/>
          <w:szCs w:val="24"/>
          <w:lang w:val="en-US"/>
        </w:rPr>
        <w:t>.</w:t>
      </w:r>
      <w:r w:rsidR="00045CEC">
        <w:rPr>
          <w:rFonts w:ascii="Times New Roman" w:hAnsi="Times New Roman" w:cs="Times New Roman"/>
          <w:sz w:val="24"/>
          <w:szCs w:val="24"/>
          <w:lang w:val="en-US"/>
        </w:rPr>
        <w:t xml:space="preserve"> </w:t>
      </w:r>
      <w:r w:rsidR="003D2D14" w:rsidRPr="002B6A16">
        <w:rPr>
          <w:rFonts w:ascii="Times New Roman" w:hAnsi="Times New Roman" w:cs="Times New Roman"/>
          <w:sz w:val="24"/>
          <w:szCs w:val="24"/>
          <w:lang w:val="en-US"/>
        </w:rPr>
        <w:t>Journa</w:t>
      </w:r>
      <w:r w:rsidR="007714D6">
        <w:rPr>
          <w:rFonts w:ascii="Times New Roman" w:hAnsi="Times New Roman" w:cs="Times New Roman"/>
          <w:sz w:val="24"/>
          <w:szCs w:val="24"/>
          <w:lang w:val="en-US"/>
        </w:rPr>
        <w:t>l of Economic Literature 38 (1)</w:t>
      </w:r>
      <w:r>
        <w:rPr>
          <w:rFonts w:ascii="Times New Roman" w:hAnsi="Times New Roman" w:cs="Times New Roman"/>
          <w:sz w:val="24"/>
          <w:szCs w:val="24"/>
          <w:lang w:val="en-US"/>
        </w:rPr>
        <w:t>, 2000</w:t>
      </w:r>
    </w:p>
    <w:p w:rsidR="00583861" w:rsidRDefault="00583861" w:rsidP="00583861">
      <w:pPr>
        <w:pStyle w:val="Akapitzlist"/>
        <w:numPr>
          <w:ilvl w:val="0"/>
          <w:numId w:val="2"/>
        </w:numPr>
        <w:rPr>
          <w:rFonts w:ascii="Times New Roman" w:hAnsi="Times New Roman" w:cs="Times New Roman"/>
          <w:sz w:val="24"/>
          <w:szCs w:val="24"/>
          <w:lang w:val="en-US"/>
        </w:rPr>
      </w:pPr>
      <w:r w:rsidRPr="00583861">
        <w:rPr>
          <w:rFonts w:ascii="Times New Roman" w:hAnsi="Times New Roman" w:cs="Times New Roman"/>
          <w:sz w:val="24"/>
          <w:szCs w:val="24"/>
          <w:lang w:val="en-US"/>
        </w:rPr>
        <w:t xml:space="preserve">Schneider F., </w:t>
      </w:r>
      <w:proofErr w:type="spellStart"/>
      <w:r w:rsidRPr="00583861">
        <w:rPr>
          <w:rFonts w:ascii="Times New Roman" w:hAnsi="Times New Roman" w:cs="Times New Roman"/>
          <w:sz w:val="24"/>
          <w:szCs w:val="24"/>
          <w:lang w:val="en-US"/>
        </w:rPr>
        <w:t>Buehn</w:t>
      </w:r>
      <w:proofErr w:type="spellEnd"/>
      <w:r w:rsidRPr="00583861">
        <w:rPr>
          <w:rFonts w:ascii="Times New Roman" w:hAnsi="Times New Roman" w:cs="Times New Roman"/>
          <w:sz w:val="24"/>
          <w:szCs w:val="24"/>
          <w:lang w:val="en-US"/>
        </w:rPr>
        <w:t xml:space="preserve"> A. Montenegro C.E. </w:t>
      </w:r>
      <w:r w:rsidR="00B02076">
        <w:rPr>
          <w:rFonts w:ascii="Times New Roman" w:hAnsi="Times New Roman" w:cs="Times New Roman"/>
          <w:sz w:val="24"/>
          <w:szCs w:val="24"/>
          <w:lang w:val="en-US"/>
        </w:rPr>
        <w:t xml:space="preserve"> </w:t>
      </w:r>
      <w:r w:rsidRPr="009E701F">
        <w:rPr>
          <w:rFonts w:ascii="Times New Roman" w:hAnsi="Times New Roman" w:cs="Times New Roman"/>
          <w:i/>
          <w:sz w:val="24"/>
          <w:szCs w:val="24"/>
          <w:lang w:val="en-US"/>
        </w:rPr>
        <w:t>New Estimates for the Shadow Economies all over the World</w:t>
      </w:r>
      <w:r w:rsidRPr="00583861">
        <w:rPr>
          <w:rFonts w:ascii="Times New Roman" w:hAnsi="Times New Roman" w:cs="Times New Roman"/>
          <w:sz w:val="24"/>
          <w:szCs w:val="24"/>
          <w:lang w:val="en-US"/>
        </w:rPr>
        <w:t>. International E</w:t>
      </w:r>
      <w:r w:rsidR="00B02076">
        <w:rPr>
          <w:rFonts w:ascii="Times New Roman" w:hAnsi="Times New Roman" w:cs="Times New Roman"/>
          <w:sz w:val="24"/>
          <w:szCs w:val="24"/>
          <w:lang w:val="en-US"/>
        </w:rPr>
        <w:t>conomic Journal. Vol. 24, No. 4</w:t>
      </w:r>
      <w:r w:rsidR="005B340D">
        <w:rPr>
          <w:rFonts w:ascii="Times New Roman" w:hAnsi="Times New Roman" w:cs="Times New Roman"/>
          <w:sz w:val="24"/>
          <w:szCs w:val="24"/>
          <w:lang w:val="en-US"/>
        </w:rPr>
        <w:t>, 2010</w:t>
      </w:r>
      <w:r w:rsidRPr="00583861">
        <w:rPr>
          <w:rFonts w:ascii="Times New Roman" w:hAnsi="Times New Roman" w:cs="Times New Roman"/>
          <w:sz w:val="24"/>
          <w:szCs w:val="24"/>
          <w:lang w:val="en-US"/>
        </w:rPr>
        <w:t xml:space="preserve"> </w:t>
      </w:r>
    </w:p>
    <w:p w:rsidR="002778BF" w:rsidRDefault="007714D6" w:rsidP="002778BF">
      <w:pPr>
        <w:pStyle w:val="Akapitzlist"/>
        <w:numPr>
          <w:ilvl w:val="0"/>
          <w:numId w:val="2"/>
        </w:numPr>
        <w:rPr>
          <w:rFonts w:ascii="Times New Roman" w:hAnsi="Times New Roman" w:cs="Times New Roman"/>
          <w:sz w:val="24"/>
          <w:szCs w:val="24"/>
          <w:lang w:val="en-US"/>
        </w:rPr>
      </w:pPr>
      <w:proofErr w:type="spellStart"/>
      <w:r w:rsidRPr="007714D6">
        <w:rPr>
          <w:rFonts w:ascii="Times New Roman" w:hAnsi="Times New Roman" w:cs="Times New Roman"/>
          <w:sz w:val="24"/>
          <w:szCs w:val="24"/>
          <w:lang w:val="en-US"/>
        </w:rPr>
        <w:t>Shlapentokh</w:t>
      </w:r>
      <w:proofErr w:type="spellEnd"/>
      <w:r w:rsidRPr="007714D6">
        <w:rPr>
          <w:rFonts w:ascii="Times New Roman" w:hAnsi="Times New Roman" w:cs="Times New Roman"/>
          <w:sz w:val="24"/>
          <w:szCs w:val="24"/>
          <w:lang w:val="en-US"/>
        </w:rPr>
        <w:t>,</w:t>
      </w:r>
      <w:r w:rsidR="005B340D">
        <w:rPr>
          <w:rFonts w:ascii="Times New Roman" w:hAnsi="Times New Roman" w:cs="Times New Roman"/>
          <w:sz w:val="24"/>
          <w:szCs w:val="24"/>
          <w:lang w:val="en-US"/>
        </w:rPr>
        <w:t xml:space="preserve"> V.</w:t>
      </w:r>
      <w:r w:rsidRPr="007714D6">
        <w:rPr>
          <w:lang w:val="en-US"/>
        </w:rPr>
        <w:t xml:space="preserve"> </w:t>
      </w:r>
      <w:r w:rsidRPr="009E701F">
        <w:rPr>
          <w:rFonts w:ascii="Times New Roman" w:hAnsi="Times New Roman" w:cs="Times New Roman"/>
          <w:i/>
          <w:sz w:val="24"/>
          <w:szCs w:val="24"/>
          <w:lang w:val="en-US"/>
        </w:rPr>
        <w:t>Corruption, the power of state and big business in Soviet and post-Soviet regimes</w:t>
      </w:r>
      <w:r>
        <w:rPr>
          <w:rFonts w:ascii="Times New Roman" w:hAnsi="Times New Roman" w:cs="Times New Roman"/>
          <w:sz w:val="24"/>
          <w:szCs w:val="24"/>
          <w:lang w:val="en-US"/>
        </w:rPr>
        <w:t>.</w:t>
      </w:r>
      <w:r w:rsidRPr="007714D6">
        <w:rPr>
          <w:lang w:val="en-US"/>
        </w:rPr>
        <w:t xml:space="preserve"> </w:t>
      </w:r>
      <w:r w:rsidRPr="007714D6">
        <w:rPr>
          <w:rFonts w:ascii="Times New Roman" w:hAnsi="Times New Roman" w:cs="Times New Roman"/>
          <w:sz w:val="24"/>
          <w:szCs w:val="24"/>
          <w:lang w:val="en-US"/>
        </w:rPr>
        <w:t>Communist and Post-Communist Studies 46</w:t>
      </w:r>
      <w:r w:rsidR="005B340D">
        <w:rPr>
          <w:rFonts w:ascii="Times New Roman" w:hAnsi="Times New Roman" w:cs="Times New Roman"/>
          <w:sz w:val="24"/>
          <w:szCs w:val="24"/>
          <w:lang w:val="en-US"/>
        </w:rPr>
        <w:t>, 2013</w:t>
      </w:r>
    </w:p>
    <w:p w:rsidR="002778BF" w:rsidRDefault="002778BF" w:rsidP="002778BF">
      <w:pPr>
        <w:pStyle w:val="Akapitzlist"/>
        <w:numPr>
          <w:ilvl w:val="0"/>
          <w:numId w:val="2"/>
        </w:numPr>
        <w:rPr>
          <w:rFonts w:ascii="Times New Roman" w:hAnsi="Times New Roman" w:cs="Times New Roman"/>
          <w:sz w:val="24"/>
          <w:szCs w:val="24"/>
          <w:lang w:val="en-US"/>
        </w:rPr>
      </w:pPr>
      <w:proofErr w:type="spellStart"/>
      <w:r w:rsidRPr="002778BF">
        <w:rPr>
          <w:rFonts w:ascii="Times New Roman" w:hAnsi="Times New Roman" w:cs="Times New Roman"/>
          <w:sz w:val="24"/>
          <w:szCs w:val="24"/>
          <w:lang w:val="en-US"/>
        </w:rPr>
        <w:t>Tanzi</w:t>
      </w:r>
      <w:proofErr w:type="spellEnd"/>
      <w:r>
        <w:rPr>
          <w:rFonts w:ascii="Times New Roman" w:hAnsi="Times New Roman" w:cs="Times New Roman"/>
          <w:sz w:val="24"/>
          <w:szCs w:val="24"/>
          <w:lang w:val="en-US"/>
        </w:rPr>
        <w:t>,</w:t>
      </w:r>
      <w:r w:rsidRPr="002778BF">
        <w:rPr>
          <w:rFonts w:ascii="Times New Roman" w:hAnsi="Times New Roman" w:cs="Times New Roman"/>
          <w:sz w:val="24"/>
          <w:szCs w:val="24"/>
          <w:lang w:val="en-US"/>
        </w:rPr>
        <w:t xml:space="preserve"> V. </w:t>
      </w:r>
      <w:r w:rsidRPr="009E701F">
        <w:rPr>
          <w:rFonts w:ascii="Times New Roman" w:hAnsi="Times New Roman" w:cs="Times New Roman"/>
          <w:i/>
          <w:sz w:val="24"/>
          <w:szCs w:val="24"/>
          <w:lang w:val="en-US"/>
        </w:rPr>
        <w:t xml:space="preserve">Corruption around the world: causes, consequences, scope, and cures. </w:t>
      </w:r>
      <w:r w:rsidR="00AA659F" w:rsidRPr="009E701F">
        <w:rPr>
          <w:rFonts w:ascii="Times New Roman" w:hAnsi="Times New Roman" w:cs="Times New Roman"/>
          <w:i/>
          <w:sz w:val="24"/>
          <w:szCs w:val="24"/>
          <w:lang w:val="en-US"/>
        </w:rPr>
        <w:t>[</w:t>
      </w:r>
      <w:r w:rsidRPr="009E701F">
        <w:rPr>
          <w:rFonts w:ascii="Times New Roman" w:hAnsi="Times New Roman" w:cs="Times New Roman"/>
          <w:i/>
          <w:sz w:val="24"/>
          <w:szCs w:val="24"/>
          <w:lang w:val="en-US"/>
        </w:rPr>
        <w:t>In:</w:t>
      </w:r>
      <w:r w:rsidR="00AA659F" w:rsidRPr="009E701F">
        <w:rPr>
          <w:rFonts w:ascii="Times New Roman" w:hAnsi="Times New Roman" w:cs="Times New Roman"/>
          <w:i/>
          <w:sz w:val="24"/>
          <w:szCs w:val="24"/>
          <w:lang w:val="en-US"/>
        </w:rPr>
        <w:t xml:space="preserve">] </w:t>
      </w:r>
      <w:r w:rsidRPr="009E701F">
        <w:rPr>
          <w:rFonts w:ascii="Times New Roman" w:hAnsi="Times New Roman" w:cs="Times New Roman"/>
          <w:i/>
          <w:sz w:val="24"/>
          <w:szCs w:val="24"/>
          <w:lang w:val="en-US"/>
        </w:rPr>
        <w:t>Abed, G.T., Gupta, S. (Eds.), Governance, Corruption and Economic Performance.</w:t>
      </w:r>
      <w:r>
        <w:rPr>
          <w:rFonts w:ascii="Times New Roman" w:hAnsi="Times New Roman" w:cs="Times New Roman"/>
          <w:sz w:val="24"/>
          <w:szCs w:val="24"/>
          <w:lang w:val="en-US"/>
        </w:rPr>
        <w:t xml:space="preserve"> IMF, Washington</w:t>
      </w:r>
      <w:r w:rsidR="005B340D">
        <w:rPr>
          <w:rFonts w:ascii="Times New Roman" w:hAnsi="Times New Roman" w:cs="Times New Roman"/>
          <w:sz w:val="24"/>
          <w:szCs w:val="24"/>
          <w:lang w:val="en-US"/>
        </w:rPr>
        <w:t>, 2012</w:t>
      </w:r>
      <w:r>
        <w:rPr>
          <w:rFonts w:ascii="Times New Roman" w:hAnsi="Times New Roman" w:cs="Times New Roman"/>
          <w:sz w:val="24"/>
          <w:szCs w:val="24"/>
          <w:lang w:val="en-US"/>
        </w:rPr>
        <w:t xml:space="preserve"> </w:t>
      </w:r>
    </w:p>
    <w:p w:rsidR="00B42584" w:rsidRPr="00B42584" w:rsidRDefault="005B340D" w:rsidP="00B42584">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Wojciechowski, T.</w:t>
      </w:r>
      <w:r w:rsidR="00B42584" w:rsidRPr="00B42584">
        <w:t xml:space="preserve"> </w:t>
      </w:r>
      <w:r w:rsidR="00B42584" w:rsidRPr="009E701F">
        <w:rPr>
          <w:rFonts w:ascii="Times New Roman" w:hAnsi="Times New Roman" w:cs="Times New Roman"/>
          <w:i/>
          <w:sz w:val="24"/>
          <w:szCs w:val="24"/>
        </w:rPr>
        <w:t>Podatki w Polsce, jesteśmy europejskim liderem w kosztach ściągalności danin.</w:t>
      </w:r>
      <w:r w:rsidR="00B42584">
        <w:rPr>
          <w:rFonts w:ascii="Times New Roman" w:hAnsi="Times New Roman" w:cs="Times New Roman"/>
          <w:sz w:val="24"/>
          <w:szCs w:val="24"/>
        </w:rPr>
        <w:t xml:space="preserve"> Gazeta Prawna. 5 marzec</w:t>
      </w:r>
      <w:r>
        <w:rPr>
          <w:rFonts w:ascii="Times New Roman" w:hAnsi="Times New Roman" w:cs="Times New Roman"/>
          <w:sz w:val="24"/>
          <w:szCs w:val="24"/>
        </w:rPr>
        <w:t>, 2015</w:t>
      </w:r>
    </w:p>
    <w:p w:rsidR="005329C8" w:rsidRPr="00B42584" w:rsidRDefault="005329C8" w:rsidP="001C6278">
      <w:pPr>
        <w:rPr>
          <w:rFonts w:ascii="Times New Roman" w:hAnsi="Times New Roman" w:cs="Times New Roman"/>
          <w:sz w:val="24"/>
          <w:szCs w:val="24"/>
        </w:rPr>
      </w:pPr>
    </w:p>
    <w:p w:rsidR="001C6278" w:rsidRPr="00B42584" w:rsidRDefault="001C6278">
      <w:pPr>
        <w:rPr>
          <w:rFonts w:ascii="Times New Roman" w:hAnsi="Times New Roman" w:cs="Times New Roman"/>
          <w:sz w:val="24"/>
          <w:szCs w:val="24"/>
        </w:rPr>
      </w:pPr>
    </w:p>
    <w:p w:rsidR="009955F2" w:rsidRPr="00B42584" w:rsidRDefault="009955F2">
      <w:pPr>
        <w:rPr>
          <w:rFonts w:ascii="Times New Roman" w:hAnsi="Times New Roman" w:cs="Times New Roman"/>
          <w:sz w:val="20"/>
          <w:szCs w:val="20"/>
        </w:rPr>
      </w:pPr>
    </w:p>
    <w:p w:rsidR="001C6278" w:rsidRPr="00B42584" w:rsidRDefault="001C6278">
      <w:pPr>
        <w:rPr>
          <w:rFonts w:ascii="Times New Roman" w:hAnsi="Times New Roman" w:cs="Times New Roman"/>
          <w:sz w:val="20"/>
          <w:szCs w:val="20"/>
        </w:rPr>
      </w:pPr>
    </w:p>
    <w:p w:rsidR="001C6278" w:rsidRPr="00B42584" w:rsidRDefault="001C6278">
      <w:pPr>
        <w:rPr>
          <w:rFonts w:ascii="Times New Roman" w:hAnsi="Times New Roman" w:cs="Times New Roman"/>
          <w:sz w:val="20"/>
          <w:szCs w:val="20"/>
        </w:rPr>
      </w:pPr>
    </w:p>
    <w:sectPr w:rsidR="001C6278" w:rsidRPr="00B4258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33" w:rsidRDefault="00523833" w:rsidP="0032798B">
      <w:pPr>
        <w:spacing w:line="240" w:lineRule="auto"/>
      </w:pPr>
      <w:r>
        <w:separator/>
      </w:r>
    </w:p>
  </w:endnote>
  <w:endnote w:type="continuationSeparator" w:id="0">
    <w:p w:rsidR="00523833" w:rsidRDefault="00523833" w:rsidP="00327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048803"/>
      <w:docPartObj>
        <w:docPartGallery w:val="Page Numbers (Bottom of Page)"/>
        <w:docPartUnique/>
      </w:docPartObj>
    </w:sdtPr>
    <w:sdtEndPr/>
    <w:sdtContent>
      <w:p w:rsidR="0032798B" w:rsidRDefault="0032798B">
        <w:pPr>
          <w:pStyle w:val="Stopka"/>
          <w:jc w:val="right"/>
        </w:pPr>
        <w:r>
          <w:fldChar w:fldCharType="begin"/>
        </w:r>
        <w:r>
          <w:instrText>PAGE   \* MERGEFORMAT</w:instrText>
        </w:r>
        <w:r>
          <w:fldChar w:fldCharType="separate"/>
        </w:r>
        <w:r w:rsidR="00D52A28">
          <w:rPr>
            <w:noProof/>
          </w:rPr>
          <w:t>1</w:t>
        </w:r>
        <w:r>
          <w:fldChar w:fldCharType="end"/>
        </w:r>
      </w:p>
    </w:sdtContent>
  </w:sdt>
  <w:p w:rsidR="0032798B" w:rsidRDefault="00327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33" w:rsidRDefault="00523833" w:rsidP="0032798B">
      <w:pPr>
        <w:spacing w:line="240" w:lineRule="auto"/>
      </w:pPr>
      <w:r>
        <w:separator/>
      </w:r>
    </w:p>
  </w:footnote>
  <w:footnote w:type="continuationSeparator" w:id="0">
    <w:p w:rsidR="00523833" w:rsidRDefault="00523833" w:rsidP="003279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842C4"/>
    <w:multiLevelType w:val="hybridMultilevel"/>
    <w:tmpl w:val="C31CA498"/>
    <w:lvl w:ilvl="0" w:tplc="B88A26A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5F4704BC"/>
    <w:multiLevelType w:val="hybridMultilevel"/>
    <w:tmpl w:val="9B6A9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F2"/>
    <w:rsid w:val="00035ED4"/>
    <w:rsid w:val="00044437"/>
    <w:rsid w:val="00045CEC"/>
    <w:rsid w:val="000B04FE"/>
    <w:rsid w:val="000C69BF"/>
    <w:rsid w:val="000E01DF"/>
    <w:rsid w:val="000E75A8"/>
    <w:rsid w:val="00171FF9"/>
    <w:rsid w:val="001A628C"/>
    <w:rsid w:val="001C6278"/>
    <w:rsid w:val="001F3008"/>
    <w:rsid w:val="002062E1"/>
    <w:rsid w:val="00207661"/>
    <w:rsid w:val="0021647E"/>
    <w:rsid w:val="002462ED"/>
    <w:rsid w:val="002778BF"/>
    <w:rsid w:val="00283A97"/>
    <w:rsid w:val="002B6A16"/>
    <w:rsid w:val="002E18EB"/>
    <w:rsid w:val="0032798B"/>
    <w:rsid w:val="003336B7"/>
    <w:rsid w:val="00335526"/>
    <w:rsid w:val="00396ECD"/>
    <w:rsid w:val="003C0BAB"/>
    <w:rsid w:val="003D2D14"/>
    <w:rsid w:val="003D6A01"/>
    <w:rsid w:val="00404AAA"/>
    <w:rsid w:val="004568A0"/>
    <w:rsid w:val="00490170"/>
    <w:rsid w:val="004C7F18"/>
    <w:rsid w:val="004F2147"/>
    <w:rsid w:val="0050284F"/>
    <w:rsid w:val="0051593D"/>
    <w:rsid w:val="00517145"/>
    <w:rsid w:val="00523833"/>
    <w:rsid w:val="00530116"/>
    <w:rsid w:val="005329C8"/>
    <w:rsid w:val="00583861"/>
    <w:rsid w:val="00586B7F"/>
    <w:rsid w:val="00593108"/>
    <w:rsid w:val="005955BD"/>
    <w:rsid w:val="005B340D"/>
    <w:rsid w:val="00633BB8"/>
    <w:rsid w:val="00637A11"/>
    <w:rsid w:val="006417F0"/>
    <w:rsid w:val="00642D3D"/>
    <w:rsid w:val="006748A9"/>
    <w:rsid w:val="006A0BF5"/>
    <w:rsid w:val="006B2DC0"/>
    <w:rsid w:val="006C0DEC"/>
    <w:rsid w:val="006F4BCF"/>
    <w:rsid w:val="00711943"/>
    <w:rsid w:val="00714377"/>
    <w:rsid w:val="00744A29"/>
    <w:rsid w:val="007714D6"/>
    <w:rsid w:val="0077526E"/>
    <w:rsid w:val="007B6655"/>
    <w:rsid w:val="007E4F83"/>
    <w:rsid w:val="0081603A"/>
    <w:rsid w:val="008573B4"/>
    <w:rsid w:val="0092256A"/>
    <w:rsid w:val="00946A5B"/>
    <w:rsid w:val="00952D47"/>
    <w:rsid w:val="0096538E"/>
    <w:rsid w:val="00977D28"/>
    <w:rsid w:val="009921D8"/>
    <w:rsid w:val="009955F2"/>
    <w:rsid w:val="009D1FCA"/>
    <w:rsid w:val="009E701F"/>
    <w:rsid w:val="009F497B"/>
    <w:rsid w:val="00A22FD1"/>
    <w:rsid w:val="00A34016"/>
    <w:rsid w:val="00A6145E"/>
    <w:rsid w:val="00AA1BA0"/>
    <w:rsid w:val="00AA659F"/>
    <w:rsid w:val="00AD23E3"/>
    <w:rsid w:val="00B02076"/>
    <w:rsid w:val="00B122CB"/>
    <w:rsid w:val="00B21AB7"/>
    <w:rsid w:val="00B4134B"/>
    <w:rsid w:val="00B42584"/>
    <w:rsid w:val="00C11C7D"/>
    <w:rsid w:val="00C24B53"/>
    <w:rsid w:val="00C26893"/>
    <w:rsid w:val="00C3725E"/>
    <w:rsid w:val="00C7416B"/>
    <w:rsid w:val="00C90B01"/>
    <w:rsid w:val="00C96FC4"/>
    <w:rsid w:val="00D526C4"/>
    <w:rsid w:val="00D52A28"/>
    <w:rsid w:val="00D62B5D"/>
    <w:rsid w:val="00DF71D1"/>
    <w:rsid w:val="00E214FA"/>
    <w:rsid w:val="00E3679B"/>
    <w:rsid w:val="00E74CAA"/>
    <w:rsid w:val="00EF5662"/>
    <w:rsid w:val="00F03BF7"/>
    <w:rsid w:val="00F4788C"/>
    <w:rsid w:val="00F55FF8"/>
    <w:rsid w:val="00F62741"/>
    <w:rsid w:val="00F63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6A16"/>
    <w:pPr>
      <w:ind w:left="720"/>
      <w:contextualSpacing/>
    </w:pPr>
  </w:style>
  <w:style w:type="paragraph" w:styleId="Nagwek">
    <w:name w:val="header"/>
    <w:basedOn w:val="Normalny"/>
    <w:link w:val="NagwekZnak"/>
    <w:uiPriority w:val="99"/>
    <w:unhideWhenUsed/>
    <w:rsid w:val="0032798B"/>
    <w:pPr>
      <w:tabs>
        <w:tab w:val="center" w:pos="4536"/>
        <w:tab w:val="right" w:pos="9072"/>
      </w:tabs>
      <w:spacing w:line="240" w:lineRule="auto"/>
    </w:pPr>
  </w:style>
  <w:style w:type="character" w:customStyle="1" w:styleId="NagwekZnak">
    <w:name w:val="Nagłówek Znak"/>
    <w:basedOn w:val="Domylnaczcionkaakapitu"/>
    <w:link w:val="Nagwek"/>
    <w:uiPriority w:val="99"/>
    <w:rsid w:val="0032798B"/>
  </w:style>
  <w:style w:type="paragraph" w:styleId="Stopka">
    <w:name w:val="footer"/>
    <w:basedOn w:val="Normalny"/>
    <w:link w:val="StopkaZnak"/>
    <w:uiPriority w:val="99"/>
    <w:unhideWhenUsed/>
    <w:rsid w:val="0032798B"/>
    <w:pPr>
      <w:tabs>
        <w:tab w:val="center" w:pos="4536"/>
        <w:tab w:val="right" w:pos="9072"/>
      </w:tabs>
      <w:spacing w:line="240" w:lineRule="auto"/>
    </w:pPr>
  </w:style>
  <w:style w:type="character" w:customStyle="1" w:styleId="StopkaZnak">
    <w:name w:val="Stopka Znak"/>
    <w:basedOn w:val="Domylnaczcionkaakapitu"/>
    <w:link w:val="Stopka"/>
    <w:uiPriority w:val="99"/>
    <w:rsid w:val="0032798B"/>
  </w:style>
  <w:style w:type="paragraph" w:styleId="Tekstdymka">
    <w:name w:val="Balloon Text"/>
    <w:basedOn w:val="Normalny"/>
    <w:link w:val="TekstdymkaZnak"/>
    <w:uiPriority w:val="99"/>
    <w:semiHidden/>
    <w:unhideWhenUsed/>
    <w:rsid w:val="00D526C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26C4"/>
    <w:rPr>
      <w:rFonts w:ascii="Tahoma" w:hAnsi="Tahoma" w:cs="Tahoma"/>
      <w:sz w:val="16"/>
      <w:szCs w:val="16"/>
    </w:rPr>
  </w:style>
  <w:style w:type="table" w:styleId="Tabela-Siatka">
    <w:name w:val="Table Grid"/>
    <w:basedOn w:val="Standardowy"/>
    <w:uiPriority w:val="59"/>
    <w:rsid w:val="007B66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6A16"/>
    <w:pPr>
      <w:ind w:left="720"/>
      <w:contextualSpacing/>
    </w:pPr>
  </w:style>
  <w:style w:type="paragraph" w:styleId="Nagwek">
    <w:name w:val="header"/>
    <w:basedOn w:val="Normalny"/>
    <w:link w:val="NagwekZnak"/>
    <w:uiPriority w:val="99"/>
    <w:unhideWhenUsed/>
    <w:rsid w:val="0032798B"/>
    <w:pPr>
      <w:tabs>
        <w:tab w:val="center" w:pos="4536"/>
        <w:tab w:val="right" w:pos="9072"/>
      </w:tabs>
      <w:spacing w:line="240" w:lineRule="auto"/>
    </w:pPr>
  </w:style>
  <w:style w:type="character" w:customStyle="1" w:styleId="NagwekZnak">
    <w:name w:val="Nagłówek Znak"/>
    <w:basedOn w:val="Domylnaczcionkaakapitu"/>
    <w:link w:val="Nagwek"/>
    <w:uiPriority w:val="99"/>
    <w:rsid w:val="0032798B"/>
  </w:style>
  <w:style w:type="paragraph" w:styleId="Stopka">
    <w:name w:val="footer"/>
    <w:basedOn w:val="Normalny"/>
    <w:link w:val="StopkaZnak"/>
    <w:uiPriority w:val="99"/>
    <w:unhideWhenUsed/>
    <w:rsid w:val="0032798B"/>
    <w:pPr>
      <w:tabs>
        <w:tab w:val="center" w:pos="4536"/>
        <w:tab w:val="right" w:pos="9072"/>
      </w:tabs>
      <w:spacing w:line="240" w:lineRule="auto"/>
    </w:pPr>
  </w:style>
  <w:style w:type="character" w:customStyle="1" w:styleId="StopkaZnak">
    <w:name w:val="Stopka Znak"/>
    <w:basedOn w:val="Domylnaczcionkaakapitu"/>
    <w:link w:val="Stopka"/>
    <w:uiPriority w:val="99"/>
    <w:rsid w:val="0032798B"/>
  </w:style>
  <w:style w:type="paragraph" w:styleId="Tekstdymka">
    <w:name w:val="Balloon Text"/>
    <w:basedOn w:val="Normalny"/>
    <w:link w:val="TekstdymkaZnak"/>
    <w:uiPriority w:val="99"/>
    <w:semiHidden/>
    <w:unhideWhenUsed/>
    <w:rsid w:val="00D526C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26C4"/>
    <w:rPr>
      <w:rFonts w:ascii="Tahoma" w:hAnsi="Tahoma" w:cs="Tahoma"/>
      <w:sz w:val="16"/>
      <w:szCs w:val="16"/>
    </w:rPr>
  </w:style>
  <w:style w:type="table" w:styleId="Tabela-Siatka">
    <w:name w:val="Table Grid"/>
    <w:basedOn w:val="Standardowy"/>
    <w:uiPriority w:val="59"/>
    <w:rsid w:val="007B66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1000-A551-4FFD-AE49-AC67B3F2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2851</Words>
  <Characters>17112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Uniwersytet Warmińsko-Mazurski w Olsztynie</Company>
  <LinksUpToDate>false</LinksUpToDate>
  <CharactersWithSpaces>19924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2017-04-18T15:38:00Z</dcterms:created>
  <dcterms:modified xsi:type="dcterms:W3CDTF">2017-04-18T15:38:00Z</dcterms:modified>
</cp:coreProperties>
</file>