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8BBA84" w14:textId="77777777" w:rsidR="00D83C78" w:rsidRPr="00AE0C27" w:rsidRDefault="00BF0827" w:rsidP="00D83C78">
      <w:pPr>
        <w:jc w:val="center"/>
        <w:rPr>
          <w:rFonts w:ascii="Times New Roman" w:hAnsi="Times New Roman" w:cs="Times New Roman"/>
          <w:b/>
          <w:sz w:val="28"/>
          <w:szCs w:val="28"/>
        </w:rPr>
      </w:pPr>
      <w:r>
        <w:rPr>
          <w:rFonts w:ascii="Times New Roman" w:hAnsi="Times New Roman" w:cs="Times New Roman"/>
          <w:b/>
          <w:sz w:val="28"/>
          <w:szCs w:val="28"/>
        </w:rPr>
        <w:t>S</w:t>
      </w:r>
      <w:r w:rsidR="00D83C78" w:rsidRPr="00AE0C27">
        <w:rPr>
          <w:rFonts w:ascii="Times New Roman" w:hAnsi="Times New Roman" w:cs="Times New Roman"/>
          <w:b/>
          <w:sz w:val="28"/>
          <w:szCs w:val="28"/>
        </w:rPr>
        <w:t>amodzielnoś</w:t>
      </w:r>
      <w:r>
        <w:rPr>
          <w:rFonts w:ascii="Times New Roman" w:hAnsi="Times New Roman" w:cs="Times New Roman"/>
          <w:b/>
          <w:sz w:val="28"/>
          <w:szCs w:val="28"/>
        </w:rPr>
        <w:t>ć dochodowa</w:t>
      </w:r>
      <w:r w:rsidR="00D83C78" w:rsidRPr="00AE0C27">
        <w:rPr>
          <w:rFonts w:ascii="Times New Roman" w:hAnsi="Times New Roman" w:cs="Times New Roman"/>
          <w:b/>
          <w:sz w:val="28"/>
          <w:szCs w:val="28"/>
        </w:rPr>
        <w:t xml:space="preserve"> </w:t>
      </w:r>
      <w:r w:rsidR="000311A2">
        <w:rPr>
          <w:rFonts w:ascii="Times New Roman" w:hAnsi="Times New Roman" w:cs="Times New Roman"/>
          <w:b/>
          <w:sz w:val="28"/>
          <w:szCs w:val="28"/>
        </w:rPr>
        <w:t xml:space="preserve">jednostek </w:t>
      </w:r>
      <w:r w:rsidR="00D83C78" w:rsidRPr="00AE0C27">
        <w:rPr>
          <w:rFonts w:ascii="Times New Roman" w:hAnsi="Times New Roman" w:cs="Times New Roman"/>
          <w:b/>
          <w:sz w:val="28"/>
          <w:szCs w:val="28"/>
        </w:rPr>
        <w:t xml:space="preserve">samorządu terytorialnego – </w:t>
      </w:r>
      <w:r w:rsidR="005C2C9A">
        <w:rPr>
          <w:rFonts w:ascii="Times New Roman" w:hAnsi="Times New Roman" w:cs="Times New Roman"/>
          <w:b/>
          <w:sz w:val="28"/>
          <w:szCs w:val="28"/>
        </w:rPr>
        <w:t>Polska na tle</w:t>
      </w:r>
      <w:r w:rsidR="00D83C78" w:rsidRPr="00AE0C27">
        <w:rPr>
          <w:rFonts w:ascii="Times New Roman" w:hAnsi="Times New Roman" w:cs="Times New Roman"/>
          <w:b/>
          <w:sz w:val="28"/>
          <w:szCs w:val="28"/>
        </w:rPr>
        <w:t xml:space="preserve"> </w:t>
      </w:r>
      <w:r w:rsidR="007808AF">
        <w:rPr>
          <w:rFonts w:ascii="Times New Roman" w:hAnsi="Times New Roman" w:cs="Times New Roman"/>
          <w:b/>
          <w:sz w:val="28"/>
          <w:szCs w:val="28"/>
        </w:rPr>
        <w:t xml:space="preserve">wybranych </w:t>
      </w:r>
      <w:r w:rsidR="00D83C78" w:rsidRPr="00AE0C27">
        <w:rPr>
          <w:rFonts w:ascii="Times New Roman" w:hAnsi="Times New Roman" w:cs="Times New Roman"/>
          <w:b/>
          <w:sz w:val="28"/>
          <w:szCs w:val="28"/>
        </w:rPr>
        <w:t>krajów Unii Europejskiej</w:t>
      </w:r>
    </w:p>
    <w:p w14:paraId="7A7F1F1C" w14:textId="77777777" w:rsidR="00D83C78" w:rsidRPr="00AE0C27" w:rsidRDefault="009F78BB" w:rsidP="00D83C78">
      <w:pPr>
        <w:jc w:val="center"/>
        <w:rPr>
          <w:rFonts w:ascii="Times New Roman" w:hAnsi="Times New Roman" w:cs="Times New Roman"/>
          <w:b/>
          <w:sz w:val="20"/>
          <w:szCs w:val="20"/>
          <w:lang w:val="en-US"/>
        </w:rPr>
      </w:pPr>
      <w:r w:rsidRPr="009F78BB">
        <w:rPr>
          <w:rFonts w:ascii="Times New Roman" w:hAnsi="Times New Roman" w:cs="Times New Roman"/>
          <w:b/>
          <w:sz w:val="20"/>
          <w:szCs w:val="20"/>
          <w:lang w:val="en-US"/>
        </w:rPr>
        <w:t>Revenue</w:t>
      </w:r>
      <w:r w:rsidR="00BF0827">
        <w:rPr>
          <w:rFonts w:ascii="Times New Roman" w:hAnsi="Times New Roman" w:cs="Times New Roman"/>
          <w:b/>
          <w:sz w:val="20"/>
          <w:szCs w:val="20"/>
          <w:lang w:val="en-US"/>
        </w:rPr>
        <w:t xml:space="preserve"> </w:t>
      </w:r>
      <w:r w:rsidR="00D83C78" w:rsidRPr="00AE0C27">
        <w:rPr>
          <w:rFonts w:ascii="Times New Roman" w:hAnsi="Times New Roman" w:cs="Times New Roman"/>
          <w:b/>
          <w:sz w:val="20"/>
          <w:szCs w:val="20"/>
          <w:lang w:val="en-US"/>
        </w:rPr>
        <w:t xml:space="preserve">autonomy of local self-government </w:t>
      </w:r>
      <w:r w:rsidR="005C2C9A">
        <w:rPr>
          <w:rFonts w:ascii="Times New Roman" w:hAnsi="Times New Roman" w:cs="Times New Roman"/>
          <w:b/>
          <w:sz w:val="20"/>
          <w:szCs w:val="20"/>
          <w:lang w:val="en-US"/>
        </w:rPr>
        <w:t>–</w:t>
      </w:r>
      <w:r w:rsidR="00D83C78" w:rsidRPr="00AE0C27">
        <w:rPr>
          <w:rFonts w:ascii="Times New Roman" w:hAnsi="Times New Roman" w:cs="Times New Roman"/>
          <w:b/>
          <w:sz w:val="20"/>
          <w:szCs w:val="20"/>
          <w:lang w:val="en-US"/>
        </w:rPr>
        <w:t xml:space="preserve"> </w:t>
      </w:r>
      <w:r w:rsidR="005C2C9A">
        <w:rPr>
          <w:rFonts w:ascii="Times New Roman" w:hAnsi="Times New Roman" w:cs="Times New Roman"/>
          <w:b/>
          <w:sz w:val="20"/>
          <w:szCs w:val="20"/>
          <w:lang w:val="en-US"/>
        </w:rPr>
        <w:t xml:space="preserve">Poland against the background </w:t>
      </w:r>
      <w:r w:rsidR="00D83C78" w:rsidRPr="00AE0C27">
        <w:rPr>
          <w:rFonts w:ascii="Times New Roman" w:hAnsi="Times New Roman" w:cs="Times New Roman"/>
          <w:b/>
          <w:sz w:val="20"/>
          <w:szCs w:val="20"/>
          <w:lang w:val="en-US"/>
        </w:rPr>
        <w:t xml:space="preserve">of </w:t>
      </w:r>
      <w:r w:rsidR="007808AF" w:rsidRPr="007808AF">
        <w:rPr>
          <w:rFonts w:ascii="Times New Roman" w:hAnsi="Times New Roman" w:cs="Times New Roman"/>
          <w:b/>
          <w:sz w:val="20"/>
          <w:szCs w:val="20"/>
          <w:lang w:val="en-US"/>
        </w:rPr>
        <w:t xml:space="preserve">selected </w:t>
      </w:r>
      <w:r w:rsidR="00D83C78" w:rsidRPr="00AE0C27">
        <w:rPr>
          <w:rFonts w:ascii="Times New Roman" w:hAnsi="Times New Roman" w:cs="Times New Roman"/>
          <w:b/>
          <w:sz w:val="20"/>
          <w:szCs w:val="20"/>
          <w:lang w:val="en-US"/>
        </w:rPr>
        <w:t>European Union countries</w:t>
      </w:r>
    </w:p>
    <w:p w14:paraId="79D9681C" w14:textId="77777777" w:rsidR="00D83C78" w:rsidRPr="00AE0C27" w:rsidRDefault="00D83C78">
      <w:pPr>
        <w:rPr>
          <w:rFonts w:ascii="Times New Roman" w:hAnsi="Times New Roman" w:cs="Times New Roman"/>
          <w:sz w:val="24"/>
          <w:szCs w:val="24"/>
          <w:lang w:val="en-US"/>
        </w:rPr>
      </w:pPr>
    </w:p>
    <w:p w14:paraId="247BEC97" w14:textId="77777777" w:rsidR="00D83C78" w:rsidRPr="00AE0C27" w:rsidRDefault="00D83C78">
      <w:pPr>
        <w:rPr>
          <w:rFonts w:ascii="Times New Roman" w:hAnsi="Times New Roman" w:cs="Times New Roman"/>
          <w:sz w:val="20"/>
          <w:szCs w:val="20"/>
        </w:rPr>
      </w:pPr>
      <w:r w:rsidRPr="00AE0C27">
        <w:rPr>
          <w:rFonts w:ascii="Times New Roman" w:hAnsi="Times New Roman" w:cs="Times New Roman"/>
          <w:sz w:val="20"/>
          <w:szCs w:val="20"/>
        </w:rPr>
        <w:t>słowa kluczowe:</w:t>
      </w:r>
      <w:r w:rsidR="00AE0C27" w:rsidRPr="00AE0C27">
        <w:rPr>
          <w:rFonts w:ascii="Times New Roman" w:hAnsi="Times New Roman" w:cs="Times New Roman"/>
          <w:sz w:val="20"/>
          <w:szCs w:val="20"/>
        </w:rPr>
        <w:t xml:space="preserve"> dochody własne, samodzielność dochodowa, władztwo podatkowe</w:t>
      </w:r>
    </w:p>
    <w:p w14:paraId="41301E6B" w14:textId="77777777" w:rsidR="00D83C78" w:rsidRPr="00AE0C27" w:rsidRDefault="00D83C78">
      <w:pPr>
        <w:rPr>
          <w:rFonts w:ascii="Times New Roman" w:hAnsi="Times New Roman" w:cs="Times New Roman"/>
          <w:sz w:val="20"/>
          <w:szCs w:val="20"/>
          <w:lang w:val="en-US"/>
        </w:rPr>
      </w:pPr>
      <w:r w:rsidRPr="00AE0C27">
        <w:rPr>
          <w:rFonts w:ascii="Times New Roman" w:hAnsi="Times New Roman" w:cs="Times New Roman"/>
          <w:sz w:val="20"/>
          <w:szCs w:val="20"/>
          <w:lang w:val="en-US"/>
        </w:rPr>
        <w:t>key words:</w:t>
      </w:r>
      <w:r w:rsidR="00AE0C27" w:rsidRPr="00AE0C27">
        <w:rPr>
          <w:sz w:val="20"/>
          <w:szCs w:val="20"/>
          <w:lang w:val="en-US"/>
        </w:rPr>
        <w:t xml:space="preserve"> </w:t>
      </w:r>
      <w:r w:rsidR="00AE0C27" w:rsidRPr="00AE0C27">
        <w:rPr>
          <w:rFonts w:ascii="Times New Roman" w:hAnsi="Times New Roman" w:cs="Times New Roman"/>
          <w:sz w:val="20"/>
          <w:szCs w:val="20"/>
          <w:lang w:val="en-US"/>
        </w:rPr>
        <w:t xml:space="preserve">own revenue, </w:t>
      </w:r>
      <w:r w:rsidR="009F78BB">
        <w:rPr>
          <w:rFonts w:ascii="Times New Roman" w:hAnsi="Times New Roman" w:cs="Times New Roman"/>
          <w:sz w:val="20"/>
          <w:szCs w:val="20"/>
          <w:lang w:val="en-US"/>
        </w:rPr>
        <w:t>revenue</w:t>
      </w:r>
      <w:r w:rsidR="007B55C0">
        <w:rPr>
          <w:rFonts w:ascii="Times New Roman" w:hAnsi="Times New Roman" w:cs="Times New Roman"/>
          <w:sz w:val="20"/>
          <w:szCs w:val="20"/>
          <w:lang w:val="en-US"/>
        </w:rPr>
        <w:t xml:space="preserve"> autonomy</w:t>
      </w:r>
      <w:r w:rsidR="00AE0C27" w:rsidRPr="00AE0C27">
        <w:rPr>
          <w:rFonts w:ascii="Times New Roman" w:hAnsi="Times New Roman" w:cs="Times New Roman"/>
          <w:sz w:val="20"/>
          <w:szCs w:val="20"/>
          <w:lang w:val="en-US"/>
        </w:rPr>
        <w:t xml:space="preserve">, </w:t>
      </w:r>
      <w:r w:rsidR="009F78BB" w:rsidRPr="009F78BB">
        <w:rPr>
          <w:rFonts w:ascii="Times New Roman" w:hAnsi="Times New Roman" w:cs="Times New Roman"/>
          <w:sz w:val="20"/>
          <w:szCs w:val="20"/>
          <w:lang w:val="en-US"/>
        </w:rPr>
        <w:t>taxation power</w:t>
      </w:r>
      <w:r w:rsidR="009F78BB">
        <w:rPr>
          <w:rFonts w:ascii="Times New Roman" w:hAnsi="Times New Roman" w:cs="Times New Roman"/>
          <w:sz w:val="20"/>
          <w:szCs w:val="20"/>
          <w:lang w:val="en-US"/>
        </w:rPr>
        <w:t>s</w:t>
      </w:r>
    </w:p>
    <w:p w14:paraId="6E0BC63C" w14:textId="77777777" w:rsidR="00D83C78" w:rsidRPr="00605589" w:rsidRDefault="00D83C78">
      <w:pPr>
        <w:rPr>
          <w:rFonts w:ascii="Times New Roman" w:hAnsi="Times New Roman" w:cs="Times New Roman"/>
          <w:sz w:val="20"/>
          <w:szCs w:val="20"/>
        </w:rPr>
      </w:pPr>
      <w:r w:rsidRPr="00605589">
        <w:rPr>
          <w:rFonts w:ascii="Times New Roman" w:hAnsi="Times New Roman" w:cs="Times New Roman"/>
          <w:sz w:val="20"/>
          <w:szCs w:val="20"/>
        </w:rPr>
        <w:t>JEL:</w:t>
      </w:r>
      <w:r w:rsidR="00B9414C" w:rsidRPr="009B29D5">
        <w:rPr>
          <w:rFonts w:ascii="Times New Roman" w:hAnsi="Times New Roman" w:cs="Times New Roman"/>
          <w:sz w:val="20"/>
          <w:szCs w:val="20"/>
        </w:rPr>
        <w:t xml:space="preserve"> H21, </w:t>
      </w:r>
      <w:r w:rsidR="009B29D5" w:rsidRPr="009B29D5">
        <w:rPr>
          <w:rFonts w:ascii="Times New Roman" w:hAnsi="Times New Roman" w:cs="Times New Roman"/>
          <w:sz w:val="20"/>
          <w:szCs w:val="20"/>
        </w:rPr>
        <w:t xml:space="preserve">H27, </w:t>
      </w:r>
      <w:r w:rsidR="00303537">
        <w:rPr>
          <w:rFonts w:ascii="Times New Roman" w:hAnsi="Times New Roman" w:cs="Times New Roman"/>
          <w:sz w:val="20"/>
          <w:szCs w:val="20"/>
        </w:rPr>
        <w:t>H71</w:t>
      </w:r>
    </w:p>
    <w:p w14:paraId="54C0E40E" w14:textId="77777777" w:rsidR="00AE0C27" w:rsidRPr="00605589" w:rsidRDefault="00AE0C27">
      <w:pPr>
        <w:rPr>
          <w:rFonts w:ascii="Times New Roman" w:hAnsi="Times New Roman" w:cs="Times New Roman"/>
          <w:sz w:val="24"/>
          <w:szCs w:val="24"/>
        </w:rPr>
      </w:pPr>
    </w:p>
    <w:p w14:paraId="06F9DB76" w14:textId="77777777" w:rsidR="00AE0C27" w:rsidRPr="00605589" w:rsidRDefault="00AE0C27">
      <w:pPr>
        <w:rPr>
          <w:rFonts w:ascii="Times New Roman" w:hAnsi="Times New Roman" w:cs="Times New Roman"/>
          <w:b/>
          <w:sz w:val="24"/>
          <w:szCs w:val="24"/>
        </w:rPr>
      </w:pPr>
      <w:r w:rsidRPr="00605589">
        <w:rPr>
          <w:rFonts w:ascii="Times New Roman" w:hAnsi="Times New Roman" w:cs="Times New Roman"/>
          <w:b/>
          <w:sz w:val="24"/>
          <w:szCs w:val="24"/>
        </w:rPr>
        <w:t>Wstęp</w:t>
      </w:r>
    </w:p>
    <w:p w14:paraId="3A64E056" w14:textId="77777777" w:rsidR="008B4D07" w:rsidRPr="008B4D07" w:rsidRDefault="008B4D07" w:rsidP="00DE5CDA">
      <w:pPr>
        <w:spacing w:after="0" w:line="360" w:lineRule="auto"/>
        <w:ind w:firstLine="284"/>
        <w:jc w:val="both"/>
        <w:rPr>
          <w:rFonts w:ascii="Times New Roman" w:hAnsi="Times New Roman" w:cs="Times New Roman"/>
          <w:sz w:val="24"/>
          <w:szCs w:val="24"/>
        </w:rPr>
      </w:pPr>
      <w:r w:rsidRPr="008B4D07">
        <w:rPr>
          <w:rFonts w:ascii="Times New Roman" w:hAnsi="Times New Roman" w:cs="Times New Roman"/>
          <w:sz w:val="24"/>
          <w:szCs w:val="24"/>
        </w:rPr>
        <w:t>Samorząd terytorialny</w:t>
      </w:r>
      <w:r w:rsidR="00981C17">
        <w:rPr>
          <w:rFonts w:ascii="Times New Roman" w:hAnsi="Times New Roman" w:cs="Times New Roman"/>
          <w:sz w:val="24"/>
          <w:szCs w:val="24"/>
        </w:rPr>
        <w:t xml:space="preserve"> z</w:t>
      </w:r>
      <w:r w:rsidRPr="008B4D07">
        <w:rPr>
          <w:rFonts w:ascii="Times New Roman" w:hAnsi="Times New Roman" w:cs="Times New Roman"/>
          <w:sz w:val="24"/>
          <w:szCs w:val="24"/>
        </w:rPr>
        <w:t>ostał powołany, aby bliżej obywateli realizować zadania publiczne w sposób bardziej efektywny. System</w:t>
      </w:r>
      <w:r w:rsidR="004C4EC2">
        <w:rPr>
          <w:rFonts w:ascii="Times New Roman" w:hAnsi="Times New Roman" w:cs="Times New Roman"/>
          <w:sz w:val="24"/>
          <w:szCs w:val="24"/>
        </w:rPr>
        <w:t xml:space="preserve"> jego f</w:t>
      </w:r>
      <w:r w:rsidRPr="008B4D07">
        <w:rPr>
          <w:rFonts w:ascii="Times New Roman" w:hAnsi="Times New Roman" w:cs="Times New Roman"/>
          <w:sz w:val="24"/>
          <w:szCs w:val="24"/>
        </w:rPr>
        <w:t xml:space="preserve">inansowania </w:t>
      </w:r>
      <w:r w:rsidR="009F78BB">
        <w:rPr>
          <w:rFonts w:ascii="Times New Roman" w:hAnsi="Times New Roman" w:cs="Times New Roman"/>
          <w:sz w:val="24"/>
          <w:szCs w:val="24"/>
        </w:rPr>
        <w:t xml:space="preserve">różni się </w:t>
      </w:r>
      <w:r w:rsidR="004C4EC2">
        <w:rPr>
          <w:rFonts w:ascii="Times New Roman" w:hAnsi="Times New Roman" w:cs="Times New Roman"/>
          <w:sz w:val="24"/>
          <w:szCs w:val="24"/>
        </w:rPr>
        <w:t xml:space="preserve">istotnie </w:t>
      </w:r>
      <w:r w:rsidR="009F78BB">
        <w:rPr>
          <w:rFonts w:ascii="Times New Roman" w:hAnsi="Times New Roman" w:cs="Times New Roman"/>
          <w:sz w:val="24"/>
          <w:szCs w:val="24"/>
        </w:rPr>
        <w:t>w poszczególnych krajach</w:t>
      </w:r>
      <w:r w:rsidRPr="008B4D07">
        <w:rPr>
          <w:rFonts w:ascii="Times New Roman" w:hAnsi="Times New Roman" w:cs="Times New Roman"/>
          <w:sz w:val="24"/>
          <w:szCs w:val="24"/>
        </w:rPr>
        <w:t>. Przy</w:t>
      </w:r>
      <w:r>
        <w:rPr>
          <w:rFonts w:ascii="Times New Roman" w:hAnsi="Times New Roman" w:cs="Times New Roman"/>
          <w:sz w:val="24"/>
          <w:szCs w:val="24"/>
        </w:rPr>
        <w:t>pisanie określonych źródeł</w:t>
      </w:r>
      <w:r w:rsidRPr="008B4D07">
        <w:rPr>
          <w:rFonts w:ascii="Times New Roman" w:hAnsi="Times New Roman" w:cs="Times New Roman"/>
          <w:sz w:val="24"/>
          <w:szCs w:val="24"/>
        </w:rPr>
        <w:t xml:space="preserve"> dochodów, przynajmniej w założeniu, powin</w:t>
      </w:r>
      <w:r>
        <w:rPr>
          <w:rFonts w:ascii="Times New Roman" w:hAnsi="Times New Roman" w:cs="Times New Roman"/>
          <w:sz w:val="24"/>
          <w:szCs w:val="24"/>
        </w:rPr>
        <w:t>no</w:t>
      </w:r>
      <w:r w:rsidRPr="008B4D07">
        <w:rPr>
          <w:rFonts w:ascii="Times New Roman" w:hAnsi="Times New Roman" w:cs="Times New Roman"/>
          <w:sz w:val="24"/>
          <w:szCs w:val="24"/>
        </w:rPr>
        <w:t xml:space="preserve"> pozwalać na wykonywanie </w:t>
      </w:r>
      <w:r w:rsidR="009F78BB">
        <w:rPr>
          <w:rFonts w:ascii="Times New Roman" w:hAnsi="Times New Roman" w:cs="Times New Roman"/>
          <w:sz w:val="24"/>
          <w:szCs w:val="24"/>
        </w:rPr>
        <w:t xml:space="preserve">przez </w:t>
      </w:r>
      <w:r w:rsidR="004C4EC2">
        <w:rPr>
          <w:rFonts w:ascii="Times New Roman" w:hAnsi="Times New Roman" w:cs="Times New Roman"/>
          <w:sz w:val="24"/>
          <w:szCs w:val="24"/>
        </w:rPr>
        <w:t>jednostki samorządu terytorialnego (</w:t>
      </w:r>
      <w:r>
        <w:rPr>
          <w:rFonts w:ascii="Times New Roman" w:hAnsi="Times New Roman" w:cs="Times New Roman"/>
          <w:sz w:val="24"/>
          <w:szCs w:val="24"/>
        </w:rPr>
        <w:t>J</w:t>
      </w:r>
      <w:r w:rsidRPr="008B4D07">
        <w:rPr>
          <w:rFonts w:ascii="Times New Roman" w:hAnsi="Times New Roman" w:cs="Times New Roman"/>
          <w:sz w:val="24"/>
          <w:szCs w:val="24"/>
        </w:rPr>
        <w:t>ST</w:t>
      </w:r>
      <w:r w:rsidR="004C4EC2">
        <w:rPr>
          <w:rFonts w:ascii="Times New Roman" w:hAnsi="Times New Roman" w:cs="Times New Roman"/>
          <w:sz w:val="24"/>
          <w:szCs w:val="24"/>
        </w:rPr>
        <w:t>)</w:t>
      </w:r>
      <w:r w:rsidRPr="008B4D07">
        <w:rPr>
          <w:rFonts w:ascii="Times New Roman" w:hAnsi="Times New Roman" w:cs="Times New Roman"/>
          <w:sz w:val="24"/>
          <w:szCs w:val="24"/>
        </w:rPr>
        <w:t xml:space="preserve"> </w:t>
      </w:r>
      <w:r>
        <w:rPr>
          <w:rFonts w:ascii="Times New Roman" w:hAnsi="Times New Roman" w:cs="Times New Roman"/>
          <w:sz w:val="24"/>
          <w:szCs w:val="24"/>
        </w:rPr>
        <w:t>przydzielonych im</w:t>
      </w:r>
      <w:r w:rsidRPr="008B4D07">
        <w:rPr>
          <w:rFonts w:ascii="Times New Roman" w:hAnsi="Times New Roman" w:cs="Times New Roman"/>
          <w:sz w:val="24"/>
          <w:szCs w:val="24"/>
        </w:rPr>
        <w:t xml:space="preserve"> zadań</w:t>
      </w:r>
      <w:r w:rsidR="009F17BB">
        <w:rPr>
          <w:rFonts w:ascii="Times New Roman" w:hAnsi="Times New Roman" w:cs="Times New Roman"/>
          <w:sz w:val="24"/>
          <w:szCs w:val="24"/>
        </w:rPr>
        <w:t xml:space="preserve"> (zasada adekwatności)</w:t>
      </w:r>
      <w:r w:rsidRPr="008B4D07">
        <w:rPr>
          <w:rFonts w:ascii="Times New Roman" w:hAnsi="Times New Roman" w:cs="Times New Roman"/>
          <w:sz w:val="24"/>
          <w:szCs w:val="24"/>
        </w:rPr>
        <w:t>.</w:t>
      </w:r>
      <w:r w:rsidR="00981C17">
        <w:rPr>
          <w:rFonts w:ascii="Times New Roman" w:hAnsi="Times New Roman" w:cs="Times New Roman"/>
          <w:sz w:val="24"/>
          <w:szCs w:val="24"/>
        </w:rPr>
        <w:t xml:space="preserve"> </w:t>
      </w:r>
      <w:r w:rsidRPr="008B4D07">
        <w:rPr>
          <w:rFonts w:ascii="Times New Roman" w:hAnsi="Times New Roman" w:cs="Times New Roman"/>
          <w:sz w:val="24"/>
          <w:szCs w:val="24"/>
        </w:rPr>
        <w:t xml:space="preserve">W teorii finansów publicznych </w:t>
      </w:r>
      <w:r w:rsidR="002C75B1">
        <w:rPr>
          <w:rFonts w:ascii="Times New Roman" w:hAnsi="Times New Roman" w:cs="Times New Roman"/>
          <w:sz w:val="24"/>
          <w:szCs w:val="24"/>
        </w:rPr>
        <w:t>podkreśla się</w:t>
      </w:r>
      <w:r w:rsidRPr="008B4D07">
        <w:rPr>
          <w:rFonts w:ascii="Times New Roman" w:hAnsi="Times New Roman" w:cs="Times New Roman"/>
          <w:sz w:val="24"/>
          <w:szCs w:val="24"/>
        </w:rPr>
        <w:t xml:space="preserve">, aby </w:t>
      </w:r>
      <w:r w:rsidR="009F78BB">
        <w:rPr>
          <w:rFonts w:ascii="Times New Roman" w:hAnsi="Times New Roman" w:cs="Times New Roman"/>
          <w:sz w:val="24"/>
          <w:szCs w:val="24"/>
        </w:rPr>
        <w:t xml:space="preserve">wśród </w:t>
      </w:r>
      <w:r w:rsidRPr="008B4D07">
        <w:rPr>
          <w:rFonts w:ascii="Times New Roman" w:hAnsi="Times New Roman" w:cs="Times New Roman"/>
          <w:sz w:val="24"/>
          <w:szCs w:val="24"/>
        </w:rPr>
        <w:t>dochod</w:t>
      </w:r>
      <w:r w:rsidR="009F78BB">
        <w:rPr>
          <w:rFonts w:ascii="Times New Roman" w:hAnsi="Times New Roman" w:cs="Times New Roman"/>
          <w:sz w:val="24"/>
          <w:szCs w:val="24"/>
        </w:rPr>
        <w:t xml:space="preserve">ów </w:t>
      </w:r>
      <w:r w:rsidRPr="008B4D07">
        <w:rPr>
          <w:rFonts w:ascii="Times New Roman" w:hAnsi="Times New Roman" w:cs="Times New Roman"/>
          <w:sz w:val="24"/>
          <w:szCs w:val="24"/>
        </w:rPr>
        <w:t xml:space="preserve">JST </w:t>
      </w:r>
      <w:r w:rsidR="009F78BB">
        <w:rPr>
          <w:rFonts w:ascii="Times New Roman" w:hAnsi="Times New Roman" w:cs="Times New Roman"/>
          <w:sz w:val="24"/>
          <w:szCs w:val="24"/>
        </w:rPr>
        <w:t>dominowały</w:t>
      </w:r>
      <w:r w:rsidRPr="008B4D07">
        <w:rPr>
          <w:rFonts w:ascii="Times New Roman" w:hAnsi="Times New Roman" w:cs="Times New Roman"/>
          <w:sz w:val="24"/>
          <w:szCs w:val="24"/>
        </w:rPr>
        <w:t xml:space="preserve"> dochod</w:t>
      </w:r>
      <w:r w:rsidR="009F78BB">
        <w:rPr>
          <w:rFonts w:ascii="Times New Roman" w:hAnsi="Times New Roman" w:cs="Times New Roman"/>
          <w:sz w:val="24"/>
          <w:szCs w:val="24"/>
        </w:rPr>
        <w:t>y</w:t>
      </w:r>
      <w:r w:rsidRPr="008B4D07">
        <w:rPr>
          <w:rFonts w:ascii="Times New Roman" w:hAnsi="Times New Roman" w:cs="Times New Roman"/>
          <w:sz w:val="24"/>
          <w:szCs w:val="24"/>
        </w:rPr>
        <w:t xml:space="preserve"> własn</w:t>
      </w:r>
      <w:r w:rsidR="009F78BB">
        <w:rPr>
          <w:rFonts w:ascii="Times New Roman" w:hAnsi="Times New Roman" w:cs="Times New Roman"/>
          <w:sz w:val="24"/>
          <w:szCs w:val="24"/>
        </w:rPr>
        <w:t>e</w:t>
      </w:r>
      <w:r w:rsidRPr="008B4D07">
        <w:rPr>
          <w:rFonts w:ascii="Times New Roman" w:hAnsi="Times New Roman" w:cs="Times New Roman"/>
          <w:sz w:val="24"/>
          <w:szCs w:val="24"/>
        </w:rPr>
        <w:t xml:space="preserve"> w postaci podatków </w:t>
      </w:r>
      <w:r w:rsidR="00981C17">
        <w:rPr>
          <w:rFonts w:ascii="Times New Roman" w:hAnsi="Times New Roman" w:cs="Times New Roman"/>
          <w:sz w:val="24"/>
          <w:szCs w:val="24"/>
        </w:rPr>
        <w:t xml:space="preserve">i opłat </w:t>
      </w:r>
      <w:r w:rsidRPr="008B4D07">
        <w:rPr>
          <w:rFonts w:ascii="Times New Roman" w:hAnsi="Times New Roman" w:cs="Times New Roman"/>
          <w:sz w:val="24"/>
          <w:szCs w:val="24"/>
        </w:rPr>
        <w:t xml:space="preserve">lokalnych. </w:t>
      </w:r>
      <w:r w:rsidR="004A435B">
        <w:rPr>
          <w:rFonts w:ascii="Times New Roman" w:hAnsi="Times New Roman" w:cs="Times New Roman"/>
          <w:sz w:val="24"/>
          <w:szCs w:val="24"/>
        </w:rPr>
        <w:t xml:space="preserve">Zapewnienie </w:t>
      </w:r>
      <w:r w:rsidR="009F78BB">
        <w:rPr>
          <w:rFonts w:ascii="Times New Roman" w:hAnsi="Times New Roman" w:cs="Times New Roman"/>
          <w:sz w:val="24"/>
          <w:szCs w:val="24"/>
        </w:rPr>
        <w:t>wysokiego</w:t>
      </w:r>
      <w:r w:rsidRPr="008B4D07">
        <w:rPr>
          <w:rFonts w:ascii="Times New Roman" w:hAnsi="Times New Roman" w:cs="Times New Roman"/>
          <w:sz w:val="24"/>
          <w:szCs w:val="24"/>
        </w:rPr>
        <w:t xml:space="preserve"> udział</w:t>
      </w:r>
      <w:r w:rsidR="004A435B">
        <w:rPr>
          <w:rFonts w:ascii="Times New Roman" w:hAnsi="Times New Roman" w:cs="Times New Roman"/>
          <w:sz w:val="24"/>
          <w:szCs w:val="24"/>
        </w:rPr>
        <w:t>u</w:t>
      </w:r>
      <w:r w:rsidRPr="008B4D07">
        <w:rPr>
          <w:rFonts w:ascii="Times New Roman" w:hAnsi="Times New Roman" w:cs="Times New Roman"/>
          <w:sz w:val="24"/>
          <w:szCs w:val="24"/>
        </w:rPr>
        <w:t xml:space="preserve"> </w:t>
      </w:r>
      <w:r w:rsidR="009F78BB">
        <w:rPr>
          <w:rFonts w:ascii="Times New Roman" w:hAnsi="Times New Roman" w:cs="Times New Roman"/>
          <w:sz w:val="24"/>
          <w:szCs w:val="24"/>
        </w:rPr>
        <w:t xml:space="preserve">tego rodzaju </w:t>
      </w:r>
      <w:r w:rsidRPr="008B4D07">
        <w:rPr>
          <w:rFonts w:ascii="Times New Roman" w:hAnsi="Times New Roman" w:cs="Times New Roman"/>
          <w:sz w:val="24"/>
          <w:szCs w:val="24"/>
        </w:rPr>
        <w:t>dochod</w:t>
      </w:r>
      <w:r w:rsidR="004A435B">
        <w:rPr>
          <w:rFonts w:ascii="Times New Roman" w:hAnsi="Times New Roman" w:cs="Times New Roman"/>
          <w:sz w:val="24"/>
          <w:szCs w:val="24"/>
        </w:rPr>
        <w:t>ów</w:t>
      </w:r>
      <w:r w:rsidRPr="008B4D07">
        <w:rPr>
          <w:rFonts w:ascii="Times New Roman" w:hAnsi="Times New Roman" w:cs="Times New Roman"/>
          <w:sz w:val="24"/>
          <w:szCs w:val="24"/>
        </w:rPr>
        <w:t xml:space="preserve"> </w:t>
      </w:r>
      <w:r w:rsidR="009F78BB">
        <w:rPr>
          <w:rFonts w:ascii="Times New Roman" w:hAnsi="Times New Roman" w:cs="Times New Roman"/>
          <w:sz w:val="24"/>
          <w:szCs w:val="24"/>
        </w:rPr>
        <w:t>powinno</w:t>
      </w:r>
      <w:r w:rsidR="009F78BB" w:rsidRPr="008B4D07">
        <w:rPr>
          <w:rFonts w:ascii="Times New Roman" w:hAnsi="Times New Roman" w:cs="Times New Roman"/>
          <w:sz w:val="24"/>
          <w:szCs w:val="24"/>
        </w:rPr>
        <w:t xml:space="preserve"> </w:t>
      </w:r>
      <w:r w:rsidR="004A435B">
        <w:rPr>
          <w:rFonts w:ascii="Times New Roman" w:hAnsi="Times New Roman" w:cs="Times New Roman"/>
          <w:sz w:val="24"/>
          <w:szCs w:val="24"/>
        </w:rPr>
        <w:t xml:space="preserve">wynikać </w:t>
      </w:r>
      <w:r w:rsidRPr="008B4D07">
        <w:rPr>
          <w:rFonts w:ascii="Times New Roman" w:hAnsi="Times New Roman" w:cs="Times New Roman"/>
          <w:sz w:val="24"/>
          <w:szCs w:val="24"/>
        </w:rPr>
        <w:t>z ich charakter</w:t>
      </w:r>
      <w:r w:rsidR="004A435B">
        <w:rPr>
          <w:rFonts w:ascii="Times New Roman" w:hAnsi="Times New Roman" w:cs="Times New Roman"/>
          <w:sz w:val="24"/>
          <w:szCs w:val="24"/>
        </w:rPr>
        <w:t>u</w:t>
      </w:r>
      <w:r w:rsidRPr="008B4D07">
        <w:rPr>
          <w:rFonts w:ascii="Times New Roman" w:hAnsi="Times New Roman" w:cs="Times New Roman"/>
          <w:sz w:val="24"/>
          <w:szCs w:val="24"/>
        </w:rPr>
        <w:t>.</w:t>
      </w:r>
      <w:r w:rsidR="009F17BB">
        <w:rPr>
          <w:rFonts w:ascii="Times New Roman" w:hAnsi="Times New Roman" w:cs="Times New Roman"/>
          <w:sz w:val="24"/>
          <w:szCs w:val="24"/>
        </w:rPr>
        <w:t xml:space="preserve"> M</w:t>
      </w:r>
      <w:r w:rsidRPr="008B4D07">
        <w:rPr>
          <w:rFonts w:ascii="Times New Roman" w:hAnsi="Times New Roman" w:cs="Times New Roman"/>
          <w:sz w:val="24"/>
          <w:szCs w:val="24"/>
        </w:rPr>
        <w:t>imo</w:t>
      </w:r>
      <w:r w:rsidR="009F17BB">
        <w:rPr>
          <w:rFonts w:ascii="Times New Roman" w:hAnsi="Times New Roman" w:cs="Times New Roman"/>
          <w:sz w:val="24"/>
          <w:szCs w:val="24"/>
        </w:rPr>
        <w:t>,</w:t>
      </w:r>
      <w:r w:rsidRPr="008B4D07">
        <w:rPr>
          <w:rFonts w:ascii="Times New Roman" w:hAnsi="Times New Roman" w:cs="Times New Roman"/>
          <w:sz w:val="24"/>
          <w:szCs w:val="24"/>
        </w:rPr>
        <w:t xml:space="preserve"> ż</w:t>
      </w:r>
      <w:r w:rsidR="009F17BB">
        <w:rPr>
          <w:rFonts w:ascii="Times New Roman" w:hAnsi="Times New Roman" w:cs="Times New Roman"/>
          <w:sz w:val="24"/>
          <w:szCs w:val="24"/>
        </w:rPr>
        <w:t>e</w:t>
      </w:r>
      <w:r w:rsidRPr="008B4D07">
        <w:rPr>
          <w:rFonts w:ascii="Times New Roman" w:hAnsi="Times New Roman" w:cs="Times New Roman"/>
          <w:sz w:val="24"/>
          <w:szCs w:val="24"/>
        </w:rPr>
        <w:t xml:space="preserve"> w wielu europejskich systemach zasilania finansowego </w:t>
      </w:r>
      <w:r w:rsidR="004C4EC2">
        <w:rPr>
          <w:rFonts w:ascii="Times New Roman" w:hAnsi="Times New Roman" w:cs="Times New Roman"/>
          <w:sz w:val="24"/>
          <w:szCs w:val="24"/>
        </w:rPr>
        <w:t>JST</w:t>
      </w:r>
      <w:r w:rsidRPr="008B4D07">
        <w:rPr>
          <w:rFonts w:ascii="Times New Roman" w:hAnsi="Times New Roman" w:cs="Times New Roman"/>
          <w:sz w:val="24"/>
          <w:szCs w:val="24"/>
        </w:rPr>
        <w:t xml:space="preserve"> dochody własne stanowią istotną część dochodów ogółem, to znaczny ich </w:t>
      </w:r>
      <w:r w:rsidR="004C4EC2">
        <w:rPr>
          <w:rFonts w:ascii="Times New Roman" w:hAnsi="Times New Roman" w:cs="Times New Roman"/>
          <w:sz w:val="24"/>
          <w:szCs w:val="24"/>
        </w:rPr>
        <w:t>odsetek</w:t>
      </w:r>
      <w:r w:rsidRPr="008B4D07">
        <w:rPr>
          <w:rFonts w:ascii="Times New Roman" w:hAnsi="Times New Roman" w:cs="Times New Roman"/>
          <w:sz w:val="24"/>
          <w:szCs w:val="24"/>
        </w:rPr>
        <w:t xml:space="preserve"> nie powinien być zaliczany do tej kategorii</w:t>
      </w:r>
      <w:r w:rsidR="00981C17">
        <w:rPr>
          <w:rFonts w:ascii="Times New Roman" w:hAnsi="Times New Roman" w:cs="Times New Roman"/>
          <w:sz w:val="24"/>
          <w:szCs w:val="24"/>
        </w:rPr>
        <w:t xml:space="preserve"> dochodów</w:t>
      </w:r>
      <w:r w:rsidRPr="008B4D07">
        <w:rPr>
          <w:rFonts w:ascii="Times New Roman" w:hAnsi="Times New Roman" w:cs="Times New Roman"/>
          <w:sz w:val="24"/>
          <w:szCs w:val="24"/>
        </w:rPr>
        <w:t>. J</w:t>
      </w:r>
      <w:r w:rsidR="000311A2">
        <w:rPr>
          <w:rFonts w:ascii="Times New Roman" w:hAnsi="Times New Roman" w:cs="Times New Roman"/>
          <w:sz w:val="24"/>
          <w:szCs w:val="24"/>
        </w:rPr>
        <w:t>ednostki samorządu</w:t>
      </w:r>
      <w:r w:rsidR="005C2C9A">
        <w:rPr>
          <w:rFonts w:ascii="Times New Roman" w:hAnsi="Times New Roman" w:cs="Times New Roman"/>
          <w:sz w:val="24"/>
          <w:szCs w:val="24"/>
        </w:rPr>
        <w:t xml:space="preserve"> nie wykazują</w:t>
      </w:r>
      <w:r w:rsidRPr="008B4D07">
        <w:rPr>
          <w:rFonts w:ascii="Times New Roman" w:hAnsi="Times New Roman" w:cs="Times New Roman"/>
          <w:sz w:val="24"/>
          <w:szCs w:val="24"/>
        </w:rPr>
        <w:t xml:space="preserve"> bowiem wobec tych źródeł żadnego władztwa podatkowego, a są jedynie odbiorcami środków przypisanych im ustawowo. Dzieje się tak choćby w przypadku udział</w:t>
      </w:r>
      <w:r w:rsidR="000311A2">
        <w:rPr>
          <w:rFonts w:ascii="Times New Roman" w:hAnsi="Times New Roman" w:cs="Times New Roman"/>
          <w:sz w:val="24"/>
          <w:szCs w:val="24"/>
        </w:rPr>
        <w:t>u</w:t>
      </w:r>
      <w:r w:rsidRPr="008B4D07">
        <w:rPr>
          <w:rFonts w:ascii="Times New Roman" w:hAnsi="Times New Roman" w:cs="Times New Roman"/>
          <w:sz w:val="24"/>
          <w:szCs w:val="24"/>
        </w:rPr>
        <w:t xml:space="preserve"> JST w</w:t>
      </w:r>
      <w:r w:rsidR="000311A2">
        <w:rPr>
          <w:rFonts w:ascii="Times New Roman" w:hAnsi="Times New Roman" w:cs="Times New Roman"/>
          <w:sz w:val="24"/>
          <w:szCs w:val="24"/>
        </w:rPr>
        <w:t>e wpływach</w:t>
      </w:r>
      <w:r w:rsidRPr="008B4D07">
        <w:rPr>
          <w:rFonts w:ascii="Times New Roman" w:hAnsi="Times New Roman" w:cs="Times New Roman"/>
          <w:sz w:val="24"/>
          <w:szCs w:val="24"/>
        </w:rPr>
        <w:t xml:space="preserve"> </w:t>
      </w:r>
      <w:r w:rsidR="000311A2">
        <w:rPr>
          <w:rFonts w:ascii="Times New Roman" w:hAnsi="Times New Roman" w:cs="Times New Roman"/>
          <w:sz w:val="24"/>
          <w:szCs w:val="24"/>
        </w:rPr>
        <w:t xml:space="preserve">z podatków dochodowych </w:t>
      </w:r>
      <w:r w:rsidRPr="008B4D07">
        <w:rPr>
          <w:rFonts w:ascii="Times New Roman" w:hAnsi="Times New Roman" w:cs="Times New Roman"/>
          <w:sz w:val="24"/>
          <w:szCs w:val="24"/>
        </w:rPr>
        <w:t>stanowiących dochody budżetu państwa</w:t>
      </w:r>
      <w:r>
        <w:rPr>
          <w:rFonts w:ascii="Times New Roman" w:hAnsi="Times New Roman" w:cs="Times New Roman"/>
          <w:sz w:val="24"/>
          <w:szCs w:val="24"/>
        </w:rPr>
        <w:t>.</w:t>
      </w:r>
    </w:p>
    <w:p w14:paraId="4AFF0BFF" w14:textId="23F35748" w:rsidR="008B4D07" w:rsidRPr="00DE5CDA" w:rsidRDefault="008B4D07" w:rsidP="00B13F0B">
      <w:pPr>
        <w:spacing w:after="0" w:line="360" w:lineRule="auto"/>
        <w:ind w:firstLine="284"/>
        <w:jc w:val="both"/>
        <w:rPr>
          <w:rFonts w:ascii="Times New Roman" w:hAnsi="Times New Roman" w:cs="Times New Roman"/>
          <w:color w:val="FF0000"/>
          <w:sz w:val="24"/>
          <w:szCs w:val="24"/>
        </w:rPr>
      </w:pPr>
      <w:r w:rsidRPr="00DE5CDA">
        <w:rPr>
          <w:rFonts w:ascii="Times New Roman" w:hAnsi="Times New Roman" w:cs="Times New Roman"/>
          <w:sz w:val="24"/>
          <w:szCs w:val="24"/>
        </w:rPr>
        <w:t xml:space="preserve">Celem artykułu jest </w:t>
      </w:r>
      <w:r w:rsidR="00B13F0B">
        <w:rPr>
          <w:rFonts w:ascii="Times New Roman" w:hAnsi="Times New Roman" w:cs="Times New Roman"/>
          <w:sz w:val="24"/>
          <w:szCs w:val="24"/>
        </w:rPr>
        <w:t>poddanie analizie</w:t>
      </w:r>
      <w:r w:rsidR="00DE5CDA" w:rsidRPr="00DE5CDA">
        <w:rPr>
          <w:rFonts w:ascii="Times New Roman" w:hAnsi="Times New Roman" w:cs="Times New Roman"/>
          <w:sz w:val="24"/>
          <w:szCs w:val="24"/>
        </w:rPr>
        <w:t xml:space="preserve"> stopnia samodzielności dochodowej </w:t>
      </w:r>
      <w:r w:rsidR="00B13F0B">
        <w:rPr>
          <w:rFonts w:ascii="Times New Roman" w:hAnsi="Times New Roman" w:cs="Times New Roman"/>
          <w:sz w:val="24"/>
          <w:szCs w:val="24"/>
        </w:rPr>
        <w:t xml:space="preserve">JST </w:t>
      </w:r>
      <w:r w:rsidR="00DE5CDA" w:rsidRPr="00DE5CDA">
        <w:rPr>
          <w:rFonts w:ascii="Times New Roman" w:hAnsi="Times New Roman" w:cs="Times New Roman"/>
          <w:sz w:val="24"/>
          <w:szCs w:val="24"/>
        </w:rPr>
        <w:t xml:space="preserve">w Polsce na tle </w:t>
      </w:r>
      <w:r w:rsidR="00B13F0B">
        <w:rPr>
          <w:rFonts w:ascii="Times New Roman" w:hAnsi="Times New Roman" w:cs="Times New Roman"/>
          <w:sz w:val="24"/>
          <w:szCs w:val="24"/>
        </w:rPr>
        <w:t xml:space="preserve">wybranych </w:t>
      </w:r>
      <w:r w:rsidR="00DE5CDA" w:rsidRPr="00DE5CDA">
        <w:rPr>
          <w:rFonts w:ascii="Times New Roman" w:hAnsi="Times New Roman" w:cs="Times New Roman"/>
          <w:sz w:val="24"/>
          <w:szCs w:val="24"/>
        </w:rPr>
        <w:t xml:space="preserve">krajów Unii Europejskiej </w:t>
      </w:r>
      <w:r w:rsidR="00DE5CDA" w:rsidRPr="00DE5CDA">
        <w:rPr>
          <w:rFonts w:ascii="Times New Roman" w:hAnsi="Times New Roman" w:cs="Times New Roman"/>
          <w:sz w:val="24"/>
          <w:szCs w:val="24"/>
        </w:rPr>
        <w:t>(UE) wra</w:t>
      </w:r>
      <w:r w:rsidR="00DE5CDA" w:rsidRPr="00DE5CDA">
        <w:rPr>
          <w:rFonts w:ascii="Times New Roman" w:hAnsi="Times New Roman" w:cs="Times New Roman"/>
          <w:sz w:val="24"/>
          <w:szCs w:val="24"/>
        </w:rPr>
        <w:t>z</w:t>
      </w:r>
      <w:r w:rsidR="00DE5CDA" w:rsidRPr="00DE5CDA">
        <w:rPr>
          <w:rFonts w:ascii="Times New Roman" w:hAnsi="Times New Roman" w:cs="Times New Roman"/>
          <w:sz w:val="24"/>
          <w:szCs w:val="24"/>
        </w:rPr>
        <w:t xml:space="preserve"> ze</w:t>
      </w:r>
      <w:r w:rsidR="00DE5CDA" w:rsidRPr="00DE5CDA">
        <w:rPr>
          <w:rFonts w:ascii="Times New Roman" w:hAnsi="Times New Roman" w:cs="Times New Roman"/>
          <w:sz w:val="24"/>
          <w:szCs w:val="24"/>
        </w:rPr>
        <w:t xml:space="preserve"> wskazaniem znaczenia władztwa podatkowego w kształtowaniu tej samodzielności.</w:t>
      </w:r>
      <w:r w:rsidR="00DE5CDA" w:rsidRPr="00DE5CDA">
        <w:rPr>
          <w:rFonts w:ascii="Times New Roman" w:hAnsi="Times New Roman" w:cs="Times New Roman"/>
          <w:sz w:val="24"/>
          <w:szCs w:val="24"/>
        </w:rPr>
        <w:t xml:space="preserve"> </w:t>
      </w:r>
      <w:r w:rsidRPr="00DE5CDA">
        <w:rPr>
          <w:rFonts w:ascii="Times New Roman" w:hAnsi="Times New Roman" w:cs="Times New Roman"/>
          <w:sz w:val="24"/>
          <w:szCs w:val="24"/>
        </w:rPr>
        <w:t xml:space="preserve">Realizacja tak postawionego celu wymagała studiów literaturowych oraz analizy danych statystycznych. Wykorzystane do </w:t>
      </w:r>
      <w:r>
        <w:rPr>
          <w:rFonts w:ascii="Times New Roman" w:hAnsi="Times New Roman" w:cs="Times New Roman"/>
          <w:sz w:val="24"/>
          <w:szCs w:val="24"/>
        </w:rPr>
        <w:t xml:space="preserve">analizy dane pochodzą z bazy OECD - </w:t>
      </w:r>
      <w:r w:rsidRPr="008B4D07">
        <w:rPr>
          <w:rFonts w:ascii="Times New Roman" w:hAnsi="Times New Roman" w:cs="Times New Roman"/>
          <w:i/>
          <w:sz w:val="24"/>
          <w:szCs w:val="24"/>
        </w:rPr>
        <w:t>Fiscal decentralisation</w:t>
      </w:r>
      <w:r w:rsidR="00BF0827">
        <w:rPr>
          <w:rFonts w:ascii="Times New Roman" w:hAnsi="Times New Roman" w:cs="Times New Roman"/>
          <w:sz w:val="24"/>
          <w:szCs w:val="24"/>
        </w:rPr>
        <w:t>.</w:t>
      </w:r>
      <w:r w:rsidR="000311A2">
        <w:rPr>
          <w:rFonts w:ascii="Times New Roman" w:hAnsi="Times New Roman" w:cs="Times New Roman"/>
          <w:sz w:val="24"/>
          <w:szCs w:val="24"/>
        </w:rPr>
        <w:t xml:space="preserve"> </w:t>
      </w:r>
      <w:r w:rsidR="00B83957">
        <w:rPr>
          <w:rFonts w:ascii="Times New Roman" w:hAnsi="Times New Roman" w:cs="Times New Roman"/>
          <w:sz w:val="24"/>
          <w:szCs w:val="24"/>
        </w:rPr>
        <w:t>Stopień</w:t>
      </w:r>
      <w:r w:rsidR="000311A2">
        <w:rPr>
          <w:rFonts w:ascii="Times New Roman" w:hAnsi="Times New Roman" w:cs="Times New Roman"/>
          <w:sz w:val="24"/>
          <w:szCs w:val="24"/>
        </w:rPr>
        <w:t xml:space="preserve"> samodzielności dochodowej JST został</w:t>
      </w:r>
      <w:r w:rsidR="00B83957">
        <w:rPr>
          <w:rFonts w:ascii="Times New Roman" w:hAnsi="Times New Roman" w:cs="Times New Roman"/>
          <w:sz w:val="24"/>
          <w:szCs w:val="24"/>
        </w:rPr>
        <w:t xml:space="preserve"> określony z wykorzystaniem </w:t>
      </w:r>
      <w:r w:rsidR="005C2C9A">
        <w:rPr>
          <w:rFonts w:ascii="Times New Roman" w:hAnsi="Times New Roman" w:cs="Times New Roman"/>
          <w:sz w:val="24"/>
          <w:szCs w:val="24"/>
        </w:rPr>
        <w:t xml:space="preserve">wybranych </w:t>
      </w:r>
      <w:r w:rsidR="00B83957">
        <w:rPr>
          <w:rFonts w:ascii="Times New Roman" w:hAnsi="Times New Roman" w:cs="Times New Roman"/>
          <w:sz w:val="24"/>
          <w:szCs w:val="24"/>
        </w:rPr>
        <w:t>miar proponowanych w literaturze przedmiotu [</w:t>
      </w:r>
      <w:r w:rsidR="00B83957" w:rsidRPr="00B83957">
        <w:rPr>
          <w:rFonts w:ascii="Times New Roman" w:hAnsi="Times New Roman" w:cs="Times New Roman"/>
          <w:sz w:val="24"/>
          <w:szCs w:val="24"/>
        </w:rPr>
        <w:t>Wulansari, 2010, s. 28; Taufiq Ritonga, 201</w:t>
      </w:r>
      <w:r w:rsidR="00B83957">
        <w:rPr>
          <w:rFonts w:ascii="Times New Roman" w:hAnsi="Times New Roman" w:cs="Times New Roman"/>
          <w:sz w:val="24"/>
          <w:szCs w:val="24"/>
        </w:rPr>
        <w:t>4, s. 142–164</w:t>
      </w:r>
      <w:r w:rsidR="006426E1">
        <w:rPr>
          <w:rFonts w:ascii="Times New Roman" w:hAnsi="Times New Roman" w:cs="Times New Roman"/>
          <w:sz w:val="24"/>
          <w:szCs w:val="24"/>
        </w:rPr>
        <w:t>; Jaworska, Kożuch, 2012, s. 133</w:t>
      </w:r>
      <w:r w:rsidR="00B83957">
        <w:rPr>
          <w:rFonts w:ascii="Times New Roman" w:hAnsi="Times New Roman" w:cs="Times New Roman"/>
          <w:sz w:val="24"/>
          <w:szCs w:val="24"/>
        </w:rPr>
        <w:t>]</w:t>
      </w:r>
      <w:r w:rsidR="00B13F0B">
        <w:rPr>
          <w:rStyle w:val="Odwoanieprzypisudolnego"/>
          <w:rFonts w:ascii="Times New Roman" w:hAnsi="Times New Roman" w:cs="Times New Roman"/>
          <w:sz w:val="24"/>
          <w:szCs w:val="24"/>
        </w:rPr>
        <w:footnoteReference w:id="1"/>
      </w:r>
      <w:r w:rsidR="00B83957">
        <w:rPr>
          <w:rFonts w:ascii="Times New Roman" w:hAnsi="Times New Roman" w:cs="Times New Roman"/>
          <w:sz w:val="24"/>
          <w:szCs w:val="24"/>
        </w:rPr>
        <w:t>.</w:t>
      </w:r>
    </w:p>
    <w:p w14:paraId="357C1DCA" w14:textId="77777777" w:rsidR="008B4D07" w:rsidRPr="00605589" w:rsidRDefault="008B4D07" w:rsidP="008B4D07">
      <w:pPr>
        <w:spacing w:after="0" w:line="360" w:lineRule="auto"/>
        <w:jc w:val="both"/>
        <w:rPr>
          <w:rFonts w:ascii="Times New Roman" w:hAnsi="Times New Roman" w:cs="Times New Roman"/>
          <w:sz w:val="24"/>
          <w:szCs w:val="24"/>
        </w:rPr>
      </w:pPr>
    </w:p>
    <w:p w14:paraId="758F944A" w14:textId="7EFE3170" w:rsidR="00AE0C27" w:rsidRPr="00BA1691" w:rsidRDefault="005322ED">
      <w:pPr>
        <w:rPr>
          <w:rFonts w:ascii="Times New Roman" w:hAnsi="Times New Roman" w:cs="Times New Roman"/>
          <w:b/>
          <w:sz w:val="24"/>
          <w:szCs w:val="24"/>
        </w:rPr>
      </w:pPr>
      <w:r>
        <w:rPr>
          <w:rFonts w:ascii="Times New Roman" w:hAnsi="Times New Roman" w:cs="Times New Roman"/>
          <w:b/>
          <w:sz w:val="24"/>
          <w:szCs w:val="24"/>
        </w:rPr>
        <w:lastRenderedPageBreak/>
        <w:t xml:space="preserve">1. </w:t>
      </w:r>
      <w:r w:rsidR="00AE0C27" w:rsidRPr="00BA1691">
        <w:rPr>
          <w:rFonts w:ascii="Times New Roman" w:hAnsi="Times New Roman" w:cs="Times New Roman"/>
          <w:b/>
          <w:sz w:val="24"/>
          <w:szCs w:val="24"/>
        </w:rPr>
        <w:t xml:space="preserve">Samodzielność </w:t>
      </w:r>
      <w:r w:rsidR="00BF0827">
        <w:rPr>
          <w:rFonts w:ascii="Times New Roman" w:hAnsi="Times New Roman" w:cs="Times New Roman"/>
          <w:b/>
          <w:sz w:val="24"/>
          <w:szCs w:val="24"/>
        </w:rPr>
        <w:t>dochodowa</w:t>
      </w:r>
      <w:r w:rsidR="00AE0C27" w:rsidRPr="00BA1691">
        <w:rPr>
          <w:rFonts w:ascii="Times New Roman" w:hAnsi="Times New Roman" w:cs="Times New Roman"/>
          <w:b/>
          <w:sz w:val="24"/>
          <w:szCs w:val="24"/>
        </w:rPr>
        <w:t xml:space="preserve"> </w:t>
      </w:r>
      <w:r w:rsidR="002F3F7B">
        <w:rPr>
          <w:rFonts w:ascii="Times New Roman" w:hAnsi="Times New Roman" w:cs="Times New Roman"/>
          <w:b/>
          <w:sz w:val="24"/>
          <w:szCs w:val="24"/>
        </w:rPr>
        <w:t>w ujęciu teoretycznym</w:t>
      </w:r>
    </w:p>
    <w:p w14:paraId="2038C6C8" w14:textId="77777777" w:rsidR="002F3F7B" w:rsidRPr="00115CF1" w:rsidRDefault="009F17BB" w:rsidP="00115CF1">
      <w:pPr>
        <w:spacing w:after="0" w:line="360" w:lineRule="auto"/>
        <w:ind w:firstLine="284"/>
        <w:jc w:val="both"/>
        <w:rPr>
          <w:rFonts w:ascii="Times New Roman" w:hAnsi="Times New Roman" w:cs="Times New Roman"/>
          <w:sz w:val="24"/>
          <w:szCs w:val="24"/>
        </w:rPr>
      </w:pPr>
      <w:r>
        <w:rPr>
          <w:rFonts w:ascii="Times New Roman" w:hAnsi="Times New Roman" w:cs="Times New Roman"/>
          <w:sz w:val="24"/>
          <w:szCs w:val="24"/>
        </w:rPr>
        <w:t>Samodzielność finansowa</w:t>
      </w:r>
      <w:r w:rsidR="008B4D07">
        <w:rPr>
          <w:rFonts w:ascii="Times New Roman" w:hAnsi="Times New Roman" w:cs="Times New Roman"/>
          <w:sz w:val="24"/>
          <w:szCs w:val="24"/>
        </w:rPr>
        <w:t xml:space="preserve"> stanowi jeden z podstawowych filarów samorządności w wymiarze ekonomicznym.</w:t>
      </w:r>
      <w:r w:rsidR="00FE4464">
        <w:rPr>
          <w:rFonts w:ascii="Times New Roman" w:hAnsi="Times New Roman" w:cs="Times New Roman"/>
          <w:sz w:val="24"/>
          <w:szCs w:val="24"/>
        </w:rPr>
        <w:t xml:space="preserve"> </w:t>
      </w:r>
      <w:r w:rsidR="00C416B0">
        <w:rPr>
          <w:rFonts w:ascii="Times New Roman" w:hAnsi="Times New Roman" w:cs="Times New Roman"/>
          <w:sz w:val="24"/>
          <w:szCs w:val="24"/>
        </w:rPr>
        <w:t>S</w:t>
      </w:r>
      <w:r w:rsidR="002F3F7B" w:rsidRPr="00115CF1">
        <w:rPr>
          <w:rFonts w:ascii="Times New Roman" w:hAnsi="Times New Roman" w:cs="Times New Roman"/>
          <w:sz w:val="24"/>
          <w:szCs w:val="24"/>
        </w:rPr>
        <w:t xml:space="preserve">amodzielność </w:t>
      </w:r>
      <w:r w:rsidR="00C416B0">
        <w:rPr>
          <w:rFonts w:ascii="Times New Roman" w:hAnsi="Times New Roman" w:cs="Times New Roman"/>
          <w:sz w:val="24"/>
          <w:szCs w:val="24"/>
        </w:rPr>
        <w:t>ta</w:t>
      </w:r>
      <w:r w:rsidR="002F3F7B" w:rsidRPr="00115CF1">
        <w:rPr>
          <w:rFonts w:ascii="Times New Roman" w:hAnsi="Times New Roman" w:cs="Times New Roman"/>
          <w:sz w:val="24"/>
          <w:szCs w:val="24"/>
        </w:rPr>
        <w:t xml:space="preserve"> ma odmienny zakres i cechy prawne w zakresie gromadzenia dochodów, administrowania nimi oraz ich </w:t>
      </w:r>
      <w:r w:rsidR="002F3F7B" w:rsidRPr="00FE4464">
        <w:rPr>
          <w:rFonts w:ascii="Times New Roman" w:hAnsi="Times New Roman" w:cs="Times New Roman"/>
          <w:sz w:val="24"/>
          <w:szCs w:val="24"/>
        </w:rPr>
        <w:t>wydatkowania</w:t>
      </w:r>
      <w:r w:rsidR="00FE4464" w:rsidRPr="00FE4464">
        <w:rPr>
          <w:rFonts w:ascii="Times New Roman" w:hAnsi="Times New Roman" w:cs="Times New Roman"/>
          <w:sz w:val="24"/>
          <w:szCs w:val="24"/>
        </w:rPr>
        <w:t xml:space="preserve"> [Dębowska-Romanowska</w:t>
      </w:r>
      <w:r w:rsidR="00BA3394">
        <w:rPr>
          <w:rFonts w:ascii="Times New Roman" w:hAnsi="Times New Roman" w:cs="Times New Roman"/>
          <w:sz w:val="24"/>
          <w:szCs w:val="24"/>
        </w:rPr>
        <w:t>,</w:t>
      </w:r>
      <w:r w:rsidR="00FE4464" w:rsidRPr="00FE4464">
        <w:rPr>
          <w:rFonts w:ascii="Times New Roman" w:hAnsi="Times New Roman" w:cs="Times New Roman"/>
          <w:sz w:val="24"/>
          <w:szCs w:val="24"/>
        </w:rPr>
        <w:t xml:space="preserve"> 1997,</w:t>
      </w:r>
      <w:r w:rsidR="00FE4464">
        <w:rPr>
          <w:rFonts w:ascii="Times New Roman" w:hAnsi="Times New Roman" w:cs="Times New Roman"/>
          <w:sz w:val="24"/>
          <w:szCs w:val="24"/>
        </w:rPr>
        <w:t xml:space="preserve"> </w:t>
      </w:r>
      <w:r w:rsidR="00FE4464" w:rsidRPr="00FE4464">
        <w:rPr>
          <w:rFonts w:ascii="Times New Roman" w:hAnsi="Times New Roman" w:cs="Times New Roman"/>
          <w:sz w:val="24"/>
          <w:szCs w:val="24"/>
        </w:rPr>
        <w:t>s. 101]</w:t>
      </w:r>
      <w:r w:rsidR="002F3F7B" w:rsidRPr="00115CF1">
        <w:rPr>
          <w:rFonts w:ascii="Times New Roman" w:hAnsi="Times New Roman" w:cs="Times New Roman"/>
          <w:sz w:val="24"/>
          <w:szCs w:val="24"/>
        </w:rPr>
        <w:t xml:space="preserve">. </w:t>
      </w:r>
      <w:r>
        <w:rPr>
          <w:rFonts w:ascii="Times New Roman" w:hAnsi="Times New Roman" w:cs="Times New Roman"/>
          <w:sz w:val="24"/>
          <w:szCs w:val="24"/>
        </w:rPr>
        <w:t>S</w:t>
      </w:r>
      <w:r w:rsidR="002F3F7B" w:rsidRPr="00115CF1">
        <w:rPr>
          <w:rFonts w:ascii="Times New Roman" w:hAnsi="Times New Roman" w:cs="Times New Roman"/>
          <w:sz w:val="24"/>
          <w:szCs w:val="24"/>
        </w:rPr>
        <w:t>amodzielność finansowa „niezależnie od postaci, w jakiej występuje, musi się charakteryzować swobodą podejmowania decyzji finansowych odniesionych zarówno do pozyskiwania dochodów, jak i ich przeznaczenia na różne rodzaje wydatków”</w:t>
      </w:r>
      <w:r w:rsidR="00734489">
        <w:rPr>
          <w:rFonts w:ascii="Times New Roman" w:hAnsi="Times New Roman" w:cs="Times New Roman"/>
          <w:sz w:val="24"/>
          <w:szCs w:val="24"/>
        </w:rPr>
        <w:t xml:space="preserve"> [Piotrowska</w:t>
      </w:r>
      <w:r w:rsidR="00734489" w:rsidRPr="00734489">
        <w:rPr>
          <w:rFonts w:ascii="Times New Roman" w:hAnsi="Times New Roman" w:cs="Times New Roman"/>
          <w:sz w:val="24"/>
          <w:szCs w:val="24"/>
        </w:rPr>
        <w:t>-Marczak</w:t>
      </w:r>
      <w:r w:rsidR="00BA3394">
        <w:rPr>
          <w:rFonts w:ascii="Times New Roman" w:hAnsi="Times New Roman" w:cs="Times New Roman"/>
          <w:sz w:val="24"/>
          <w:szCs w:val="24"/>
        </w:rPr>
        <w:t>,</w:t>
      </w:r>
      <w:r w:rsidR="00734489">
        <w:rPr>
          <w:rFonts w:ascii="Times New Roman" w:hAnsi="Times New Roman" w:cs="Times New Roman"/>
          <w:sz w:val="24"/>
          <w:szCs w:val="24"/>
        </w:rPr>
        <w:t xml:space="preserve"> 1997, s</w:t>
      </w:r>
      <w:r w:rsidR="00D6521D">
        <w:rPr>
          <w:rFonts w:ascii="Times New Roman" w:hAnsi="Times New Roman" w:cs="Times New Roman"/>
          <w:sz w:val="24"/>
          <w:szCs w:val="24"/>
        </w:rPr>
        <w:t>. 19]</w:t>
      </w:r>
      <w:r w:rsidR="00D6521D" w:rsidRPr="00115CF1">
        <w:rPr>
          <w:rFonts w:ascii="Times New Roman" w:hAnsi="Times New Roman" w:cs="Times New Roman"/>
          <w:sz w:val="24"/>
          <w:szCs w:val="24"/>
        </w:rPr>
        <w:t>. Przy</w:t>
      </w:r>
      <w:r w:rsidR="002F3F7B" w:rsidRPr="00115CF1">
        <w:rPr>
          <w:rFonts w:ascii="Times New Roman" w:hAnsi="Times New Roman" w:cs="Times New Roman"/>
          <w:sz w:val="24"/>
          <w:szCs w:val="24"/>
        </w:rPr>
        <w:t xml:space="preserve"> takim rozróżnieniu można mówić o </w:t>
      </w:r>
      <w:r w:rsidR="002F3F7B" w:rsidRPr="003835ED">
        <w:rPr>
          <w:rFonts w:ascii="Times New Roman" w:hAnsi="Times New Roman" w:cs="Times New Roman"/>
          <w:sz w:val="24"/>
          <w:szCs w:val="24"/>
        </w:rPr>
        <w:t xml:space="preserve">samodzielności w zakresie dochodów, wydatków a także samodzielności, tzw. </w:t>
      </w:r>
      <w:r w:rsidR="00174425">
        <w:rPr>
          <w:rFonts w:ascii="Times New Roman" w:hAnsi="Times New Roman" w:cs="Times New Roman"/>
          <w:sz w:val="24"/>
          <w:szCs w:val="24"/>
        </w:rPr>
        <w:t>m</w:t>
      </w:r>
      <w:r w:rsidR="002F3F7B" w:rsidRPr="003835ED">
        <w:rPr>
          <w:rFonts w:ascii="Times New Roman" w:hAnsi="Times New Roman" w:cs="Times New Roman"/>
          <w:sz w:val="24"/>
          <w:szCs w:val="24"/>
        </w:rPr>
        <w:t>ieszanej</w:t>
      </w:r>
      <w:r w:rsidR="003835ED" w:rsidRPr="003835ED">
        <w:rPr>
          <w:rFonts w:ascii="Times New Roman" w:hAnsi="Times New Roman" w:cs="Times New Roman"/>
          <w:sz w:val="24"/>
          <w:szCs w:val="24"/>
        </w:rPr>
        <w:t xml:space="preserve"> [Fere</w:t>
      </w:r>
      <w:r w:rsidR="00BA3394">
        <w:rPr>
          <w:rFonts w:ascii="Times New Roman" w:hAnsi="Times New Roman" w:cs="Times New Roman"/>
          <w:sz w:val="24"/>
          <w:szCs w:val="24"/>
        </w:rPr>
        <w:t>t,</w:t>
      </w:r>
      <w:r w:rsidR="003835ED" w:rsidRPr="003835ED">
        <w:rPr>
          <w:rFonts w:ascii="Times New Roman" w:hAnsi="Times New Roman" w:cs="Times New Roman"/>
          <w:sz w:val="24"/>
          <w:szCs w:val="24"/>
        </w:rPr>
        <w:t xml:space="preserve"> 2013, s. 128]</w:t>
      </w:r>
      <w:r w:rsidR="00303537">
        <w:rPr>
          <w:rFonts w:ascii="Times New Roman" w:hAnsi="Times New Roman" w:cs="Times New Roman"/>
          <w:sz w:val="24"/>
          <w:szCs w:val="24"/>
        </w:rPr>
        <w:t>.</w:t>
      </w:r>
    </w:p>
    <w:p w14:paraId="3D2EAFB6" w14:textId="77777777" w:rsidR="002F3F7B" w:rsidRPr="00115CF1" w:rsidRDefault="002F3F7B" w:rsidP="00115CF1">
      <w:pPr>
        <w:spacing w:after="0" w:line="360" w:lineRule="auto"/>
        <w:ind w:firstLine="284"/>
        <w:jc w:val="both"/>
        <w:rPr>
          <w:rFonts w:ascii="Times New Roman" w:hAnsi="Times New Roman" w:cs="Times New Roman"/>
          <w:sz w:val="24"/>
          <w:szCs w:val="24"/>
        </w:rPr>
      </w:pPr>
      <w:r w:rsidRPr="00115CF1">
        <w:rPr>
          <w:rFonts w:ascii="Times New Roman" w:hAnsi="Times New Roman" w:cs="Times New Roman"/>
          <w:sz w:val="24"/>
          <w:szCs w:val="24"/>
        </w:rPr>
        <w:t xml:space="preserve">Samodzielność </w:t>
      </w:r>
      <w:r w:rsidR="00BF0827">
        <w:rPr>
          <w:rFonts w:ascii="Times New Roman" w:hAnsi="Times New Roman" w:cs="Times New Roman"/>
          <w:sz w:val="24"/>
          <w:szCs w:val="24"/>
        </w:rPr>
        <w:t>dochodowa</w:t>
      </w:r>
      <w:r w:rsidRPr="00115CF1">
        <w:rPr>
          <w:rFonts w:ascii="Times New Roman" w:hAnsi="Times New Roman" w:cs="Times New Roman"/>
          <w:sz w:val="24"/>
          <w:szCs w:val="24"/>
        </w:rPr>
        <w:t xml:space="preserve"> nie dotyczy </w:t>
      </w:r>
      <w:r w:rsidR="00BF0827">
        <w:rPr>
          <w:rFonts w:ascii="Times New Roman" w:hAnsi="Times New Roman" w:cs="Times New Roman"/>
          <w:sz w:val="24"/>
          <w:szCs w:val="24"/>
        </w:rPr>
        <w:t>najczęściej</w:t>
      </w:r>
      <w:r w:rsidRPr="00115CF1">
        <w:rPr>
          <w:rFonts w:ascii="Times New Roman" w:hAnsi="Times New Roman" w:cs="Times New Roman"/>
          <w:sz w:val="24"/>
          <w:szCs w:val="24"/>
        </w:rPr>
        <w:t xml:space="preserve"> sfery kreowania podstaw prawnych gospodarki finansowej, a jedynie stosowania prawa oraz uprawnień odnoszących się do realizacji w ich ramach samodzielnej polityki </w:t>
      </w:r>
      <w:r w:rsidR="003835ED">
        <w:rPr>
          <w:rFonts w:ascii="Times New Roman" w:hAnsi="Times New Roman" w:cs="Times New Roman"/>
          <w:sz w:val="24"/>
          <w:szCs w:val="24"/>
        </w:rPr>
        <w:t>fiskalnej</w:t>
      </w:r>
      <w:r w:rsidRPr="00115CF1">
        <w:rPr>
          <w:rFonts w:ascii="Times New Roman" w:hAnsi="Times New Roman" w:cs="Times New Roman"/>
          <w:sz w:val="24"/>
          <w:szCs w:val="24"/>
        </w:rPr>
        <w:t>. Wynika to z „integralności finansów samorządu terytorialnego z systemem finansów publicznych”</w:t>
      </w:r>
      <w:r w:rsidR="003835ED">
        <w:rPr>
          <w:rFonts w:ascii="Times New Roman" w:hAnsi="Times New Roman" w:cs="Times New Roman"/>
          <w:sz w:val="24"/>
          <w:szCs w:val="24"/>
        </w:rPr>
        <w:t xml:space="preserve"> [</w:t>
      </w:r>
      <w:r w:rsidR="003835ED" w:rsidRPr="003835ED">
        <w:rPr>
          <w:rFonts w:ascii="Times New Roman" w:hAnsi="Times New Roman" w:cs="Times New Roman"/>
          <w:sz w:val="24"/>
          <w:szCs w:val="24"/>
        </w:rPr>
        <w:t>Surówka</w:t>
      </w:r>
      <w:r w:rsidR="00BA3394">
        <w:rPr>
          <w:rFonts w:ascii="Times New Roman" w:hAnsi="Times New Roman" w:cs="Times New Roman"/>
          <w:sz w:val="24"/>
          <w:szCs w:val="24"/>
        </w:rPr>
        <w:t>,</w:t>
      </w:r>
      <w:r w:rsidR="003835ED" w:rsidRPr="003835ED">
        <w:rPr>
          <w:rStyle w:val="Odwoanieprzypisudolnego"/>
          <w:rFonts w:ascii="Times New Roman" w:hAnsi="Times New Roman" w:cs="Times New Roman"/>
          <w:sz w:val="24"/>
          <w:szCs w:val="24"/>
          <w:vertAlign w:val="baseline"/>
        </w:rPr>
        <w:t xml:space="preserve"> </w:t>
      </w:r>
      <w:r w:rsidR="003835ED">
        <w:rPr>
          <w:rFonts w:ascii="Times New Roman" w:hAnsi="Times New Roman" w:cs="Times New Roman"/>
          <w:sz w:val="24"/>
          <w:szCs w:val="24"/>
        </w:rPr>
        <w:t>2013, s. 52]</w:t>
      </w:r>
      <w:r w:rsidRPr="00115CF1">
        <w:rPr>
          <w:rFonts w:ascii="Times New Roman" w:hAnsi="Times New Roman" w:cs="Times New Roman"/>
          <w:sz w:val="24"/>
          <w:szCs w:val="24"/>
        </w:rPr>
        <w:t xml:space="preserve">. „Istotną rolę w tym zakresie odgrywa zasada prymatu dochodowej strony budżetu nad wydatkami, zgodnie z którą poziom wydatków budżetowych samorządu jest zdeterminowany raczej możliwościami finansowymi niż skalą </w:t>
      </w:r>
      <w:r w:rsidRPr="003835ED">
        <w:rPr>
          <w:rFonts w:ascii="Times New Roman" w:hAnsi="Times New Roman" w:cs="Times New Roman"/>
          <w:sz w:val="24"/>
          <w:szCs w:val="24"/>
        </w:rPr>
        <w:t>potrzeb”</w:t>
      </w:r>
      <w:r w:rsidR="003835ED" w:rsidRPr="003835ED">
        <w:rPr>
          <w:rFonts w:ascii="Times New Roman" w:hAnsi="Times New Roman" w:cs="Times New Roman"/>
          <w:sz w:val="24"/>
          <w:szCs w:val="24"/>
        </w:rPr>
        <w:t xml:space="preserve"> [Łuszkiewicz</w:t>
      </w:r>
      <w:r w:rsidR="00BA3394">
        <w:rPr>
          <w:rFonts w:ascii="Times New Roman" w:hAnsi="Times New Roman" w:cs="Times New Roman"/>
          <w:sz w:val="24"/>
          <w:szCs w:val="24"/>
        </w:rPr>
        <w:t>,</w:t>
      </w:r>
      <w:r w:rsidR="003835ED" w:rsidRPr="003835ED">
        <w:rPr>
          <w:rStyle w:val="Odwoanieprzypisudolnego"/>
          <w:rFonts w:ascii="Times New Roman" w:hAnsi="Times New Roman" w:cs="Times New Roman"/>
          <w:sz w:val="24"/>
          <w:szCs w:val="24"/>
        </w:rPr>
        <w:t xml:space="preserve"> </w:t>
      </w:r>
      <w:r w:rsidR="003835ED" w:rsidRPr="003835ED">
        <w:rPr>
          <w:rFonts w:ascii="Times New Roman" w:hAnsi="Times New Roman" w:cs="Times New Roman"/>
          <w:sz w:val="24"/>
          <w:szCs w:val="24"/>
        </w:rPr>
        <w:t>2013, s. 19]</w:t>
      </w:r>
      <w:r w:rsidRPr="003835ED">
        <w:rPr>
          <w:rFonts w:ascii="Times New Roman" w:hAnsi="Times New Roman" w:cs="Times New Roman"/>
          <w:sz w:val="24"/>
          <w:szCs w:val="24"/>
        </w:rPr>
        <w:t>.</w:t>
      </w:r>
    </w:p>
    <w:p w14:paraId="4317B6C7" w14:textId="77777777" w:rsidR="002F3F7B" w:rsidRPr="00115CF1" w:rsidRDefault="002F3F7B" w:rsidP="00115CF1">
      <w:pPr>
        <w:autoSpaceDE w:val="0"/>
        <w:autoSpaceDN w:val="0"/>
        <w:adjustRightInd w:val="0"/>
        <w:spacing w:after="0" w:line="360" w:lineRule="auto"/>
        <w:ind w:firstLine="284"/>
        <w:jc w:val="both"/>
        <w:rPr>
          <w:rFonts w:ascii="Times New Roman" w:hAnsi="Times New Roman" w:cs="Times New Roman"/>
          <w:sz w:val="24"/>
          <w:szCs w:val="24"/>
        </w:rPr>
      </w:pPr>
      <w:r w:rsidRPr="00115CF1">
        <w:rPr>
          <w:rFonts w:ascii="Times New Roman" w:hAnsi="Times New Roman" w:cs="Times New Roman"/>
          <w:sz w:val="24"/>
          <w:szCs w:val="24"/>
        </w:rPr>
        <w:t xml:space="preserve">Mówiąc o samodzielności </w:t>
      </w:r>
      <w:r w:rsidR="00C416B0">
        <w:rPr>
          <w:rFonts w:ascii="Times New Roman" w:hAnsi="Times New Roman" w:cs="Times New Roman"/>
          <w:sz w:val="24"/>
          <w:szCs w:val="24"/>
        </w:rPr>
        <w:t>dochodowej</w:t>
      </w:r>
      <w:r w:rsidRPr="00115CF1">
        <w:rPr>
          <w:rFonts w:ascii="Times New Roman" w:hAnsi="Times New Roman" w:cs="Times New Roman"/>
          <w:sz w:val="24"/>
          <w:szCs w:val="24"/>
        </w:rPr>
        <w:t xml:space="preserve"> należy mieć na </w:t>
      </w:r>
      <w:r w:rsidR="00D6521D">
        <w:rPr>
          <w:rFonts w:ascii="Times New Roman" w:hAnsi="Times New Roman" w:cs="Times New Roman"/>
          <w:sz w:val="24"/>
          <w:szCs w:val="24"/>
        </w:rPr>
        <w:t>uwadze</w:t>
      </w:r>
      <w:r w:rsidRPr="00115CF1">
        <w:rPr>
          <w:rFonts w:ascii="Times New Roman" w:hAnsi="Times New Roman" w:cs="Times New Roman"/>
          <w:sz w:val="24"/>
          <w:szCs w:val="24"/>
        </w:rPr>
        <w:t xml:space="preserve"> zagwarantowanie możliwości kreowania źródeł dochodów, w tym ich określania oraz ich </w:t>
      </w:r>
      <w:r w:rsidR="00D6521D">
        <w:rPr>
          <w:rFonts w:ascii="Times New Roman" w:hAnsi="Times New Roman" w:cs="Times New Roman"/>
          <w:sz w:val="24"/>
          <w:szCs w:val="24"/>
        </w:rPr>
        <w:t xml:space="preserve">stanowienia o ich </w:t>
      </w:r>
      <w:r w:rsidRPr="00115CF1">
        <w:rPr>
          <w:rFonts w:ascii="Times New Roman" w:hAnsi="Times New Roman" w:cs="Times New Roman"/>
          <w:sz w:val="24"/>
          <w:szCs w:val="24"/>
        </w:rPr>
        <w:t xml:space="preserve">konstrukcji. A zatem może być ona utożsamiana ze zdolnością wpływania JST na strukturę i wielkość dochodów w ramach przyznanych im ustawowo kompetencji. Samodzielność dochodowa </w:t>
      </w:r>
      <w:r w:rsidR="00B83957">
        <w:rPr>
          <w:rFonts w:ascii="Times New Roman" w:hAnsi="Times New Roman" w:cs="Times New Roman"/>
          <w:sz w:val="24"/>
          <w:szCs w:val="24"/>
        </w:rPr>
        <w:t>JST</w:t>
      </w:r>
      <w:r w:rsidRPr="00115CF1">
        <w:rPr>
          <w:rFonts w:ascii="Times New Roman" w:hAnsi="Times New Roman" w:cs="Times New Roman"/>
          <w:sz w:val="24"/>
          <w:szCs w:val="24"/>
        </w:rPr>
        <w:t xml:space="preserve"> oznacza zdolność do prowadzenia </w:t>
      </w:r>
      <w:r w:rsidR="00B83957" w:rsidRPr="00115CF1">
        <w:rPr>
          <w:rFonts w:ascii="Times New Roman" w:hAnsi="Times New Roman" w:cs="Times New Roman"/>
          <w:sz w:val="24"/>
          <w:szCs w:val="24"/>
        </w:rPr>
        <w:t xml:space="preserve">przez </w:t>
      </w:r>
      <w:r w:rsidR="00B83957">
        <w:rPr>
          <w:rFonts w:ascii="Times New Roman" w:hAnsi="Times New Roman" w:cs="Times New Roman"/>
          <w:sz w:val="24"/>
          <w:szCs w:val="24"/>
        </w:rPr>
        <w:t xml:space="preserve">nie </w:t>
      </w:r>
      <w:r w:rsidRPr="00115CF1">
        <w:rPr>
          <w:rFonts w:ascii="Times New Roman" w:hAnsi="Times New Roman" w:cs="Times New Roman"/>
          <w:sz w:val="24"/>
          <w:szCs w:val="24"/>
        </w:rPr>
        <w:t>własnej polityki fiskalnej na danym obszarze</w:t>
      </w:r>
      <w:r w:rsidR="003C7823">
        <w:rPr>
          <w:rFonts w:ascii="Times New Roman" w:hAnsi="Times New Roman" w:cs="Times New Roman"/>
          <w:sz w:val="24"/>
          <w:szCs w:val="24"/>
        </w:rPr>
        <w:t xml:space="preserve"> [</w:t>
      </w:r>
      <w:r w:rsidR="003C7823" w:rsidRPr="003C7823">
        <w:rPr>
          <w:rFonts w:ascii="Times New Roman" w:hAnsi="Times New Roman" w:cs="Times New Roman"/>
          <w:sz w:val="24"/>
          <w:szCs w:val="24"/>
        </w:rPr>
        <w:t>Kosek-Wojnar</w:t>
      </w:r>
      <w:r w:rsidR="00BA3394">
        <w:rPr>
          <w:rFonts w:ascii="Times New Roman" w:hAnsi="Times New Roman" w:cs="Times New Roman"/>
          <w:sz w:val="24"/>
          <w:szCs w:val="24"/>
        </w:rPr>
        <w:t>,</w:t>
      </w:r>
      <w:r w:rsidR="003C7823" w:rsidRPr="003C7823">
        <w:rPr>
          <w:rStyle w:val="Odwoanieprzypisudolnego"/>
          <w:rFonts w:ascii="Times New Roman" w:hAnsi="Times New Roman" w:cs="Times New Roman"/>
          <w:sz w:val="24"/>
          <w:szCs w:val="24"/>
          <w:vertAlign w:val="baseline"/>
        </w:rPr>
        <w:t xml:space="preserve"> </w:t>
      </w:r>
      <w:r w:rsidR="003C7823">
        <w:rPr>
          <w:rFonts w:ascii="Times New Roman" w:hAnsi="Times New Roman" w:cs="Times New Roman"/>
          <w:sz w:val="24"/>
          <w:szCs w:val="24"/>
        </w:rPr>
        <w:t xml:space="preserve"> 2006, s. 75]</w:t>
      </w:r>
      <w:r w:rsidRPr="00115CF1">
        <w:rPr>
          <w:rFonts w:ascii="Times New Roman" w:hAnsi="Times New Roman" w:cs="Times New Roman"/>
          <w:sz w:val="24"/>
          <w:szCs w:val="24"/>
        </w:rPr>
        <w:t xml:space="preserve">. Przejawia się ona tzw. władztwem podatkowym, które przyznawane jest </w:t>
      </w:r>
      <w:r w:rsidR="00B83957">
        <w:rPr>
          <w:rFonts w:ascii="Times New Roman" w:hAnsi="Times New Roman" w:cs="Times New Roman"/>
          <w:sz w:val="24"/>
          <w:szCs w:val="24"/>
        </w:rPr>
        <w:t>JST</w:t>
      </w:r>
      <w:r w:rsidRPr="00115CF1">
        <w:rPr>
          <w:rFonts w:ascii="Times New Roman" w:hAnsi="Times New Roman" w:cs="Times New Roman"/>
          <w:sz w:val="24"/>
          <w:szCs w:val="24"/>
        </w:rPr>
        <w:t xml:space="preserve"> w zakresie kreowania wielkości oraz struktury podatków i opłat lokalnych. Do grupy instrumentów fiskalnych mających zasadniczy wpływ na samodzielność dochodową JST należy zaliczyć także: wielkość dopuszczalnego deficytu budżetowego, poziom zadłużenia, czy możliwości udzielania gwarancji i poręczeń</w:t>
      </w:r>
      <w:r w:rsidR="00D42634">
        <w:rPr>
          <w:rFonts w:ascii="Times New Roman" w:hAnsi="Times New Roman" w:cs="Times New Roman"/>
          <w:sz w:val="24"/>
          <w:szCs w:val="24"/>
        </w:rPr>
        <w:t xml:space="preserve"> [</w:t>
      </w:r>
      <w:r w:rsidR="00D42634" w:rsidRPr="00D42634">
        <w:rPr>
          <w:rFonts w:ascii="Times New Roman" w:hAnsi="Times New Roman" w:cs="Times New Roman"/>
          <w:sz w:val="24"/>
          <w:szCs w:val="24"/>
        </w:rPr>
        <w:t>Kosek-Wojnar</w:t>
      </w:r>
      <w:r w:rsidR="00BA3394">
        <w:rPr>
          <w:rFonts w:ascii="Times New Roman" w:hAnsi="Times New Roman" w:cs="Times New Roman"/>
          <w:sz w:val="24"/>
          <w:szCs w:val="24"/>
        </w:rPr>
        <w:t>,</w:t>
      </w:r>
      <w:r w:rsidR="00D42634" w:rsidRPr="00D42634">
        <w:rPr>
          <w:rStyle w:val="Odwoanieprzypisudolnego"/>
          <w:rFonts w:ascii="Times New Roman" w:hAnsi="Times New Roman" w:cs="Times New Roman"/>
          <w:sz w:val="24"/>
          <w:szCs w:val="24"/>
          <w:vertAlign w:val="baseline"/>
        </w:rPr>
        <w:t xml:space="preserve"> </w:t>
      </w:r>
      <w:r w:rsidR="002F7799">
        <w:rPr>
          <w:rFonts w:ascii="Times New Roman" w:hAnsi="Times New Roman" w:cs="Times New Roman"/>
          <w:sz w:val="24"/>
          <w:szCs w:val="24"/>
        </w:rPr>
        <w:t>2006</w:t>
      </w:r>
      <w:r w:rsidR="00D42634">
        <w:rPr>
          <w:rFonts w:ascii="Times New Roman" w:hAnsi="Times New Roman" w:cs="Times New Roman"/>
          <w:sz w:val="24"/>
          <w:szCs w:val="24"/>
        </w:rPr>
        <w:t>, s. 12]</w:t>
      </w:r>
      <w:r w:rsidRPr="00115CF1">
        <w:rPr>
          <w:rFonts w:ascii="Times New Roman" w:hAnsi="Times New Roman" w:cs="Times New Roman"/>
          <w:sz w:val="24"/>
          <w:szCs w:val="24"/>
        </w:rPr>
        <w:t>.</w:t>
      </w:r>
      <w:r w:rsidR="00B83957">
        <w:rPr>
          <w:rFonts w:ascii="Times New Roman" w:hAnsi="Times New Roman" w:cs="Times New Roman"/>
          <w:sz w:val="24"/>
          <w:szCs w:val="24"/>
        </w:rPr>
        <w:t xml:space="preserve"> Zapewnienie samodzielności dochodowej jednostkom samorządu </w:t>
      </w:r>
      <w:r w:rsidR="0038478A">
        <w:rPr>
          <w:rFonts w:ascii="Times New Roman" w:hAnsi="Times New Roman" w:cs="Times New Roman"/>
          <w:sz w:val="24"/>
          <w:szCs w:val="24"/>
        </w:rPr>
        <w:t xml:space="preserve">czyni z nich rzeczywistych gospodarzy, kreatorów rozwoju społeczno-gospodarczego na danym obszarze. Z drugiej strony </w:t>
      </w:r>
      <w:r w:rsidR="0025630B">
        <w:rPr>
          <w:rFonts w:ascii="Times New Roman" w:hAnsi="Times New Roman" w:cs="Times New Roman"/>
          <w:sz w:val="24"/>
          <w:szCs w:val="24"/>
        </w:rPr>
        <w:t xml:space="preserve">wyposażenie JST w atrybuty samodzielności </w:t>
      </w:r>
      <w:r w:rsidR="005C2C9A">
        <w:rPr>
          <w:rFonts w:ascii="Times New Roman" w:hAnsi="Times New Roman" w:cs="Times New Roman"/>
          <w:sz w:val="24"/>
          <w:szCs w:val="24"/>
        </w:rPr>
        <w:t>dochodowej</w:t>
      </w:r>
      <w:r w:rsidR="0025630B">
        <w:rPr>
          <w:rFonts w:ascii="Times New Roman" w:hAnsi="Times New Roman" w:cs="Times New Roman"/>
          <w:sz w:val="24"/>
          <w:szCs w:val="24"/>
        </w:rPr>
        <w:t xml:space="preserve"> powinno przyczyniać się do istotnej poprawy efektywności gospodarowania środkami publicznymi na szczeblu samorządowym [</w:t>
      </w:r>
      <w:r w:rsidR="0025630B" w:rsidRPr="0025630B">
        <w:rPr>
          <w:rFonts w:ascii="Times New Roman" w:hAnsi="Times New Roman" w:cs="Times New Roman"/>
          <w:sz w:val="24"/>
          <w:szCs w:val="24"/>
        </w:rPr>
        <w:t>Neneman, Swianiewicz, 2013</w:t>
      </w:r>
      <w:r w:rsidR="0025630B">
        <w:rPr>
          <w:rFonts w:ascii="Times New Roman" w:hAnsi="Times New Roman" w:cs="Times New Roman"/>
          <w:sz w:val="24"/>
          <w:szCs w:val="24"/>
        </w:rPr>
        <w:t>].</w:t>
      </w:r>
    </w:p>
    <w:p w14:paraId="7FCBCC14" w14:textId="77777777" w:rsidR="000120CF" w:rsidRPr="003158E1" w:rsidRDefault="003835ED" w:rsidP="00115CF1">
      <w:pPr>
        <w:spacing w:after="0" w:line="360" w:lineRule="auto"/>
        <w:ind w:firstLine="284"/>
        <w:jc w:val="both"/>
        <w:rPr>
          <w:rFonts w:ascii="Times New Roman" w:hAnsi="Times New Roman" w:cs="Times New Roman"/>
          <w:sz w:val="24"/>
          <w:szCs w:val="24"/>
        </w:rPr>
      </w:pPr>
      <w:r w:rsidRPr="00AD661B">
        <w:rPr>
          <w:rFonts w:ascii="Times New Roman" w:hAnsi="Times New Roman" w:cs="Times New Roman"/>
          <w:sz w:val="24"/>
          <w:szCs w:val="24"/>
        </w:rPr>
        <w:t xml:space="preserve">Analiza samodzielności dochodowej JST wymaga rozpatrzenia dwóch kluczowych kwestii, </w:t>
      </w:r>
      <w:r>
        <w:rPr>
          <w:rFonts w:ascii="Times New Roman" w:hAnsi="Times New Roman" w:cs="Times New Roman"/>
          <w:sz w:val="24"/>
          <w:szCs w:val="24"/>
        </w:rPr>
        <w:t xml:space="preserve">tj. </w:t>
      </w:r>
      <w:r w:rsidRPr="00115CF1">
        <w:rPr>
          <w:rFonts w:ascii="Times New Roman" w:hAnsi="Times New Roman" w:cs="Times New Roman"/>
          <w:sz w:val="24"/>
          <w:szCs w:val="24"/>
        </w:rPr>
        <w:t xml:space="preserve">stabilności i wydajności </w:t>
      </w:r>
      <w:r>
        <w:rPr>
          <w:rFonts w:ascii="Times New Roman" w:hAnsi="Times New Roman" w:cs="Times New Roman"/>
          <w:sz w:val="24"/>
          <w:szCs w:val="24"/>
        </w:rPr>
        <w:t>źródeł dochodów oraz m</w:t>
      </w:r>
      <w:r w:rsidRPr="00115CF1">
        <w:rPr>
          <w:rFonts w:ascii="Times New Roman" w:hAnsi="Times New Roman" w:cs="Times New Roman"/>
          <w:sz w:val="24"/>
          <w:szCs w:val="24"/>
        </w:rPr>
        <w:t xml:space="preserve">ożliwości realnego wpływu władz </w:t>
      </w:r>
      <w:r w:rsidRPr="00115CF1">
        <w:rPr>
          <w:rFonts w:ascii="Times New Roman" w:hAnsi="Times New Roman" w:cs="Times New Roman"/>
          <w:sz w:val="24"/>
          <w:szCs w:val="24"/>
        </w:rPr>
        <w:lastRenderedPageBreak/>
        <w:t>samorządowych na kształtowanie tych źródeł</w:t>
      </w:r>
      <w:r w:rsidR="002F7799">
        <w:rPr>
          <w:rFonts w:ascii="Times New Roman" w:hAnsi="Times New Roman" w:cs="Times New Roman"/>
          <w:sz w:val="24"/>
          <w:szCs w:val="24"/>
        </w:rPr>
        <w:t xml:space="preserve"> [</w:t>
      </w:r>
      <w:r w:rsidR="002F7799" w:rsidRPr="002F7799">
        <w:rPr>
          <w:rFonts w:ascii="Times New Roman" w:hAnsi="Times New Roman" w:cs="Times New Roman"/>
          <w:sz w:val="24"/>
          <w:szCs w:val="24"/>
        </w:rPr>
        <w:t xml:space="preserve">Hausner </w:t>
      </w:r>
      <w:r w:rsidR="002F7799">
        <w:rPr>
          <w:rFonts w:ascii="Times New Roman" w:hAnsi="Times New Roman" w:cs="Times New Roman"/>
          <w:sz w:val="24"/>
          <w:szCs w:val="24"/>
        </w:rPr>
        <w:t>2013, s. 43, 89]</w:t>
      </w:r>
      <w:r w:rsidRPr="00013B69">
        <w:rPr>
          <w:rFonts w:ascii="Times New Roman" w:hAnsi="Times New Roman" w:cs="Times New Roman"/>
          <w:sz w:val="24"/>
          <w:szCs w:val="24"/>
        </w:rPr>
        <w:t xml:space="preserve">. </w:t>
      </w:r>
      <w:r w:rsidR="000120CF" w:rsidRPr="00013B69">
        <w:rPr>
          <w:rFonts w:ascii="Times New Roman" w:hAnsi="Times New Roman" w:cs="Times New Roman"/>
          <w:sz w:val="24"/>
          <w:szCs w:val="24"/>
        </w:rPr>
        <w:t xml:space="preserve">Pierwszy z </w:t>
      </w:r>
      <w:r w:rsidR="000120CF" w:rsidRPr="00702C35">
        <w:rPr>
          <w:rFonts w:ascii="Times New Roman" w:hAnsi="Times New Roman" w:cs="Times New Roman"/>
          <w:sz w:val="24"/>
          <w:szCs w:val="24"/>
        </w:rPr>
        <w:t>wymienionych elementów wiąże się z</w:t>
      </w:r>
      <w:r w:rsidR="00013B69" w:rsidRPr="00702C35">
        <w:rPr>
          <w:rFonts w:ascii="Times New Roman" w:hAnsi="Times New Roman" w:cs="Times New Roman"/>
          <w:sz w:val="24"/>
          <w:szCs w:val="24"/>
        </w:rPr>
        <w:t xml:space="preserve">e </w:t>
      </w:r>
      <w:r w:rsidR="000120CF" w:rsidRPr="00702C35">
        <w:rPr>
          <w:rFonts w:ascii="Times New Roman" w:hAnsi="Times New Roman" w:cs="Times New Roman"/>
          <w:sz w:val="24"/>
          <w:szCs w:val="24"/>
        </w:rPr>
        <w:t>stabilności</w:t>
      </w:r>
      <w:r w:rsidR="00013B69" w:rsidRPr="00702C35">
        <w:rPr>
          <w:rFonts w:ascii="Times New Roman" w:hAnsi="Times New Roman" w:cs="Times New Roman"/>
          <w:sz w:val="24"/>
          <w:szCs w:val="24"/>
        </w:rPr>
        <w:t>ą</w:t>
      </w:r>
      <w:r w:rsidR="000120CF" w:rsidRPr="00702C35">
        <w:rPr>
          <w:rFonts w:ascii="Times New Roman" w:hAnsi="Times New Roman" w:cs="Times New Roman"/>
          <w:sz w:val="24"/>
          <w:szCs w:val="24"/>
        </w:rPr>
        <w:t xml:space="preserve"> fiskaln</w:t>
      </w:r>
      <w:r w:rsidR="00013B69" w:rsidRPr="00702C35">
        <w:rPr>
          <w:rFonts w:ascii="Times New Roman" w:hAnsi="Times New Roman" w:cs="Times New Roman"/>
          <w:sz w:val="24"/>
          <w:szCs w:val="24"/>
        </w:rPr>
        <w:t>ą</w:t>
      </w:r>
      <w:r w:rsidR="000120CF" w:rsidRPr="00702C35">
        <w:rPr>
          <w:rFonts w:ascii="Times New Roman" w:hAnsi="Times New Roman" w:cs="Times New Roman"/>
          <w:sz w:val="24"/>
          <w:szCs w:val="24"/>
        </w:rPr>
        <w:t xml:space="preserve"> samorządu terytorialnego [Wójtowicz</w:t>
      </w:r>
      <w:r w:rsidR="00BA3394">
        <w:rPr>
          <w:rFonts w:ascii="Times New Roman" w:hAnsi="Times New Roman" w:cs="Times New Roman"/>
          <w:sz w:val="24"/>
          <w:szCs w:val="24"/>
        </w:rPr>
        <w:t>,</w:t>
      </w:r>
      <w:r w:rsidR="000120CF" w:rsidRPr="00702C35">
        <w:rPr>
          <w:rFonts w:ascii="Times New Roman" w:hAnsi="Times New Roman" w:cs="Times New Roman"/>
          <w:sz w:val="24"/>
          <w:szCs w:val="24"/>
        </w:rPr>
        <w:t xml:space="preserve"> 2014, s. 138-139].</w:t>
      </w:r>
      <w:r w:rsidR="000120CF" w:rsidRPr="00702C35">
        <w:t xml:space="preserve"> </w:t>
      </w:r>
      <w:r w:rsidR="00702C35" w:rsidRPr="00702C35">
        <w:rPr>
          <w:rFonts w:ascii="Times New Roman" w:hAnsi="Times New Roman" w:cs="Times New Roman"/>
          <w:sz w:val="24"/>
          <w:szCs w:val="24"/>
        </w:rPr>
        <w:t>D</w:t>
      </w:r>
      <w:r w:rsidR="000120CF" w:rsidRPr="00702C35">
        <w:rPr>
          <w:rFonts w:ascii="Times New Roman" w:hAnsi="Times New Roman" w:cs="Times New Roman"/>
          <w:sz w:val="24"/>
          <w:szCs w:val="24"/>
        </w:rPr>
        <w:t>rugi</w:t>
      </w:r>
      <w:r w:rsidR="00C618BE">
        <w:rPr>
          <w:rFonts w:ascii="Times New Roman" w:hAnsi="Times New Roman" w:cs="Times New Roman"/>
          <w:sz w:val="24"/>
          <w:szCs w:val="24"/>
        </w:rPr>
        <w:t xml:space="preserve"> zaś</w:t>
      </w:r>
      <w:r w:rsidR="000120CF" w:rsidRPr="00702C35">
        <w:rPr>
          <w:rFonts w:ascii="Times New Roman" w:hAnsi="Times New Roman" w:cs="Times New Roman"/>
          <w:sz w:val="24"/>
          <w:szCs w:val="24"/>
        </w:rPr>
        <w:t xml:space="preserve">, wydaje się mieć kluczowe znaczenie przy definiowaniu dochodów własnych jako </w:t>
      </w:r>
      <w:r w:rsidR="000120CF" w:rsidRPr="003158E1">
        <w:rPr>
          <w:rFonts w:ascii="Times New Roman" w:hAnsi="Times New Roman" w:cs="Times New Roman"/>
          <w:sz w:val="24"/>
          <w:szCs w:val="24"/>
        </w:rPr>
        <w:t xml:space="preserve">strategicznej kategorii dochodów budżetowych w kontekście autonomii </w:t>
      </w:r>
      <w:r w:rsidR="00C416B0" w:rsidRPr="003158E1">
        <w:rPr>
          <w:rFonts w:ascii="Times New Roman" w:hAnsi="Times New Roman" w:cs="Times New Roman"/>
          <w:sz w:val="24"/>
          <w:szCs w:val="24"/>
        </w:rPr>
        <w:t>dochodowej</w:t>
      </w:r>
      <w:r w:rsidR="000120CF" w:rsidRPr="003158E1">
        <w:rPr>
          <w:rFonts w:ascii="Times New Roman" w:hAnsi="Times New Roman" w:cs="Times New Roman"/>
          <w:sz w:val="24"/>
          <w:szCs w:val="24"/>
        </w:rPr>
        <w:t xml:space="preserve"> [Poniatowicz</w:t>
      </w:r>
      <w:r w:rsidR="00BA3394" w:rsidRPr="003158E1">
        <w:rPr>
          <w:rFonts w:ascii="Times New Roman" w:hAnsi="Times New Roman" w:cs="Times New Roman"/>
          <w:sz w:val="24"/>
          <w:szCs w:val="24"/>
        </w:rPr>
        <w:t>,</w:t>
      </w:r>
      <w:r w:rsidR="000120CF" w:rsidRPr="003158E1">
        <w:rPr>
          <w:rFonts w:ascii="Times New Roman" w:hAnsi="Times New Roman" w:cs="Times New Roman"/>
          <w:sz w:val="24"/>
          <w:szCs w:val="24"/>
        </w:rPr>
        <w:t xml:space="preserve"> 2015, s. 298].</w:t>
      </w:r>
    </w:p>
    <w:p w14:paraId="486108A9" w14:textId="77777777" w:rsidR="002F3F7B" w:rsidRPr="00115CF1" w:rsidRDefault="003835ED" w:rsidP="00115CF1">
      <w:pPr>
        <w:spacing w:after="0" w:line="360" w:lineRule="auto"/>
        <w:ind w:firstLine="284"/>
        <w:jc w:val="both"/>
        <w:rPr>
          <w:rFonts w:ascii="Times New Roman" w:hAnsi="Times New Roman" w:cs="Times New Roman"/>
          <w:sz w:val="24"/>
          <w:szCs w:val="24"/>
        </w:rPr>
      </w:pPr>
      <w:r w:rsidRPr="003158E1">
        <w:rPr>
          <w:rFonts w:ascii="Times New Roman" w:hAnsi="Times New Roman" w:cs="Times New Roman"/>
          <w:sz w:val="24"/>
          <w:szCs w:val="24"/>
        </w:rPr>
        <w:t>W</w:t>
      </w:r>
      <w:r w:rsidR="002F3F7B" w:rsidRPr="003158E1">
        <w:rPr>
          <w:rFonts w:ascii="Times New Roman" w:hAnsi="Times New Roman" w:cs="Times New Roman"/>
          <w:sz w:val="24"/>
          <w:szCs w:val="24"/>
        </w:rPr>
        <w:t xml:space="preserve">śród elementów </w:t>
      </w:r>
      <w:r w:rsidR="007710D0" w:rsidRPr="003158E1">
        <w:rPr>
          <w:rFonts w:ascii="Times New Roman" w:hAnsi="Times New Roman" w:cs="Times New Roman"/>
          <w:sz w:val="24"/>
          <w:szCs w:val="24"/>
        </w:rPr>
        <w:t>przesądzających</w:t>
      </w:r>
      <w:r w:rsidR="002F3F7B" w:rsidRPr="003158E1">
        <w:rPr>
          <w:rFonts w:ascii="Times New Roman" w:hAnsi="Times New Roman" w:cs="Times New Roman"/>
          <w:sz w:val="24"/>
          <w:szCs w:val="24"/>
        </w:rPr>
        <w:t xml:space="preserve"> o samodzielności dochodowej </w:t>
      </w:r>
      <w:r w:rsidR="00253C7A">
        <w:rPr>
          <w:rFonts w:ascii="Times New Roman" w:hAnsi="Times New Roman" w:cs="Times New Roman"/>
          <w:sz w:val="24"/>
          <w:szCs w:val="24"/>
        </w:rPr>
        <w:t>należy wymienić</w:t>
      </w:r>
      <w:r>
        <w:rPr>
          <w:rFonts w:ascii="Times New Roman" w:hAnsi="Times New Roman" w:cs="Times New Roman"/>
          <w:sz w:val="24"/>
          <w:szCs w:val="24"/>
        </w:rPr>
        <w:t xml:space="preserve"> </w:t>
      </w:r>
      <w:r w:rsidR="00253C7A">
        <w:rPr>
          <w:rFonts w:ascii="Times New Roman" w:hAnsi="Times New Roman" w:cs="Times New Roman"/>
          <w:sz w:val="24"/>
          <w:szCs w:val="24"/>
        </w:rPr>
        <w:t xml:space="preserve">zakres </w:t>
      </w:r>
      <w:r w:rsidRPr="00115CF1">
        <w:rPr>
          <w:rFonts w:ascii="Times New Roman" w:hAnsi="Times New Roman" w:cs="Times New Roman"/>
          <w:sz w:val="24"/>
          <w:szCs w:val="24"/>
        </w:rPr>
        <w:t>wyposażenia we własne</w:t>
      </w:r>
      <w:r w:rsidR="002C75B1">
        <w:rPr>
          <w:rFonts w:ascii="Times New Roman" w:hAnsi="Times New Roman" w:cs="Times New Roman"/>
          <w:sz w:val="24"/>
          <w:szCs w:val="24"/>
        </w:rPr>
        <w:t>,</w:t>
      </w:r>
      <w:r w:rsidRPr="00115CF1">
        <w:rPr>
          <w:rFonts w:ascii="Times New Roman" w:hAnsi="Times New Roman" w:cs="Times New Roman"/>
          <w:sz w:val="24"/>
          <w:szCs w:val="24"/>
        </w:rPr>
        <w:t xml:space="preserve"> przypisane bezterminowo źródła dochodów</w:t>
      </w:r>
      <w:r>
        <w:rPr>
          <w:rFonts w:ascii="Times New Roman" w:hAnsi="Times New Roman" w:cs="Times New Roman"/>
          <w:sz w:val="24"/>
          <w:szCs w:val="24"/>
        </w:rPr>
        <w:t xml:space="preserve">, </w:t>
      </w:r>
      <w:r w:rsidRPr="00115CF1">
        <w:rPr>
          <w:rFonts w:ascii="Times New Roman" w:hAnsi="Times New Roman" w:cs="Times New Roman"/>
          <w:sz w:val="24"/>
          <w:szCs w:val="24"/>
        </w:rPr>
        <w:t>posiadani</w:t>
      </w:r>
      <w:r w:rsidR="00253C7A">
        <w:rPr>
          <w:rFonts w:ascii="Times New Roman" w:hAnsi="Times New Roman" w:cs="Times New Roman"/>
          <w:sz w:val="24"/>
          <w:szCs w:val="24"/>
        </w:rPr>
        <w:t>e</w:t>
      </w:r>
      <w:r w:rsidRPr="00115CF1">
        <w:rPr>
          <w:rFonts w:ascii="Times New Roman" w:hAnsi="Times New Roman" w:cs="Times New Roman"/>
          <w:sz w:val="24"/>
          <w:szCs w:val="24"/>
        </w:rPr>
        <w:t xml:space="preserve"> prawnie gwarantowanego dostępu do rynk</w:t>
      </w:r>
      <w:r w:rsidR="002C75B1">
        <w:rPr>
          <w:rFonts w:ascii="Times New Roman" w:hAnsi="Times New Roman" w:cs="Times New Roman"/>
          <w:sz w:val="24"/>
          <w:szCs w:val="24"/>
        </w:rPr>
        <w:t>u</w:t>
      </w:r>
      <w:r w:rsidRPr="00115CF1">
        <w:rPr>
          <w:rFonts w:ascii="Times New Roman" w:hAnsi="Times New Roman" w:cs="Times New Roman"/>
          <w:sz w:val="24"/>
          <w:szCs w:val="24"/>
        </w:rPr>
        <w:t xml:space="preserve"> </w:t>
      </w:r>
      <w:r w:rsidR="002C75B1">
        <w:rPr>
          <w:rFonts w:ascii="Times New Roman" w:hAnsi="Times New Roman" w:cs="Times New Roman"/>
          <w:sz w:val="24"/>
          <w:szCs w:val="24"/>
        </w:rPr>
        <w:t>kapitałowego</w:t>
      </w:r>
      <w:r>
        <w:rPr>
          <w:rFonts w:ascii="Times New Roman" w:hAnsi="Times New Roman" w:cs="Times New Roman"/>
          <w:sz w:val="24"/>
          <w:szCs w:val="24"/>
        </w:rPr>
        <w:t xml:space="preserve"> oraz </w:t>
      </w:r>
      <w:r w:rsidR="00E35A56">
        <w:rPr>
          <w:rFonts w:ascii="Times New Roman" w:hAnsi="Times New Roman" w:cs="Times New Roman"/>
          <w:sz w:val="24"/>
          <w:szCs w:val="24"/>
        </w:rPr>
        <w:t xml:space="preserve">szeroki </w:t>
      </w:r>
      <w:r>
        <w:rPr>
          <w:rFonts w:ascii="Times New Roman" w:hAnsi="Times New Roman" w:cs="Times New Roman"/>
          <w:sz w:val="24"/>
          <w:szCs w:val="24"/>
        </w:rPr>
        <w:t xml:space="preserve">zakres </w:t>
      </w:r>
      <w:r w:rsidRPr="00115CF1">
        <w:rPr>
          <w:rFonts w:ascii="Times New Roman" w:hAnsi="Times New Roman" w:cs="Times New Roman"/>
          <w:sz w:val="24"/>
          <w:szCs w:val="24"/>
        </w:rPr>
        <w:t>władztwa podatkowego</w:t>
      </w:r>
      <w:r>
        <w:rPr>
          <w:rFonts w:ascii="Times New Roman" w:hAnsi="Times New Roman" w:cs="Times New Roman"/>
          <w:sz w:val="24"/>
          <w:szCs w:val="24"/>
        </w:rPr>
        <w:t xml:space="preserve"> [</w:t>
      </w:r>
      <w:r w:rsidR="00CD79E2" w:rsidRPr="00CD79E2">
        <w:rPr>
          <w:rStyle w:val="Odwoanieprzypisudolnego"/>
          <w:rFonts w:ascii="Times New Roman" w:hAnsi="Times New Roman" w:cs="Times New Roman"/>
          <w:sz w:val="24"/>
          <w:szCs w:val="24"/>
          <w:vertAlign w:val="baseline"/>
        </w:rPr>
        <w:t>Brzozowska, Kogut-Jaworska</w:t>
      </w:r>
      <w:r w:rsidR="00BA3394">
        <w:rPr>
          <w:rFonts w:ascii="Times New Roman" w:hAnsi="Times New Roman" w:cs="Times New Roman"/>
          <w:sz w:val="24"/>
          <w:szCs w:val="24"/>
        </w:rPr>
        <w:t>,</w:t>
      </w:r>
      <w:r w:rsidR="00CD79E2">
        <w:rPr>
          <w:rFonts w:ascii="Times New Roman" w:hAnsi="Times New Roman" w:cs="Times New Roman"/>
          <w:sz w:val="24"/>
          <w:szCs w:val="24"/>
        </w:rPr>
        <w:t xml:space="preserve"> 2016, s. 328; </w:t>
      </w:r>
      <w:r w:rsidR="00CD79E2" w:rsidRPr="00CD79E2">
        <w:rPr>
          <w:rFonts w:ascii="Times New Roman" w:hAnsi="Times New Roman" w:cs="Times New Roman"/>
          <w:sz w:val="24"/>
          <w:szCs w:val="24"/>
        </w:rPr>
        <w:t>Sawicka</w:t>
      </w:r>
      <w:r w:rsidR="00BA3394">
        <w:rPr>
          <w:rFonts w:ascii="Times New Roman" w:hAnsi="Times New Roman" w:cs="Times New Roman"/>
          <w:sz w:val="24"/>
          <w:szCs w:val="24"/>
        </w:rPr>
        <w:t>,</w:t>
      </w:r>
      <w:r w:rsidR="00CD79E2">
        <w:rPr>
          <w:rFonts w:ascii="Times New Roman" w:hAnsi="Times New Roman" w:cs="Times New Roman"/>
          <w:sz w:val="24"/>
          <w:szCs w:val="24"/>
        </w:rPr>
        <w:t xml:space="preserve"> 2012</w:t>
      </w:r>
      <w:r w:rsidR="00CD79E2" w:rsidRPr="00CD79E2">
        <w:rPr>
          <w:rStyle w:val="Odwoanieprzypisudolnego"/>
          <w:rFonts w:ascii="Times New Roman" w:hAnsi="Times New Roman" w:cs="Times New Roman"/>
          <w:sz w:val="24"/>
          <w:szCs w:val="24"/>
          <w:vertAlign w:val="baseline"/>
        </w:rPr>
        <w:t>,</w:t>
      </w:r>
      <w:r w:rsidR="00CD79E2">
        <w:rPr>
          <w:rStyle w:val="Odwoanieprzypisudolnego"/>
          <w:rFonts w:ascii="Times New Roman" w:hAnsi="Times New Roman" w:cs="Times New Roman"/>
          <w:sz w:val="24"/>
          <w:szCs w:val="24"/>
          <w:vertAlign w:val="baseline"/>
        </w:rPr>
        <w:t xml:space="preserve"> s.375</w:t>
      </w:r>
      <w:r w:rsidR="00E35A56">
        <w:rPr>
          <w:rFonts w:ascii="Times New Roman" w:hAnsi="Times New Roman" w:cs="Times New Roman"/>
          <w:sz w:val="24"/>
          <w:szCs w:val="24"/>
        </w:rPr>
        <w:t xml:space="preserve">; </w:t>
      </w:r>
      <w:r w:rsidR="002F5777" w:rsidRPr="002F5777">
        <w:rPr>
          <w:rFonts w:ascii="Times New Roman" w:hAnsi="Times New Roman" w:cs="Times New Roman"/>
          <w:sz w:val="24"/>
          <w:szCs w:val="24"/>
        </w:rPr>
        <w:t xml:space="preserve"> Ahmad, Craig</w:t>
      </w:r>
      <w:r w:rsidR="00BA3394">
        <w:rPr>
          <w:rFonts w:ascii="Times New Roman" w:hAnsi="Times New Roman" w:cs="Times New Roman"/>
          <w:sz w:val="24"/>
          <w:szCs w:val="24"/>
        </w:rPr>
        <w:t>,</w:t>
      </w:r>
      <w:r w:rsidR="002F5777">
        <w:rPr>
          <w:rFonts w:ascii="Times New Roman" w:hAnsi="Times New Roman" w:cs="Times New Roman"/>
          <w:sz w:val="24"/>
          <w:szCs w:val="24"/>
        </w:rPr>
        <w:t xml:space="preserve"> 1997, s. 3-107</w:t>
      </w:r>
      <w:r w:rsidR="00CD79E2">
        <w:rPr>
          <w:rStyle w:val="Odwoanieprzypisudolnego"/>
          <w:rFonts w:ascii="Times New Roman" w:hAnsi="Times New Roman" w:cs="Times New Roman"/>
          <w:sz w:val="24"/>
          <w:szCs w:val="24"/>
          <w:vertAlign w:val="baseline"/>
        </w:rPr>
        <w:t>]</w:t>
      </w:r>
      <w:r w:rsidR="00CD79E2">
        <w:t>.</w:t>
      </w:r>
    </w:p>
    <w:p w14:paraId="4D961CBA" w14:textId="77777777" w:rsidR="00115CF1" w:rsidRPr="00BA1691" w:rsidRDefault="00115CF1" w:rsidP="00253C7A">
      <w:pPr>
        <w:spacing w:after="0" w:line="360" w:lineRule="auto"/>
        <w:ind w:firstLine="284"/>
        <w:jc w:val="both"/>
        <w:rPr>
          <w:rFonts w:ascii="Times New Roman" w:hAnsi="Times New Roman" w:cs="Times New Roman"/>
          <w:sz w:val="24"/>
          <w:szCs w:val="24"/>
        </w:rPr>
      </w:pPr>
      <w:r w:rsidRPr="00115CF1">
        <w:rPr>
          <w:rFonts w:ascii="Times New Roman" w:hAnsi="Times New Roman" w:cs="Times New Roman"/>
          <w:sz w:val="24"/>
          <w:szCs w:val="24"/>
        </w:rPr>
        <w:t xml:space="preserve">Przyjęcie definicji samodzielności </w:t>
      </w:r>
      <w:r w:rsidR="00052C5F">
        <w:rPr>
          <w:rFonts w:ascii="Times New Roman" w:hAnsi="Times New Roman" w:cs="Times New Roman"/>
          <w:sz w:val="24"/>
          <w:szCs w:val="24"/>
        </w:rPr>
        <w:t>dochodowej</w:t>
      </w:r>
      <w:r w:rsidRPr="00115CF1">
        <w:rPr>
          <w:rFonts w:ascii="Times New Roman" w:hAnsi="Times New Roman" w:cs="Times New Roman"/>
          <w:sz w:val="24"/>
          <w:szCs w:val="24"/>
        </w:rPr>
        <w:t xml:space="preserve"> w dosłownym znaczeniu wymagałoby przyznania władzom </w:t>
      </w:r>
      <w:r w:rsidR="005C2C9A">
        <w:rPr>
          <w:rFonts w:ascii="Times New Roman" w:hAnsi="Times New Roman" w:cs="Times New Roman"/>
          <w:sz w:val="24"/>
          <w:szCs w:val="24"/>
        </w:rPr>
        <w:t>samorządowym</w:t>
      </w:r>
      <w:r w:rsidRPr="00115CF1">
        <w:rPr>
          <w:rFonts w:ascii="Times New Roman" w:hAnsi="Times New Roman" w:cs="Times New Roman"/>
          <w:sz w:val="24"/>
          <w:szCs w:val="24"/>
        </w:rPr>
        <w:t xml:space="preserve"> </w:t>
      </w:r>
      <w:r w:rsidR="002C75B1">
        <w:rPr>
          <w:rFonts w:ascii="Times New Roman" w:hAnsi="Times New Roman" w:cs="Times New Roman"/>
          <w:sz w:val="24"/>
          <w:szCs w:val="24"/>
        </w:rPr>
        <w:t xml:space="preserve">prawa do </w:t>
      </w:r>
      <w:r w:rsidRPr="00115CF1">
        <w:rPr>
          <w:rFonts w:ascii="Times New Roman" w:hAnsi="Times New Roman" w:cs="Times New Roman"/>
          <w:sz w:val="24"/>
          <w:szCs w:val="24"/>
        </w:rPr>
        <w:t>pełnego decydowania o dochodach. W praktyce jest to niemożliwe</w:t>
      </w:r>
      <w:r w:rsidR="00C618BE">
        <w:rPr>
          <w:rFonts w:ascii="Times New Roman" w:hAnsi="Times New Roman" w:cs="Times New Roman"/>
          <w:sz w:val="24"/>
          <w:szCs w:val="24"/>
        </w:rPr>
        <w:t>.</w:t>
      </w:r>
      <w:r w:rsidRPr="00115CF1">
        <w:rPr>
          <w:rFonts w:ascii="Times New Roman" w:hAnsi="Times New Roman" w:cs="Times New Roman"/>
          <w:sz w:val="24"/>
          <w:szCs w:val="24"/>
        </w:rPr>
        <w:t xml:space="preserve"> </w:t>
      </w:r>
      <w:r w:rsidR="000D252C">
        <w:rPr>
          <w:rFonts w:ascii="Times New Roman" w:hAnsi="Times New Roman" w:cs="Times New Roman"/>
          <w:sz w:val="24"/>
          <w:szCs w:val="24"/>
        </w:rPr>
        <w:t>Stopień</w:t>
      </w:r>
      <w:r w:rsidRPr="00115CF1">
        <w:rPr>
          <w:rFonts w:ascii="Times New Roman" w:hAnsi="Times New Roman" w:cs="Times New Roman"/>
          <w:sz w:val="24"/>
          <w:szCs w:val="24"/>
        </w:rPr>
        <w:t xml:space="preserve"> </w:t>
      </w:r>
      <w:r w:rsidR="00052C5F" w:rsidRPr="00115CF1">
        <w:rPr>
          <w:rFonts w:ascii="Times New Roman" w:hAnsi="Times New Roman" w:cs="Times New Roman"/>
          <w:sz w:val="24"/>
          <w:szCs w:val="24"/>
        </w:rPr>
        <w:t>samodzielności</w:t>
      </w:r>
      <w:r w:rsidRPr="00115CF1">
        <w:rPr>
          <w:rFonts w:ascii="Times New Roman" w:hAnsi="Times New Roman" w:cs="Times New Roman"/>
          <w:sz w:val="24"/>
          <w:szCs w:val="24"/>
        </w:rPr>
        <w:t xml:space="preserve"> </w:t>
      </w:r>
      <w:r w:rsidR="00174425">
        <w:rPr>
          <w:rFonts w:ascii="Times New Roman" w:hAnsi="Times New Roman" w:cs="Times New Roman"/>
          <w:sz w:val="24"/>
          <w:szCs w:val="24"/>
        </w:rPr>
        <w:t xml:space="preserve">dochodowej </w:t>
      </w:r>
      <w:r w:rsidRPr="00115CF1">
        <w:rPr>
          <w:rFonts w:ascii="Times New Roman" w:hAnsi="Times New Roman" w:cs="Times New Roman"/>
          <w:sz w:val="24"/>
          <w:szCs w:val="24"/>
        </w:rPr>
        <w:t xml:space="preserve">jest pochodną </w:t>
      </w:r>
      <w:r w:rsidR="000D252C">
        <w:rPr>
          <w:rFonts w:ascii="Times New Roman" w:hAnsi="Times New Roman" w:cs="Times New Roman"/>
          <w:sz w:val="24"/>
          <w:szCs w:val="24"/>
        </w:rPr>
        <w:t xml:space="preserve">przyjętych rozwiązań w zakresie organizacji państwa, poziomu </w:t>
      </w:r>
      <w:r w:rsidRPr="00115CF1">
        <w:rPr>
          <w:rFonts w:ascii="Times New Roman" w:hAnsi="Times New Roman" w:cs="Times New Roman"/>
          <w:sz w:val="24"/>
          <w:szCs w:val="24"/>
        </w:rPr>
        <w:t xml:space="preserve">decentralizacji </w:t>
      </w:r>
      <w:r w:rsidR="000D252C">
        <w:rPr>
          <w:rFonts w:ascii="Times New Roman" w:hAnsi="Times New Roman" w:cs="Times New Roman"/>
          <w:sz w:val="24"/>
          <w:szCs w:val="24"/>
        </w:rPr>
        <w:t>zadań, ilości, rodzaju i wydajności źródeł dochodów przyznanych JST w połączeniu z przestrzennym rozmieszczeniem bazy podatkowej oraz zakresu władztwa podatkowego</w:t>
      </w:r>
      <w:r w:rsidR="00652FEC">
        <w:rPr>
          <w:rFonts w:ascii="Times New Roman" w:hAnsi="Times New Roman" w:cs="Times New Roman"/>
          <w:sz w:val="24"/>
          <w:szCs w:val="24"/>
        </w:rPr>
        <w:t xml:space="preserve"> </w:t>
      </w:r>
      <w:r w:rsidR="00052C5F">
        <w:rPr>
          <w:rFonts w:ascii="Times New Roman" w:hAnsi="Times New Roman" w:cs="Times New Roman"/>
          <w:sz w:val="24"/>
          <w:szCs w:val="24"/>
        </w:rPr>
        <w:t>[</w:t>
      </w:r>
      <w:r w:rsidR="00052C5F" w:rsidRPr="00052C5F">
        <w:rPr>
          <w:rFonts w:ascii="Times New Roman" w:hAnsi="Times New Roman" w:cs="Times New Roman"/>
          <w:sz w:val="24"/>
          <w:szCs w:val="24"/>
        </w:rPr>
        <w:t>Kornberger-Sokołowska</w:t>
      </w:r>
      <w:r w:rsidR="00BA3394">
        <w:rPr>
          <w:rFonts w:ascii="Times New Roman" w:hAnsi="Times New Roman" w:cs="Times New Roman"/>
          <w:sz w:val="24"/>
          <w:szCs w:val="24"/>
        </w:rPr>
        <w:t>,</w:t>
      </w:r>
      <w:r w:rsidR="00052C5F">
        <w:rPr>
          <w:rFonts w:ascii="Times New Roman" w:hAnsi="Times New Roman" w:cs="Times New Roman"/>
          <w:sz w:val="24"/>
          <w:szCs w:val="24"/>
        </w:rPr>
        <w:t xml:space="preserve"> 2012, s. 18-19]</w:t>
      </w:r>
      <w:r w:rsidRPr="00115CF1">
        <w:rPr>
          <w:rFonts w:ascii="Times New Roman" w:hAnsi="Times New Roman" w:cs="Times New Roman"/>
          <w:sz w:val="24"/>
          <w:szCs w:val="24"/>
        </w:rPr>
        <w:t>.</w:t>
      </w:r>
      <w:r w:rsidR="00D6521D">
        <w:rPr>
          <w:rFonts w:ascii="Times New Roman" w:hAnsi="Times New Roman" w:cs="Times New Roman"/>
          <w:sz w:val="24"/>
          <w:szCs w:val="24"/>
        </w:rPr>
        <w:t xml:space="preserve"> </w:t>
      </w:r>
      <w:r w:rsidR="00652FEC">
        <w:rPr>
          <w:rFonts w:ascii="Times New Roman" w:hAnsi="Times New Roman" w:cs="Times New Roman"/>
          <w:sz w:val="24"/>
          <w:szCs w:val="24"/>
        </w:rPr>
        <w:t>Zapewnienie wysokiego poziomu samodzielności dochodowej JST</w:t>
      </w:r>
      <w:r w:rsidR="00242D45">
        <w:rPr>
          <w:rFonts w:ascii="Times New Roman" w:hAnsi="Times New Roman" w:cs="Times New Roman"/>
          <w:sz w:val="24"/>
          <w:szCs w:val="24"/>
        </w:rPr>
        <w:t xml:space="preserve"> </w:t>
      </w:r>
      <w:r w:rsidR="00652FEC">
        <w:rPr>
          <w:rFonts w:ascii="Times New Roman" w:hAnsi="Times New Roman" w:cs="Times New Roman"/>
          <w:sz w:val="24"/>
          <w:szCs w:val="24"/>
        </w:rPr>
        <w:t xml:space="preserve">wymaga od szczebla centralnego rezygnacji z części dochodów publicznych (separacji źródeł dochodów) oraz </w:t>
      </w:r>
      <w:r w:rsidR="00AD661B">
        <w:rPr>
          <w:rFonts w:ascii="Times New Roman" w:hAnsi="Times New Roman" w:cs="Times New Roman"/>
          <w:sz w:val="24"/>
          <w:szCs w:val="24"/>
        </w:rPr>
        <w:t>przeniesieni</w:t>
      </w:r>
      <w:r w:rsidR="005C2C9A">
        <w:rPr>
          <w:rFonts w:ascii="Times New Roman" w:hAnsi="Times New Roman" w:cs="Times New Roman"/>
          <w:sz w:val="24"/>
          <w:szCs w:val="24"/>
        </w:rPr>
        <w:t>a</w:t>
      </w:r>
      <w:r w:rsidR="00652FEC">
        <w:rPr>
          <w:rFonts w:ascii="Times New Roman" w:hAnsi="Times New Roman" w:cs="Times New Roman"/>
          <w:sz w:val="24"/>
          <w:szCs w:val="24"/>
        </w:rPr>
        <w:t xml:space="preserve"> na ich rzecz instrumentów oddziaływania na przekazane kategorie dochodów (władztwo podatkowe).</w:t>
      </w:r>
    </w:p>
    <w:p w14:paraId="12D8E38A" w14:textId="77777777" w:rsidR="00702C35" w:rsidRDefault="00702C35" w:rsidP="00764BBB">
      <w:pPr>
        <w:spacing w:after="0" w:line="360" w:lineRule="auto"/>
        <w:rPr>
          <w:rFonts w:ascii="Times New Roman" w:hAnsi="Times New Roman" w:cs="Times New Roman"/>
          <w:b/>
          <w:sz w:val="24"/>
          <w:szCs w:val="24"/>
        </w:rPr>
      </w:pPr>
    </w:p>
    <w:p w14:paraId="259DE20D" w14:textId="39D7195D" w:rsidR="00AE0C27" w:rsidRPr="00926568" w:rsidRDefault="005322ED" w:rsidP="007710D0">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2. </w:t>
      </w:r>
      <w:r w:rsidR="00AE0C27" w:rsidRPr="00926568">
        <w:rPr>
          <w:rFonts w:ascii="Times New Roman" w:hAnsi="Times New Roman" w:cs="Times New Roman"/>
          <w:b/>
          <w:sz w:val="24"/>
          <w:szCs w:val="24"/>
        </w:rPr>
        <w:t xml:space="preserve">Władztwo podatkowe jako </w:t>
      </w:r>
      <w:r w:rsidR="00C17DD3" w:rsidRPr="00926568">
        <w:rPr>
          <w:rFonts w:ascii="Times New Roman" w:hAnsi="Times New Roman" w:cs="Times New Roman"/>
          <w:b/>
          <w:sz w:val="24"/>
          <w:szCs w:val="24"/>
        </w:rPr>
        <w:t>główna</w:t>
      </w:r>
      <w:r w:rsidR="00AE0C27" w:rsidRPr="00926568">
        <w:rPr>
          <w:rFonts w:ascii="Times New Roman" w:hAnsi="Times New Roman" w:cs="Times New Roman"/>
          <w:b/>
          <w:sz w:val="24"/>
          <w:szCs w:val="24"/>
        </w:rPr>
        <w:t xml:space="preserve"> determinanta samodzielności </w:t>
      </w:r>
      <w:r w:rsidR="00C17DD3" w:rsidRPr="00926568">
        <w:rPr>
          <w:rFonts w:ascii="Times New Roman" w:hAnsi="Times New Roman" w:cs="Times New Roman"/>
          <w:b/>
          <w:sz w:val="24"/>
          <w:szCs w:val="24"/>
        </w:rPr>
        <w:t>dochodowej</w:t>
      </w:r>
    </w:p>
    <w:p w14:paraId="34F5DA0D" w14:textId="77777777" w:rsidR="001C61D2" w:rsidRDefault="00C416B0" w:rsidP="00E43075">
      <w:pPr>
        <w:spacing w:after="0" w:line="360" w:lineRule="auto"/>
        <w:ind w:firstLine="284"/>
        <w:jc w:val="both"/>
        <w:rPr>
          <w:rFonts w:ascii="Times New Roman" w:hAnsi="Times New Roman" w:cs="Times New Roman"/>
          <w:sz w:val="24"/>
          <w:szCs w:val="24"/>
        </w:rPr>
      </w:pPr>
      <w:r>
        <w:rPr>
          <w:rFonts w:ascii="Times New Roman" w:hAnsi="Times New Roman" w:cs="Times New Roman"/>
          <w:sz w:val="24"/>
          <w:szCs w:val="24"/>
        </w:rPr>
        <w:t>Stopień samodzielności dochodowej uzależniony jest</w:t>
      </w:r>
      <w:r w:rsidR="00764BBB">
        <w:rPr>
          <w:rFonts w:ascii="Times New Roman" w:hAnsi="Times New Roman" w:cs="Times New Roman"/>
          <w:sz w:val="24"/>
          <w:szCs w:val="24"/>
        </w:rPr>
        <w:t xml:space="preserve"> </w:t>
      </w:r>
      <w:r>
        <w:rPr>
          <w:rFonts w:ascii="Times New Roman" w:hAnsi="Times New Roman" w:cs="Times New Roman"/>
          <w:sz w:val="24"/>
          <w:szCs w:val="24"/>
        </w:rPr>
        <w:t xml:space="preserve">głównie od </w:t>
      </w:r>
      <w:r w:rsidR="00764BBB">
        <w:rPr>
          <w:rFonts w:ascii="Times New Roman" w:hAnsi="Times New Roman" w:cs="Times New Roman"/>
          <w:sz w:val="24"/>
          <w:szCs w:val="24"/>
        </w:rPr>
        <w:t>zakres</w:t>
      </w:r>
      <w:r>
        <w:rPr>
          <w:rFonts w:ascii="Times New Roman" w:hAnsi="Times New Roman" w:cs="Times New Roman"/>
          <w:sz w:val="24"/>
          <w:szCs w:val="24"/>
        </w:rPr>
        <w:t>u</w:t>
      </w:r>
      <w:r w:rsidR="00764BBB">
        <w:rPr>
          <w:rFonts w:ascii="Times New Roman" w:hAnsi="Times New Roman" w:cs="Times New Roman"/>
          <w:sz w:val="24"/>
          <w:szCs w:val="24"/>
        </w:rPr>
        <w:t xml:space="preserve"> </w:t>
      </w:r>
      <w:r>
        <w:rPr>
          <w:rFonts w:ascii="Times New Roman" w:hAnsi="Times New Roman" w:cs="Times New Roman"/>
          <w:sz w:val="24"/>
          <w:szCs w:val="24"/>
        </w:rPr>
        <w:t>władztwa podatkowego przyznanego JST</w:t>
      </w:r>
      <w:r w:rsidR="00E62628">
        <w:rPr>
          <w:rFonts w:ascii="Times New Roman" w:hAnsi="Times New Roman" w:cs="Times New Roman"/>
          <w:sz w:val="24"/>
          <w:szCs w:val="24"/>
        </w:rPr>
        <w:t>.</w:t>
      </w:r>
      <w:r w:rsidR="001C61D2">
        <w:rPr>
          <w:rFonts w:ascii="Times New Roman" w:hAnsi="Times New Roman" w:cs="Times New Roman"/>
          <w:sz w:val="24"/>
          <w:szCs w:val="24"/>
        </w:rPr>
        <w:t xml:space="preserve"> </w:t>
      </w:r>
      <w:r w:rsidR="00C618BE">
        <w:rPr>
          <w:rFonts w:ascii="Times New Roman" w:hAnsi="Times New Roman" w:cs="Times New Roman"/>
          <w:sz w:val="24"/>
          <w:szCs w:val="24"/>
        </w:rPr>
        <w:t>M</w:t>
      </w:r>
      <w:r w:rsidR="001C61D2">
        <w:rPr>
          <w:rFonts w:ascii="Times New Roman" w:hAnsi="Times New Roman" w:cs="Times New Roman"/>
          <w:sz w:val="24"/>
          <w:szCs w:val="24"/>
        </w:rPr>
        <w:t xml:space="preserve">oże być </w:t>
      </w:r>
      <w:r w:rsidR="00C618BE">
        <w:rPr>
          <w:rFonts w:ascii="Times New Roman" w:hAnsi="Times New Roman" w:cs="Times New Roman"/>
          <w:sz w:val="24"/>
          <w:szCs w:val="24"/>
        </w:rPr>
        <w:t xml:space="preserve">ono </w:t>
      </w:r>
      <w:r w:rsidR="001C61D2">
        <w:rPr>
          <w:rFonts w:ascii="Times New Roman" w:hAnsi="Times New Roman" w:cs="Times New Roman"/>
          <w:sz w:val="24"/>
          <w:szCs w:val="24"/>
        </w:rPr>
        <w:t xml:space="preserve">rozumiane jako </w:t>
      </w:r>
      <w:r w:rsidR="00E43075" w:rsidRPr="00E43075">
        <w:rPr>
          <w:rFonts w:ascii="Times New Roman" w:hAnsi="Times New Roman" w:cs="Times New Roman"/>
          <w:sz w:val="24"/>
          <w:szCs w:val="24"/>
        </w:rPr>
        <w:t>uprawnieni</w:t>
      </w:r>
      <w:r w:rsidR="00C618BE">
        <w:rPr>
          <w:rFonts w:ascii="Times New Roman" w:hAnsi="Times New Roman" w:cs="Times New Roman"/>
          <w:sz w:val="24"/>
          <w:szCs w:val="24"/>
        </w:rPr>
        <w:t>e</w:t>
      </w:r>
      <w:r w:rsidR="00E43075">
        <w:rPr>
          <w:rFonts w:ascii="Times New Roman" w:hAnsi="Times New Roman" w:cs="Times New Roman"/>
          <w:sz w:val="24"/>
          <w:szCs w:val="24"/>
        </w:rPr>
        <w:t xml:space="preserve"> JST</w:t>
      </w:r>
      <w:r w:rsidR="00E43075" w:rsidRPr="00E43075">
        <w:rPr>
          <w:rFonts w:ascii="Times New Roman" w:hAnsi="Times New Roman" w:cs="Times New Roman"/>
          <w:sz w:val="24"/>
          <w:szCs w:val="24"/>
        </w:rPr>
        <w:t xml:space="preserve"> w zakresie kształtowania stawek podatków</w:t>
      </w:r>
      <w:r w:rsidR="00E43075">
        <w:rPr>
          <w:rFonts w:ascii="Times New Roman" w:hAnsi="Times New Roman" w:cs="Times New Roman"/>
          <w:sz w:val="24"/>
          <w:szCs w:val="24"/>
        </w:rPr>
        <w:t xml:space="preserve"> oraz wykorzystywania preferencji </w:t>
      </w:r>
      <w:r w:rsidR="00E43075" w:rsidRPr="00E43075">
        <w:rPr>
          <w:rFonts w:ascii="Times New Roman" w:hAnsi="Times New Roman" w:cs="Times New Roman"/>
          <w:sz w:val="24"/>
          <w:szCs w:val="24"/>
        </w:rPr>
        <w:t xml:space="preserve">podatkowych. </w:t>
      </w:r>
      <w:r w:rsidR="001C61D2">
        <w:rPr>
          <w:rFonts w:ascii="Times New Roman" w:hAnsi="Times New Roman" w:cs="Times New Roman"/>
          <w:sz w:val="24"/>
          <w:szCs w:val="24"/>
        </w:rPr>
        <w:t>Najczęściej władztwo to traktowane jest szerzej niż tylko w odniesieniu do źródeł podatkowych, także w zakresie kształtowania opłat za usługi komunalne</w:t>
      </w:r>
      <w:r w:rsidR="00303537">
        <w:rPr>
          <w:rFonts w:ascii="Times New Roman" w:hAnsi="Times New Roman" w:cs="Times New Roman"/>
          <w:sz w:val="24"/>
          <w:szCs w:val="24"/>
        </w:rPr>
        <w:t>.</w:t>
      </w:r>
    </w:p>
    <w:p w14:paraId="56BAE995" w14:textId="77777777" w:rsidR="005315C4" w:rsidRDefault="001C61D2" w:rsidP="00C51CD1">
      <w:pPr>
        <w:spacing w:after="0" w:line="36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Należy podkreślić, że w zasadzie w żadnym kraju </w:t>
      </w:r>
      <w:r w:rsidR="00917F0F">
        <w:rPr>
          <w:rFonts w:ascii="Times New Roman" w:hAnsi="Times New Roman" w:cs="Times New Roman"/>
          <w:sz w:val="24"/>
          <w:szCs w:val="24"/>
        </w:rPr>
        <w:t>JST</w:t>
      </w:r>
      <w:r w:rsidR="00AA5351">
        <w:rPr>
          <w:rFonts w:ascii="Times New Roman" w:hAnsi="Times New Roman" w:cs="Times New Roman"/>
          <w:sz w:val="24"/>
          <w:szCs w:val="24"/>
        </w:rPr>
        <w:t xml:space="preserve"> ni</w:t>
      </w:r>
      <w:r>
        <w:rPr>
          <w:rFonts w:ascii="Times New Roman" w:hAnsi="Times New Roman" w:cs="Times New Roman"/>
          <w:sz w:val="24"/>
          <w:szCs w:val="24"/>
        </w:rPr>
        <w:t xml:space="preserve">e </w:t>
      </w:r>
      <w:r w:rsidR="00AA5351">
        <w:rPr>
          <w:rFonts w:ascii="Times New Roman" w:hAnsi="Times New Roman" w:cs="Times New Roman"/>
          <w:sz w:val="24"/>
          <w:szCs w:val="24"/>
        </w:rPr>
        <w:t>dysponuj</w:t>
      </w:r>
      <w:r w:rsidR="00917F0F">
        <w:rPr>
          <w:rFonts w:ascii="Times New Roman" w:hAnsi="Times New Roman" w:cs="Times New Roman"/>
          <w:sz w:val="24"/>
          <w:szCs w:val="24"/>
        </w:rPr>
        <w:t>ą</w:t>
      </w:r>
      <w:r w:rsidR="00AA5351">
        <w:rPr>
          <w:rFonts w:ascii="Times New Roman" w:hAnsi="Times New Roman" w:cs="Times New Roman"/>
          <w:sz w:val="24"/>
          <w:szCs w:val="24"/>
        </w:rPr>
        <w:t xml:space="preserve"> pełnym</w:t>
      </w:r>
      <w:r>
        <w:rPr>
          <w:rFonts w:ascii="Times New Roman" w:hAnsi="Times New Roman" w:cs="Times New Roman"/>
          <w:sz w:val="24"/>
          <w:szCs w:val="24"/>
        </w:rPr>
        <w:t xml:space="preserve"> władztw</w:t>
      </w:r>
      <w:r w:rsidR="00AA5351">
        <w:rPr>
          <w:rFonts w:ascii="Times New Roman" w:hAnsi="Times New Roman" w:cs="Times New Roman"/>
          <w:sz w:val="24"/>
          <w:szCs w:val="24"/>
        </w:rPr>
        <w:t>em</w:t>
      </w:r>
      <w:r>
        <w:rPr>
          <w:rFonts w:ascii="Times New Roman" w:hAnsi="Times New Roman" w:cs="Times New Roman"/>
          <w:sz w:val="24"/>
          <w:szCs w:val="24"/>
        </w:rPr>
        <w:t xml:space="preserve"> podatkow</w:t>
      </w:r>
      <w:r w:rsidR="00AA5351">
        <w:rPr>
          <w:rFonts w:ascii="Times New Roman" w:hAnsi="Times New Roman" w:cs="Times New Roman"/>
          <w:sz w:val="24"/>
          <w:szCs w:val="24"/>
        </w:rPr>
        <w:t>ym</w:t>
      </w:r>
      <w:r>
        <w:rPr>
          <w:rFonts w:ascii="Times New Roman" w:hAnsi="Times New Roman" w:cs="Times New Roman"/>
          <w:sz w:val="24"/>
          <w:szCs w:val="24"/>
        </w:rPr>
        <w:t xml:space="preserve">. </w:t>
      </w:r>
      <w:r w:rsidR="00E43075">
        <w:rPr>
          <w:rFonts w:ascii="Times New Roman" w:hAnsi="Times New Roman" w:cs="Times New Roman"/>
          <w:sz w:val="24"/>
          <w:szCs w:val="24"/>
        </w:rPr>
        <w:t>W Polsce</w:t>
      </w:r>
      <w:r w:rsidR="00E43075" w:rsidRPr="00764BBB">
        <w:rPr>
          <w:rFonts w:ascii="Times New Roman" w:hAnsi="Times New Roman" w:cs="Times New Roman"/>
          <w:sz w:val="24"/>
          <w:szCs w:val="24"/>
        </w:rPr>
        <w:t xml:space="preserve"> </w:t>
      </w:r>
      <w:r w:rsidR="00E43075">
        <w:rPr>
          <w:rFonts w:ascii="Times New Roman" w:hAnsi="Times New Roman" w:cs="Times New Roman"/>
          <w:color w:val="333333"/>
          <w:sz w:val="24"/>
          <w:szCs w:val="24"/>
        </w:rPr>
        <w:t>JST n</w:t>
      </w:r>
      <w:r w:rsidR="00E43075" w:rsidRPr="00764BBB">
        <w:rPr>
          <w:rFonts w:ascii="Times New Roman" w:hAnsi="Times New Roman" w:cs="Times New Roman"/>
          <w:color w:val="333333"/>
          <w:sz w:val="24"/>
          <w:szCs w:val="24"/>
        </w:rPr>
        <w:t xml:space="preserve">ie mogą wprowadzać nowych podatków, </w:t>
      </w:r>
      <w:r w:rsidR="00E43075">
        <w:rPr>
          <w:rFonts w:ascii="Times New Roman" w:hAnsi="Times New Roman" w:cs="Times New Roman"/>
          <w:color w:val="333333"/>
          <w:sz w:val="24"/>
          <w:szCs w:val="24"/>
        </w:rPr>
        <w:t>n</w:t>
      </w:r>
      <w:r w:rsidR="00E43075" w:rsidRPr="00764BBB">
        <w:rPr>
          <w:rFonts w:ascii="Times New Roman" w:hAnsi="Times New Roman" w:cs="Times New Roman"/>
          <w:color w:val="333333"/>
          <w:sz w:val="24"/>
          <w:szCs w:val="24"/>
        </w:rPr>
        <w:t xml:space="preserve">ie mogą </w:t>
      </w:r>
      <w:r w:rsidR="00E43075">
        <w:rPr>
          <w:rFonts w:ascii="Times New Roman" w:hAnsi="Times New Roman" w:cs="Times New Roman"/>
          <w:color w:val="333333"/>
          <w:sz w:val="24"/>
          <w:szCs w:val="24"/>
        </w:rPr>
        <w:t xml:space="preserve">w </w:t>
      </w:r>
      <w:r w:rsidR="00E43075" w:rsidRPr="00764BBB">
        <w:rPr>
          <w:rFonts w:ascii="Times New Roman" w:hAnsi="Times New Roman" w:cs="Times New Roman"/>
          <w:color w:val="333333"/>
          <w:sz w:val="24"/>
          <w:szCs w:val="24"/>
        </w:rPr>
        <w:t xml:space="preserve">dowolny </w:t>
      </w:r>
      <w:r w:rsidR="00E43075">
        <w:rPr>
          <w:rFonts w:ascii="Times New Roman" w:hAnsi="Times New Roman" w:cs="Times New Roman"/>
          <w:color w:val="333333"/>
          <w:sz w:val="24"/>
          <w:szCs w:val="24"/>
        </w:rPr>
        <w:t xml:space="preserve">sposób </w:t>
      </w:r>
      <w:r w:rsidR="00E43075" w:rsidRPr="00764BBB">
        <w:rPr>
          <w:rFonts w:ascii="Times New Roman" w:hAnsi="Times New Roman" w:cs="Times New Roman"/>
          <w:color w:val="333333"/>
          <w:sz w:val="24"/>
          <w:szCs w:val="24"/>
        </w:rPr>
        <w:t xml:space="preserve">ustalać opłat za usługi, </w:t>
      </w:r>
      <w:r w:rsidR="00E43075">
        <w:rPr>
          <w:rFonts w:ascii="Times New Roman" w:hAnsi="Times New Roman" w:cs="Times New Roman"/>
          <w:color w:val="333333"/>
          <w:sz w:val="24"/>
          <w:szCs w:val="24"/>
        </w:rPr>
        <w:t>mo</w:t>
      </w:r>
      <w:r w:rsidR="00E43075" w:rsidRPr="00764BBB">
        <w:rPr>
          <w:rFonts w:ascii="Times New Roman" w:hAnsi="Times New Roman" w:cs="Times New Roman"/>
          <w:color w:val="333333"/>
          <w:sz w:val="24"/>
          <w:szCs w:val="24"/>
        </w:rPr>
        <w:t>gą</w:t>
      </w:r>
      <w:r w:rsidR="00E43075">
        <w:rPr>
          <w:rFonts w:ascii="Times New Roman" w:hAnsi="Times New Roman" w:cs="Times New Roman"/>
          <w:color w:val="333333"/>
          <w:sz w:val="24"/>
          <w:szCs w:val="24"/>
        </w:rPr>
        <w:t xml:space="preserve"> natomiast </w:t>
      </w:r>
      <w:r w:rsidR="00E43075" w:rsidRPr="00764BBB">
        <w:rPr>
          <w:rFonts w:ascii="Times New Roman" w:hAnsi="Times New Roman" w:cs="Times New Roman"/>
          <w:color w:val="333333"/>
          <w:sz w:val="24"/>
          <w:szCs w:val="24"/>
        </w:rPr>
        <w:t>sprzedawać majątek</w:t>
      </w:r>
      <w:r w:rsidR="00E43075">
        <w:rPr>
          <w:rFonts w:ascii="Times New Roman" w:hAnsi="Times New Roman" w:cs="Times New Roman"/>
          <w:color w:val="333333"/>
          <w:sz w:val="24"/>
          <w:szCs w:val="24"/>
        </w:rPr>
        <w:t xml:space="preserve">, a w przypadku gmin mogą także </w:t>
      </w:r>
      <w:r w:rsidR="00E43075" w:rsidRPr="00764BBB">
        <w:rPr>
          <w:rFonts w:ascii="Times New Roman" w:hAnsi="Times New Roman" w:cs="Times New Roman"/>
          <w:color w:val="333333"/>
          <w:sz w:val="24"/>
          <w:szCs w:val="24"/>
        </w:rPr>
        <w:t xml:space="preserve">w </w:t>
      </w:r>
      <w:r w:rsidR="00E43075">
        <w:rPr>
          <w:rFonts w:ascii="Times New Roman" w:hAnsi="Times New Roman" w:cs="Times New Roman"/>
          <w:color w:val="333333"/>
          <w:sz w:val="24"/>
          <w:szCs w:val="24"/>
        </w:rPr>
        <w:t xml:space="preserve">bardzo </w:t>
      </w:r>
      <w:r w:rsidR="00E43075" w:rsidRPr="00764BBB">
        <w:rPr>
          <w:rFonts w:ascii="Times New Roman" w:hAnsi="Times New Roman" w:cs="Times New Roman"/>
          <w:color w:val="333333"/>
          <w:sz w:val="24"/>
          <w:szCs w:val="24"/>
        </w:rPr>
        <w:t xml:space="preserve">ograniczonym zakresie </w:t>
      </w:r>
      <w:r w:rsidR="00C24ADF">
        <w:rPr>
          <w:rFonts w:ascii="Times New Roman" w:hAnsi="Times New Roman" w:cs="Times New Roman"/>
          <w:color w:val="333333"/>
          <w:sz w:val="24"/>
          <w:szCs w:val="24"/>
        </w:rPr>
        <w:t>wpływać na</w:t>
      </w:r>
      <w:r w:rsidR="00E43075" w:rsidRPr="00764BBB">
        <w:rPr>
          <w:rFonts w:ascii="Times New Roman" w:hAnsi="Times New Roman" w:cs="Times New Roman"/>
          <w:color w:val="333333"/>
          <w:sz w:val="24"/>
          <w:szCs w:val="24"/>
        </w:rPr>
        <w:t xml:space="preserve"> </w:t>
      </w:r>
      <w:r w:rsidR="00926568">
        <w:rPr>
          <w:rFonts w:ascii="Times New Roman" w:hAnsi="Times New Roman" w:cs="Times New Roman"/>
          <w:color w:val="333333"/>
          <w:sz w:val="24"/>
          <w:szCs w:val="24"/>
        </w:rPr>
        <w:t xml:space="preserve">wybrane </w:t>
      </w:r>
      <w:r w:rsidR="00E43075" w:rsidRPr="00764BBB">
        <w:rPr>
          <w:rFonts w:ascii="Times New Roman" w:hAnsi="Times New Roman" w:cs="Times New Roman"/>
          <w:color w:val="333333"/>
          <w:sz w:val="24"/>
          <w:szCs w:val="24"/>
        </w:rPr>
        <w:t>podatki i opłaty lokalne.</w:t>
      </w:r>
      <w:r w:rsidR="00E43075">
        <w:rPr>
          <w:rFonts w:ascii="Times New Roman" w:hAnsi="Times New Roman" w:cs="Times New Roman"/>
          <w:color w:val="333333"/>
          <w:sz w:val="24"/>
          <w:szCs w:val="24"/>
        </w:rPr>
        <w:t xml:space="preserve"> Biorąc pod uwagę konstrukcję systemu zasilania finansowego JST w Polsce </w:t>
      </w:r>
      <w:r w:rsidR="00E43075">
        <w:rPr>
          <w:rFonts w:ascii="Times New Roman" w:hAnsi="Times New Roman" w:cs="Times New Roman"/>
          <w:sz w:val="24"/>
          <w:szCs w:val="24"/>
        </w:rPr>
        <w:t xml:space="preserve">wyłącznie w odniesieniu </w:t>
      </w:r>
      <w:r w:rsidR="00E43075">
        <w:rPr>
          <w:rFonts w:ascii="Times New Roman" w:hAnsi="Times New Roman" w:cs="Times New Roman"/>
          <w:sz w:val="24"/>
          <w:szCs w:val="24"/>
        </w:rPr>
        <w:lastRenderedPageBreak/>
        <w:t xml:space="preserve">do </w:t>
      </w:r>
      <w:r w:rsidR="005C2C9A">
        <w:rPr>
          <w:rFonts w:ascii="Times New Roman" w:hAnsi="Times New Roman" w:cs="Times New Roman"/>
          <w:sz w:val="24"/>
          <w:szCs w:val="24"/>
        </w:rPr>
        <w:t>gmin</w:t>
      </w:r>
      <w:r w:rsidR="00E43075">
        <w:rPr>
          <w:rFonts w:ascii="Times New Roman" w:hAnsi="Times New Roman" w:cs="Times New Roman"/>
          <w:sz w:val="24"/>
          <w:szCs w:val="24"/>
        </w:rPr>
        <w:t xml:space="preserve"> można mówić o </w:t>
      </w:r>
      <w:r w:rsidR="00E43075" w:rsidRPr="00764BBB">
        <w:rPr>
          <w:rFonts w:ascii="Times New Roman" w:hAnsi="Times New Roman" w:cs="Times New Roman"/>
          <w:sz w:val="24"/>
          <w:szCs w:val="24"/>
        </w:rPr>
        <w:t>ograniczon</w:t>
      </w:r>
      <w:r w:rsidR="00E43075">
        <w:rPr>
          <w:rFonts w:ascii="Times New Roman" w:hAnsi="Times New Roman" w:cs="Times New Roman"/>
          <w:sz w:val="24"/>
          <w:szCs w:val="24"/>
        </w:rPr>
        <w:t>ym władztwie podatkowym</w:t>
      </w:r>
      <w:r w:rsidR="00C24ADF">
        <w:rPr>
          <w:rFonts w:ascii="Times New Roman" w:hAnsi="Times New Roman" w:cs="Times New Roman"/>
          <w:sz w:val="24"/>
          <w:szCs w:val="24"/>
        </w:rPr>
        <w:t xml:space="preserve"> </w:t>
      </w:r>
      <w:r w:rsidR="00C24ADF" w:rsidRPr="00E43075">
        <w:rPr>
          <w:rFonts w:ascii="Times New Roman" w:hAnsi="Times New Roman" w:cs="Times New Roman"/>
          <w:sz w:val="24"/>
          <w:szCs w:val="24"/>
        </w:rPr>
        <w:t>[Barej</w:t>
      </w:r>
      <w:r w:rsidR="00BA3394">
        <w:rPr>
          <w:rFonts w:ascii="Times New Roman" w:hAnsi="Times New Roman" w:cs="Times New Roman"/>
          <w:sz w:val="24"/>
          <w:szCs w:val="24"/>
        </w:rPr>
        <w:t>,</w:t>
      </w:r>
      <w:r w:rsidR="00C24ADF" w:rsidRPr="00E43075">
        <w:rPr>
          <w:rFonts w:ascii="Times New Roman" w:hAnsi="Times New Roman" w:cs="Times New Roman"/>
          <w:sz w:val="24"/>
          <w:szCs w:val="24"/>
        </w:rPr>
        <w:t xml:space="preserve"> 2013, s. 8]</w:t>
      </w:r>
      <w:r w:rsidR="00C416B0">
        <w:rPr>
          <w:rStyle w:val="Odwoanieprzypisudolnego"/>
          <w:rFonts w:ascii="Times New Roman" w:hAnsi="Times New Roman" w:cs="Times New Roman"/>
          <w:sz w:val="24"/>
          <w:szCs w:val="24"/>
        </w:rPr>
        <w:footnoteReference w:id="2"/>
      </w:r>
      <w:r w:rsidR="00E43075">
        <w:rPr>
          <w:rFonts w:ascii="Times New Roman" w:hAnsi="Times New Roman" w:cs="Times New Roman"/>
          <w:sz w:val="24"/>
          <w:szCs w:val="24"/>
        </w:rPr>
        <w:t xml:space="preserve">. </w:t>
      </w:r>
      <w:r w:rsidR="00C51CD1">
        <w:rPr>
          <w:rFonts w:ascii="Times New Roman" w:hAnsi="Times New Roman" w:cs="Times New Roman"/>
          <w:sz w:val="24"/>
          <w:szCs w:val="24"/>
        </w:rPr>
        <w:t xml:space="preserve">Samorząd gminny dysponuje władztwem podatkowym </w:t>
      </w:r>
      <w:r w:rsidR="00C24ADF">
        <w:rPr>
          <w:rFonts w:ascii="Times New Roman" w:hAnsi="Times New Roman" w:cs="Times New Roman"/>
          <w:sz w:val="24"/>
          <w:szCs w:val="24"/>
        </w:rPr>
        <w:t xml:space="preserve">jedynie </w:t>
      </w:r>
      <w:r w:rsidR="00C51CD1">
        <w:rPr>
          <w:rFonts w:ascii="Times New Roman" w:hAnsi="Times New Roman" w:cs="Times New Roman"/>
          <w:sz w:val="24"/>
          <w:szCs w:val="24"/>
        </w:rPr>
        <w:t xml:space="preserve">w odniesieniu do części swoich źródeł </w:t>
      </w:r>
      <w:r w:rsidR="005315C4">
        <w:rPr>
          <w:rFonts w:ascii="Times New Roman" w:hAnsi="Times New Roman" w:cs="Times New Roman"/>
          <w:sz w:val="24"/>
          <w:szCs w:val="24"/>
        </w:rPr>
        <w:t>dochodów (tab</w:t>
      </w:r>
      <w:r w:rsidR="00303537">
        <w:rPr>
          <w:rFonts w:ascii="Times New Roman" w:hAnsi="Times New Roman" w:cs="Times New Roman"/>
          <w:sz w:val="24"/>
          <w:szCs w:val="24"/>
        </w:rPr>
        <w:t>.</w:t>
      </w:r>
      <w:r w:rsidR="005315C4">
        <w:rPr>
          <w:rFonts w:ascii="Times New Roman" w:hAnsi="Times New Roman" w:cs="Times New Roman"/>
          <w:sz w:val="24"/>
          <w:szCs w:val="24"/>
        </w:rPr>
        <w:t xml:space="preserve"> 1).</w:t>
      </w:r>
    </w:p>
    <w:p w14:paraId="5B9FD032" w14:textId="77777777" w:rsidR="00BA3394" w:rsidRDefault="00BA3394" w:rsidP="00C51CD1">
      <w:pPr>
        <w:spacing w:after="0" w:line="360" w:lineRule="auto"/>
        <w:ind w:firstLine="284"/>
        <w:jc w:val="both"/>
        <w:rPr>
          <w:rFonts w:ascii="Times New Roman" w:hAnsi="Times New Roman" w:cs="Times New Roman"/>
          <w:sz w:val="24"/>
          <w:szCs w:val="24"/>
        </w:rPr>
      </w:pPr>
    </w:p>
    <w:p w14:paraId="1D02EA8E" w14:textId="77777777" w:rsidR="00C51CD1" w:rsidRPr="00C618BE" w:rsidRDefault="005315C4" w:rsidP="00C21B7A">
      <w:pPr>
        <w:spacing w:after="0" w:line="360" w:lineRule="auto"/>
        <w:jc w:val="both"/>
        <w:rPr>
          <w:rFonts w:ascii="Times New Roman" w:hAnsi="Times New Roman" w:cs="Times New Roman"/>
          <w:sz w:val="20"/>
          <w:szCs w:val="20"/>
        </w:rPr>
      </w:pPr>
      <w:r w:rsidRPr="00C618BE">
        <w:rPr>
          <w:rFonts w:ascii="Times New Roman" w:hAnsi="Times New Roman" w:cs="Times New Roman"/>
          <w:sz w:val="20"/>
          <w:szCs w:val="20"/>
        </w:rPr>
        <w:t>Tabela 1. Podatki i opłaty lokalne według zakresu władztwa podatkowego</w:t>
      </w:r>
    </w:p>
    <w:tbl>
      <w:tblPr>
        <w:tblStyle w:val="Tabela-Siatka"/>
        <w:tblW w:w="0" w:type="auto"/>
        <w:tblLook w:val="04A0" w:firstRow="1" w:lastRow="0" w:firstColumn="1" w:lastColumn="0" w:noHBand="0" w:noVBand="1"/>
      </w:tblPr>
      <w:tblGrid>
        <w:gridCol w:w="1980"/>
        <w:gridCol w:w="7082"/>
      </w:tblGrid>
      <w:tr w:rsidR="005315C4" w:rsidRPr="00303537" w14:paraId="61723283" w14:textId="77777777" w:rsidTr="00303537">
        <w:tc>
          <w:tcPr>
            <w:tcW w:w="1980" w:type="dxa"/>
            <w:shd w:val="clear" w:color="auto" w:fill="F2F2F2" w:themeFill="background1" w:themeFillShade="F2"/>
          </w:tcPr>
          <w:p w14:paraId="13ECFBA4" w14:textId="77777777" w:rsidR="005315C4" w:rsidRPr="00303537" w:rsidRDefault="005315C4" w:rsidP="005315C4">
            <w:pPr>
              <w:jc w:val="center"/>
              <w:rPr>
                <w:rFonts w:ascii="Times New Roman" w:hAnsi="Times New Roman" w:cs="Times New Roman"/>
                <w:sz w:val="18"/>
                <w:szCs w:val="18"/>
              </w:rPr>
            </w:pPr>
            <w:r w:rsidRPr="00303537">
              <w:rPr>
                <w:rFonts w:ascii="Times New Roman" w:hAnsi="Times New Roman" w:cs="Times New Roman"/>
                <w:sz w:val="18"/>
                <w:szCs w:val="18"/>
              </w:rPr>
              <w:t>Zakres władztwa</w:t>
            </w:r>
          </w:p>
        </w:tc>
        <w:tc>
          <w:tcPr>
            <w:tcW w:w="7082" w:type="dxa"/>
            <w:shd w:val="clear" w:color="auto" w:fill="F2F2F2" w:themeFill="background1" w:themeFillShade="F2"/>
          </w:tcPr>
          <w:p w14:paraId="057E82F2" w14:textId="77777777" w:rsidR="005315C4" w:rsidRPr="00303537" w:rsidRDefault="00C618BE" w:rsidP="00C618BE">
            <w:pPr>
              <w:jc w:val="center"/>
              <w:rPr>
                <w:rFonts w:ascii="Times New Roman" w:hAnsi="Times New Roman" w:cs="Times New Roman"/>
                <w:sz w:val="18"/>
                <w:szCs w:val="18"/>
              </w:rPr>
            </w:pPr>
            <w:r>
              <w:rPr>
                <w:rFonts w:ascii="Times New Roman" w:hAnsi="Times New Roman" w:cs="Times New Roman"/>
                <w:sz w:val="18"/>
                <w:szCs w:val="18"/>
              </w:rPr>
              <w:t>Kategorie</w:t>
            </w:r>
          </w:p>
        </w:tc>
      </w:tr>
      <w:tr w:rsidR="005315C4" w:rsidRPr="00303537" w14:paraId="0AE30599" w14:textId="77777777" w:rsidTr="00303537">
        <w:tc>
          <w:tcPr>
            <w:tcW w:w="1980" w:type="dxa"/>
          </w:tcPr>
          <w:p w14:paraId="7508B90F" w14:textId="77777777" w:rsidR="005315C4" w:rsidRPr="00303537" w:rsidRDefault="005315C4" w:rsidP="00AF78CA">
            <w:pPr>
              <w:jc w:val="left"/>
              <w:rPr>
                <w:rFonts w:ascii="Times New Roman" w:hAnsi="Times New Roman" w:cs="Times New Roman"/>
                <w:sz w:val="18"/>
                <w:szCs w:val="18"/>
              </w:rPr>
            </w:pPr>
            <w:r w:rsidRPr="00303537">
              <w:rPr>
                <w:rFonts w:ascii="Times New Roman" w:hAnsi="Times New Roman" w:cs="Times New Roman"/>
                <w:sz w:val="18"/>
                <w:szCs w:val="18"/>
              </w:rPr>
              <w:t>w stosunkowo szerokim zakresie</w:t>
            </w:r>
          </w:p>
        </w:tc>
        <w:tc>
          <w:tcPr>
            <w:tcW w:w="7082" w:type="dxa"/>
          </w:tcPr>
          <w:p w14:paraId="6AB05CBF" w14:textId="77777777" w:rsidR="005315C4" w:rsidRPr="00303537" w:rsidRDefault="00C618BE" w:rsidP="005315C4">
            <w:pPr>
              <w:rPr>
                <w:rFonts w:ascii="Times New Roman" w:hAnsi="Times New Roman" w:cs="Times New Roman"/>
                <w:sz w:val="18"/>
                <w:szCs w:val="18"/>
              </w:rPr>
            </w:pPr>
            <w:r>
              <w:rPr>
                <w:rFonts w:ascii="Times New Roman" w:hAnsi="Times New Roman" w:cs="Times New Roman"/>
                <w:sz w:val="18"/>
                <w:szCs w:val="18"/>
              </w:rPr>
              <w:t xml:space="preserve">podatek </w:t>
            </w:r>
            <w:r w:rsidR="005315C4" w:rsidRPr="00303537">
              <w:rPr>
                <w:rFonts w:ascii="Times New Roman" w:hAnsi="Times New Roman" w:cs="Times New Roman"/>
                <w:sz w:val="18"/>
                <w:szCs w:val="18"/>
              </w:rPr>
              <w:t>od nieruchomości, od środków transportowych, opłata targowa, miejscowa, uzdrowiskowa, od posiadania psów, jak również podatek rolny i leśny,</w:t>
            </w:r>
          </w:p>
        </w:tc>
      </w:tr>
      <w:tr w:rsidR="005315C4" w:rsidRPr="00303537" w14:paraId="07465D55" w14:textId="77777777" w:rsidTr="00303537">
        <w:tc>
          <w:tcPr>
            <w:tcW w:w="1980" w:type="dxa"/>
          </w:tcPr>
          <w:p w14:paraId="425A7BE0" w14:textId="77777777" w:rsidR="005315C4" w:rsidRPr="00303537" w:rsidRDefault="005315C4" w:rsidP="00AF78CA">
            <w:pPr>
              <w:jc w:val="left"/>
              <w:rPr>
                <w:rFonts w:ascii="Times New Roman" w:hAnsi="Times New Roman" w:cs="Times New Roman"/>
                <w:sz w:val="18"/>
                <w:szCs w:val="18"/>
              </w:rPr>
            </w:pPr>
            <w:r w:rsidRPr="00303537">
              <w:rPr>
                <w:rFonts w:ascii="Times New Roman" w:hAnsi="Times New Roman" w:cs="Times New Roman"/>
                <w:sz w:val="18"/>
                <w:szCs w:val="18"/>
              </w:rPr>
              <w:t xml:space="preserve">w bardzo ograniczonym zakresie </w:t>
            </w:r>
          </w:p>
        </w:tc>
        <w:tc>
          <w:tcPr>
            <w:tcW w:w="7082" w:type="dxa"/>
          </w:tcPr>
          <w:p w14:paraId="244F0A2E" w14:textId="77777777" w:rsidR="005315C4" w:rsidRPr="00303537" w:rsidRDefault="005315C4" w:rsidP="005315C4">
            <w:pPr>
              <w:rPr>
                <w:rFonts w:ascii="Times New Roman" w:hAnsi="Times New Roman" w:cs="Times New Roman"/>
                <w:sz w:val="18"/>
                <w:szCs w:val="18"/>
              </w:rPr>
            </w:pPr>
            <w:r w:rsidRPr="00303537">
              <w:rPr>
                <w:rFonts w:ascii="Times New Roman" w:hAnsi="Times New Roman" w:cs="Times New Roman"/>
                <w:sz w:val="18"/>
                <w:szCs w:val="18"/>
              </w:rPr>
              <w:t>podatek od czynności cywilno-prawnych, zryczałtowany podatek dochodowy w formie karty podatkowej, podatek od spadków i darowizn, opłata skarbowa,</w:t>
            </w:r>
          </w:p>
        </w:tc>
      </w:tr>
      <w:tr w:rsidR="005315C4" w:rsidRPr="00303537" w14:paraId="1860CDA3" w14:textId="77777777" w:rsidTr="00303537">
        <w:tc>
          <w:tcPr>
            <w:tcW w:w="1980" w:type="dxa"/>
          </w:tcPr>
          <w:p w14:paraId="31773875" w14:textId="77777777" w:rsidR="005315C4" w:rsidRPr="00303537" w:rsidRDefault="005315C4" w:rsidP="00AF78CA">
            <w:pPr>
              <w:jc w:val="left"/>
              <w:rPr>
                <w:rFonts w:ascii="Times New Roman" w:hAnsi="Times New Roman" w:cs="Times New Roman"/>
                <w:sz w:val="18"/>
                <w:szCs w:val="18"/>
              </w:rPr>
            </w:pPr>
            <w:r w:rsidRPr="00303537">
              <w:rPr>
                <w:rFonts w:ascii="Times New Roman" w:hAnsi="Times New Roman" w:cs="Times New Roman"/>
                <w:sz w:val="18"/>
                <w:szCs w:val="18"/>
              </w:rPr>
              <w:t>brak władztwa podatkowego</w:t>
            </w:r>
          </w:p>
        </w:tc>
        <w:tc>
          <w:tcPr>
            <w:tcW w:w="7082" w:type="dxa"/>
          </w:tcPr>
          <w:p w14:paraId="45BDAB48" w14:textId="77777777" w:rsidR="005315C4" w:rsidRPr="00303537" w:rsidRDefault="00C618BE" w:rsidP="00C618BE">
            <w:pPr>
              <w:rPr>
                <w:rFonts w:ascii="Times New Roman" w:hAnsi="Times New Roman" w:cs="Times New Roman"/>
                <w:sz w:val="18"/>
                <w:szCs w:val="18"/>
              </w:rPr>
            </w:pPr>
            <w:r>
              <w:rPr>
                <w:rFonts w:ascii="Times New Roman" w:hAnsi="Times New Roman" w:cs="Times New Roman"/>
                <w:sz w:val="18"/>
                <w:szCs w:val="18"/>
              </w:rPr>
              <w:t>u</w:t>
            </w:r>
            <w:r w:rsidR="005315C4" w:rsidRPr="00303537">
              <w:rPr>
                <w:rFonts w:ascii="Times New Roman" w:hAnsi="Times New Roman" w:cs="Times New Roman"/>
                <w:sz w:val="18"/>
                <w:szCs w:val="18"/>
              </w:rPr>
              <w:t xml:space="preserve">działy w podatkach stanowiących dochody budżetu centralnego – </w:t>
            </w:r>
            <w:r>
              <w:rPr>
                <w:rFonts w:ascii="Times New Roman" w:hAnsi="Times New Roman" w:cs="Times New Roman"/>
                <w:sz w:val="18"/>
                <w:szCs w:val="18"/>
              </w:rPr>
              <w:t>PIT, CIT</w:t>
            </w:r>
            <w:r w:rsidR="005315C4" w:rsidRPr="00303537">
              <w:rPr>
                <w:rFonts w:ascii="Times New Roman" w:hAnsi="Times New Roman" w:cs="Times New Roman"/>
                <w:sz w:val="18"/>
                <w:szCs w:val="18"/>
              </w:rPr>
              <w:t>.</w:t>
            </w:r>
          </w:p>
        </w:tc>
      </w:tr>
    </w:tbl>
    <w:p w14:paraId="54BDAFF1" w14:textId="77777777" w:rsidR="005315C4" w:rsidRPr="005315C4" w:rsidRDefault="005315C4" w:rsidP="005315C4">
      <w:pPr>
        <w:spacing w:after="0" w:line="360" w:lineRule="auto"/>
        <w:jc w:val="both"/>
        <w:rPr>
          <w:rFonts w:ascii="Times New Roman" w:hAnsi="Times New Roman" w:cs="Times New Roman"/>
          <w:sz w:val="18"/>
          <w:szCs w:val="18"/>
        </w:rPr>
      </w:pPr>
      <w:r w:rsidRPr="005315C4">
        <w:rPr>
          <w:rFonts w:ascii="Times New Roman" w:hAnsi="Times New Roman" w:cs="Times New Roman"/>
          <w:sz w:val="18"/>
          <w:szCs w:val="18"/>
        </w:rPr>
        <w:t>Źródło:</w:t>
      </w:r>
      <w:r>
        <w:rPr>
          <w:rFonts w:ascii="Times New Roman" w:hAnsi="Times New Roman" w:cs="Times New Roman"/>
          <w:sz w:val="18"/>
          <w:szCs w:val="18"/>
        </w:rPr>
        <w:t xml:space="preserve"> opracowanie własne na podstawie [Kogut-Jaworska</w:t>
      </w:r>
      <w:r w:rsidR="00BA3394">
        <w:rPr>
          <w:rFonts w:ascii="Times New Roman" w:hAnsi="Times New Roman" w:cs="Times New Roman"/>
          <w:sz w:val="18"/>
          <w:szCs w:val="18"/>
        </w:rPr>
        <w:t>,</w:t>
      </w:r>
      <w:r>
        <w:rPr>
          <w:rFonts w:ascii="Times New Roman" w:hAnsi="Times New Roman" w:cs="Times New Roman"/>
          <w:sz w:val="18"/>
          <w:szCs w:val="18"/>
        </w:rPr>
        <w:t xml:space="preserve"> 2007, s. 333].</w:t>
      </w:r>
    </w:p>
    <w:p w14:paraId="0C13A691" w14:textId="77777777" w:rsidR="00AF78CA" w:rsidRDefault="00AF78CA" w:rsidP="0027740D">
      <w:pPr>
        <w:spacing w:after="0" w:line="360" w:lineRule="auto"/>
        <w:ind w:firstLine="284"/>
        <w:jc w:val="both"/>
        <w:rPr>
          <w:rFonts w:ascii="Times New Roman" w:hAnsi="Times New Roman" w:cs="Times New Roman"/>
          <w:color w:val="333333"/>
          <w:sz w:val="24"/>
          <w:szCs w:val="24"/>
        </w:rPr>
      </w:pPr>
    </w:p>
    <w:p w14:paraId="68E9BF5F" w14:textId="77777777" w:rsidR="00764BBB" w:rsidRDefault="0027740D" w:rsidP="0027740D">
      <w:pPr>
        <w:spacing w:after="0" w:line="360" w:lineRule="auto"/>
        <w:ind w:firstLine="284"/>
        <w:jc w:val="both"/>
        <w:rPr>
          <w:rFonts w:ascii="Times New Roman" w:hAnsi="Times New Roman" w:cs="Times New Roman"/>
          <w:color w:val="333333"/>
          <w:sz w:val="24"/>
          <w:szCs w:val="24"/>
        </w:rPr>
      </w:pPr>
      <w:r w:rsidRPr="0027740D">
        <w:rPr>
          <w:rFonts w:ascii="Times New Roman" w:hAnsi="Times New Roman" w:cs="Times New Roman"/>
          <w:color w:val="333333"/>
          <w:sz w:val="24"/>
          <w:szCs w:val="24"/>
        </w:rPr>
        <w:t xml:space="preserve">Zakres lokalnego władztwa podatkowego </w:t>
      </w:r>
      <w:r>
        <w:rPr>
          <w:rFonts w:ascii="Times New Roman" w:hAnsi="Times New Roman" w:cs="Times New Roman"/>
          <w:color w:val="333333"/>
          <w:sz w:val="24"/>
          <w:szCs w:val="24"/>
        </w:rPr>
        <w:t>podstawowych JST w Polsce jest właściwie o</w:t>
      </w:r>
      <w:r w:rsidRPr="0027740D">
        <w:rPr>
          <w:rFonts w:ascii="Times New Roman" w:hAnsi="Times New Roman" w:cs="Times New Roman"/>
          <w:color w:val="333333"/>
          <w:sz w:val="24"/>
          <w:szCs w:val="24"/>
        </w:rPr>
        <w:t>granicz</w:t>
      </w:r>
      <w:r>
        <w:rPr>
          <w:rFonts w:ascii="Times New Roman" w:hAnsi="Times New Roman" w:cs="Times New Roman"/>
          <w:color w:val="333333"/>
          <w:sz w:val="24"/>
          <w:szCs w:val="24"/>
        </w:rPr>
        <w:t>ony</w:t>
      </w:r>
      <w:r w:rsidRPr="0027740D">
        <w:rPr>
          <w:rFonts w:ascii="Times New Roman" w:hAnsi="Times New Roman" w:cs="Times New Roman"/>
          <w:color w:val="333333"/>
          <w:sz w:val="24"/>
          <w:szCs w:val="24"/>
        </w:rPr>
        <w:t xml:space="preserve"> do określania w granicach ustawowych stawek podatków i opłat</w:t>
      </w:r>
      <w:r>
        <w:rPr>
          <w:rFonts w:ascii="Times New Roman" w:hAnsi="Times New Roman" w:cs="Times New Roman"/>
          <w:color w:val="333333"/>
          <w:sz w:val="24"/>
          <w:szCs w:val="24"/>
        </w:rPr>
        <w:t>, co do których przyznano im to prawo</w:t>
      </w:r>
      <w:r w:rsidRPr="0027740D">
        <w:rPr>
          <w:rFonts w:ascii="Times New Roman" w:hAnsi="Times New Roman" w:cs="Times New Roman"/>
          <w:color w:val="333333"/>
          <w:sz w:val="24"/>
          <w:szCs w:val="24"/>
        </w:rPr>
        <w:t>, stosowania ulg podatkowych (</w:t>
      </w:r>
      <w:r w:rsidR="00C17DD3">
        <w:rPr>
          <w:rFonts w:ascii="Times New Roman" w:hAnsi="Times New Roman" w:cs="Times New Roman"/>
          <w:color w:val="333333"/>
          <w:sz w:val="24"/>
          <w:szCs w:val="24"/>
        </w:rPr>
        <w:t>według</w:t>
      </w:r>
      <w:r w:rsidRPr="0027740D">
        <w:rPr>
          <w:rFonts w:ascii="Times New Roman" w:hAnsi="Times New Roman" w:cs="Times New Roman"/>
          <w:color w:val="333333"/>
          <w:sz w:val="24"/>
          <w:szCs w:val="24"/>
        </w:rPr>
        <w:t xml:space="preserve"> zasad</w:t>
      </w:r>
      <w:r w:rsidR="00C17DD3" w:rsidRPr="00C17DD3">
        <w:rPr>
          <w:rFonts w:ascii="Times New Roman" w:hAnsi="Times New Roman" w:cs="Times New Roman"/>
          <w:color w:val="333333"/>
          <w:sz w:val="24"/>
          <w:szCs w:val="24"/>
        </w:rPr>
        <w:t xml:space="preserve"> </w:t>
      </w:r>
      <w:r w:rsidR="00C17DD3" w:rsidRPr="0027740D">
        <w:rPr>
          <w:rFonts w:ascii="Times New Roman" w:hAnsi="Times New Roman" w:cs="Times New Roman"/>
          <w:color w:val="333333"/>
          <w:sz w:val="24"/>
          <w:szCs w:val="24"/>
        </w:rPr>
        <w:t>ustawowych</w:t>
      </w:r>
      <w:r w:rsidRPr="0027740D">
        <w:rPr>
          <w:rFonts w:ascii="Times New Roman" w:hAnsi="Times New Roman" w:cs="Times New Roman"/>
          <w:color w:val="333333"/>
          <w:sz w:val="24"/>
          <w:szCs w:val="24"/>
        </w:rPr>
        <w:t>)</w:t>
      </w:r>
      <w:r w:rsidR="00C17DD3">
        <w:rPr>
          <w:rFonts w:ascii="Times New Roman" w:hAnsi="Times New Roman" w:cs="Times New Roman"/>
          <w:color w:val="333333"/>
          <w:sz w:val="24"/>
          <w:szCs w:val="24"/>
        </w:rPr>
        <w:t>, jak też</w:t>
      </w:r>
      <w:r w:rsidRPr="0027740D">
        <w:rPr>
          <w:rFonts w:ascii="Times New Roman" w:hAnsi="Times New Roman" w:cs="Times New Roman"/>
          <w:color w:val="333333"/>
          <w:sz w:val="24"/>
          <w:szCs w:val="24"/>
        </w:rPr>
        <w:t xml:space="preserve"> wprowadzania </w:t>
      </w:r>
      <w:r w:rsidR="00C17DD3" w:rsidRPr="0027740D">
        <w:rPr>
          <w:rFonts w:ascii="Times New Roman" w:hAnsi="Times New Roman" w:cs="Times New Roman"/>
          <w:color w:val="333333"/>
          <w:sz w:val="24"/>
          <w:szCs w:val="24"/>
        </w:rPr>
        <w:t xml:space="preserve">przedmiotowych </w:t>
      </w:r>
      <w:r w:rsidRPr="0027740D">
        <w:rPr>
          <w:rFonts w:ascii="Times New Roman" w:hAnsi="Times New Roman" w:cs="Times New Roman"/>
          <w:color w:val="333333"/>
          <w:sz w:val="24"/>
          <w:szCs w:val="24"/>
        </w:rPr>
        <w:t>zwolnień podatkowych</w:t>
      </w:r>
      <w:r w:rsidR="00C24ADF">
        <w:rPr>
          <w:rStyle w:val="Odwoanieprzypisudolnego"/>
          <w:rFonts w:ascii="Times New Roman" w:hAnsi="Times New Roman" w:cs="Times New Roman"/>
          <w:color w:val="333333"/>
          <w:sz w:val="24"/>
          <w:szCs w:val="24"/>
        </w:rPr>
        <w:footnoteReference w:id="3"/>
      </w:r>
      <w:r w:rsidRPr="0027740D">
        <w:rPr>
          <w:rFonts w:ascii="Times New Roman" w:hAnsi="Times New Roman" w:cs="Times New Roman"/>
          <w:color w:val="333333"/>
          <w:sz w:val="24"/>
          <w:szCs w:val="24"/>
        </w:rPr>
        <w:t xml:space="preserve">. </w:t>
      </w:r>
      <w:r w:rsidR="00C24ADF">
        <w:rPr>
          <w:rFonts w:ascii="Times New Roman" w:hAnsi="Times New Roman" w:cs="Times New Roman"/>
          <w:sz w:val="24"/>
          <w:szCs w:val="24"/>
        </w:rPr>
        <w:t xml:space="preserve">Wobec dość niskiej wydajności źródeł dochodów oraz stałych braków środków finansowych gminy niechętnie wykorzystują przyznane im władztwo podatkowe (w największym zakresie korzystają z nich gminy wiejskie, zaś najrzadziej miasta na prawach powiatu). </w:t>
      </w:r>
      <w:r w:rsidR="00C17DD3">
        <w:rPr>
          <w:rFonts w:ascii="Times New Roman" w:hAnsi="Times New Roman" w:cs="Times New Roman"/>
          <w:color w:val="333333"/>
          <w:sz w:val="24"/>
          <w:szCs w:val="24"/>
        </w:rPr>
        <w:t>Lokalne władztwo podat</w:t>
      </w:r>
      <w:r w:rsidR="00303537">
        <w:rPr>
          <w:rFonts w:ascii="Times New Roman" w:hAnsi="Times New Roman" w:cs="Times New Roman"/>
          <w:color w:val="333333"/>
          <w:sz w:val="24"/>
          <w:szCs w:val="24"/>
        </w:rPr>
        <w:t>kowe jest ułomne ze względu na:</w:t>
      </w:r>
    </w:p>
    <w:p w14:paraId="6A5F9047" w14:textId="77777777" w:rsidR="00C17DD3" w:rsidRDefault="00C17DD3" w:rsidP="00083F91">
      <w:pPr>
        <w:spacing w:after="0" w:line="360" w:lineRule="auto"/>
        <w:jc w:val="both"/>
        <w:rPr>
          <w:rFonts w:ascii="Times New Roman" w:hAnsi="Times New Roman" w:cs="Times New Roman"/>
          <w:color w:val="333333"/>
          <w:sz w:val="24"/>
          <w:szCs w:val="24"/>
        </w:rPr>
      </w:pPr>
      <w:r w:rsidRPr="00C17DD3">
        <w:rPr>
          <w:rFonts w:ascii="Times New Roman" w:hAnsi="Times New Roman" w:cs="Times New Roman"/>
          <w:color w:val="333333"/>
          <w:sz w:val="24"/>
          <w:szCs w:val="24"/>
        </w:rPr>
        <w:t xml:space="preserve">– </w:t>
      </w:r>
      <w:r>
        <w:rPr>
          <w:rFonts w:ascii="Times New Roman" w:hAnsi="Times New Roman" w:cs="Times New Roman"/>
          <w:color w:val="333333"/>
          <w:sz w:val="24"/>
          <w:szCs w:val="24"/>
        </w:rPr>
        <w:t>pozostawienie w gestii państwowych organów podatkowych znacznej części doch</w:t>
      </w:r>
      <w:r w:rsidR="00C416B0">
        <w:rPr>
          <w:rFonts w:ascii="Times New Roman" w:hAnsi="Times New Roman" w:cs="Times New Roman"/>
          <w:color w:val="333333"/>
          <w:sz w:val="24"/>
          <w:szCs w:val="24"/>
        </w:rPr>
        <w:t>odów zasilających budżety gmin,</w:t>
      </w:r>
    </w:p>
    <w:p w14:paraId="6F2EDBCA" w14:textId="77777777" w:rsidR="00C17DD3" w:rsidRDefault="00C17DD3" w:rsidP="00083F91">
      <w:pPr>
        <w:spacing w:after="0" w:line="360" w:lineRule="auto"/>
        <w:jc w:val="both"/>
        <w:rPr>
          <w:rFonts w:ascii="Times New Roman" w:hAnsi="Times New Roman" w:cs="Times New Roman"/>
          <w:color w:val="333333"/>
          <w:sz w:val="24"/>
          <w:szCs w:val="24"/>
        </w:rPr>
      </w:pPr>
      <w:r w:rsidRPr="00C17DD3">
        <w:rPr>
          <w:rFonts w:ascii="Times New Roman" w:hAnsi="Times New Roman" w:cs="Times New Roman"/>
          <w:color w:val="333333"/>
          <w:sz w:val="24"/>
          <w:szCs w:val="24"/>
        </w:rPr>
        <w:t xml:space="preserve"> –</w:t>
      </w:r>
      <w:r w:rsidR="00083F91">
        <w:rPr>
          <w:rFonts w:ascii="Times New Roman" w:hAnsi="Times New Roman" w:cs="Times New Roman"/>
          <w:color w:val="333333"/>
          <w:sz w:val="24"/>
          <w:szCs w:val="24"/>
        </w:rPr>
        <w:t xml:space="preserve"> nieodpowiadający obecnym standardom światowym </w:t>
      </w:r>
      <w:r w:rsidRPr="00C17DD3">
        <w:rPr>
          <w:rFonts w:ascii="Times New Roman" w:hAnsi="Times New Roman" w:cs="Times New Roman"/>
          <w:color w:val="333333"/>
          <w:sz w:val="24"/>
          <w:szCs w:val="24"/>
        </w:rPr>
        <w:t>system opodatkowania nieruchomości,</w:t>
      </w:r>
      <w:r w:rsidR="00083F91">
        <w:rPr>
          <w:rFonts w:ascii="Times New Roman" w:hAnsi="Times New Roman" w:cs="Times New Roman"/>
          <w:color w:val="333333"/>
          <w:sz w:val="24"/>
          <w:szCs w:val="24"/>
        </w:rPr>
        <w:t xml:space="preserve"> którego konstrukcja decyduje o </w:t>
      </w:r>
      <w:r w:rsidRPr="00C17DD3">
        <w:rPr>
          <w:rFonts w:ascii="Times New Roman" w:hAnsi="Times New Roman" w:cs="Times New Roman"/>
          <w:color w:val="333333"/>
          <w:sz w:val="24"/>
          <w:szCs w:val="24"/>
        </w:rPr>
        <w:t>ni</w:t>
      </w:r>
      <w:r w:rsidR="00083F91">
        <w:rPr>
          <w:rFonts w:ascii="Times New Roman" w:hAnsi="Times New Roman" w:cs="Times New Roman"/>
          <w:color w:val="333333"/>
          <w:sz w:val="24"/>
          <w:szCs w:val="24"/>
        </w:rPr>
        <w:t>skiej wydajności</w:t>
      </w:r>
      <w:r w:rsidRPr="00C17DD3">
        <w:rPr>
          <w:rFonts w:ascii="Times New Roman" w:hAnsi="Times New Roman" w:cs="Times New Roman"/>
          <w:color w:val="333333"/>
          <w:sz w:val="24"/>
          <w:szCs w:val="24"/>
        </w:rPr>
        <w:t xml:space="preserve"> fiskaln</w:t>
      </w:r>
      <w:r w:rsidR="00083F91">
        <w:rPr>
          <w:rFonts w:ascii="Times New Roman" w:hAnsi="Times New Roman" w:cs="Times New Roman"/>
          <w:color w:val="333333"/>
          <w:sz w:val="24"/>
          <w:szCs w:val="24"/>
        </w:rPr>
        <w:t>ej</w:t>
      </w:r>
      <w:r w:rsidRPr="00C17DD3">
        <w:rPr>
          <w:rFonts w:ascii="Times New Roman" w:hAnsi="Times New Roman" w:cs="Times New Roman"/>
          <w:color w:val="333333"/>
          <w:sz w:val="24"/>
          <w:szCs w:val="24"/>
        </w:rPr>
        <w:t xml:space="preserve">, </w:t>
      </w:r>
      <w:r w:rsidR="00083F91">
        <w:rPr>
          <w:rFonts w:ascii="Times New Roman" w:hAnsi="Times New Roman" w:cs="Times New Roman"/>
          <w:color w:val="333333"/>
          <w:sz w:val="24"/>
          <w:szCs w:val="24"/>
        </w:rPr>
        <w:t xml:space="preserve">co sprawia, że </w:t>
      </w:r>
      <w:r w:rsidRPr="00C17DD3">
        <w:rPr>
          <w:rFonts w:ascii="Times New Roman" w:hAnsi="Times New Roman" w:cs="Times New Roman"/>
          <w:color w:val="333333"/>
          <w:sz w:val="24"/>
          <w:szCs w:val="24"/>
        </w:rPr>
        <w:t>zakres lokalnego władztwa podatkowego</w:t>
      </w:r>
      <w:r w:rsidR="00083F91">
        <w:rPr>
          <w:rFonts w:ascii="Times New Roman" w:hAnsi="Times New Roman" w:cs="Times New Roman"/>
          <w:color w:val="333333"/>
          <w:sz w:val="24"/>
          <w:szCs w:val="24"/>
        </w:rPr>
        <w:t xml:space="preserve"> </w:t>
      </w:r>
      <w:r w:rsidR="00C416B0">
        <w:rPr>
          <w:rFonts w:ascii="Times New Roman" w:hAnsi="Times New Roman" w:cs="Times New Roman"/>
          <w:color w:val="333333"/>
          <w:sz w:val="24"/>
          <w:szCs w:val="24"/>
        </w:rPr>
        <w:t>jest</w:t>
      </w:r>
      <w:r w:rsidR="00083F91">
        <w:rPr>
          <w:rFonts w:ascii="Times New Roman" w:hAnsi="Times New Roman" w:cs="Times New Roman"/>
          <w:color w:val="333333"/>
          <w:sz w:val="24"/>
          <w:szCs w:val="24"/>
        </w:rPr>
        <w:t xml:space="preserve"> ograniczony</w:t>
      </w:r>
      <w:r w:rsidR="00303537">
        <w:rPr>
          <w:rFonts w:ascii="Times New Roman" w:hAnsi="Times New Roman" w:cs="Times New Roman"/>
          <w:color w:val="333333"/>
          <w:sz w:val="24"/>
          <w:szCs w:val="24"/>
        </w:rPr>
        <w:t>,</w:t>
      </w:r>
    </w:p>
    <w:p w14:paraId="73B2D914" w14:textId="77777777" w:rsidR="00764BBB" w:rsidRDefault="00C17DD3" w:rsidP="00083F91">
      <w:pPr>
        <w:spacing w:after="0" w:line="360" w:lineRule="auto"/>
        <w:jc w:val="both"/>
        <w:rPr>
          <w:rFonts w:ascii="Times New Roman" w:hAnsi="Times New Roman" w:cs="Times New Roman"/>
          <w:color w:val="333333"/>
          <w:sz w:val="24"/>
          <w:szCs w:val="24"/>
        </w:rPr>
      </w:pPr>
      <w:r w:rsidRPr="00C17DD3">
        <w:rPr>
          <w:rFonts w:ascii="Times New Roman" w:hAnsi="Times New Roman" w:cs="Times New Roman"/>
          <w:color w:val="333333"/>
          <w:sz w:val="24"/>
          <w:szCs w:val="24"/>
        </w:rPr>
        <w:t>– dysfunkc</w:t>
      </w:r>
      <w:r w:rsidR="00083F91">
        <w:rPr>
          <w:rFonts w:ascii="Times New Roman" w:hAnsi="Times New Roman" w:cs="Times New Roman"/>
          <w:color w:val="333333"/>
          <w:sz w:val="24"/>
          <w:szCs w:val="24"/>
        </w:rPr>
        <w:t>y</w:t>
      </w:r>
      <w:r w:rsidRPr="00C17DD3">
        <w:rPr>
          <w:rFonts w:ascii="Times New Roman" w:hAnsi="Times New Roman" w:cs="Times New Roman"/>
          <w:color w:val="333333"/>
          <w:sz w:val="24"/>
          <w:szCs w:val="24"/>
        </w:rPr>
        <w:t>j</w:t>
      </w:r>
      <w:r w:rsidR="00083F91">
        <w:rPr>
          <w:rFonts w:ascii="Times New Roman" w:hAnsi="Times New Roman" w:cs="Times New Roman"/>
          <w:color w:val="333333"/>
          <w:sz w:val="24"/>
          <w:szCs w:val="24"/>
        </w:rPr>
        <w:t>ny</w:t>
      </w:r>
      <w:r w:rsidRPr="00C17DD3">
        <w:rPr>
          <w:rFonts w:ascii="Times New Roman" w:hAnsi="Times New Roman" w:cs="Times New Roman"/>
          <w:color w:val="333333"/>
          <w:sz w:val="24"/>
          <w:szCs w:val="24"/>
        </w:rPr>
        <w:t xml:space="preserve"> </w:t>
      </w:r>
      <w:r w:rsidR="00083F91">
        <w:rPr>
          <w:rFonts w:ascii="Times New Roman" w:hAnsi="Times New Roman" w:cs="Times New Roman"/>
          <w:color w:val="333333"/>
          <w:sz w:val="24"/>
          <w:szCs w:val="24"/>
        </w:rPr>
        <w:t xml:space="preserve">(utworzony w odmiennych warunkach) </w:t>
      </w:r>
      <w:r w:rsidRPr="00C17DD3">
        <w:rPr>
          <w:rFonts w:ascii="Times New Roman" w:hAnsi="Times New Roman" w:cs="Times New Roman"/>
          <w:color w:val="333333"/>
          <w:sz w:val="24"/>
          <w:szCs w:val="24"/>
        </w:rPr>
        <w:t xml:space="preserve">system wyrównywania fiskalnego, </w:t>
      </w:r>
      <w:r w:rsidR="00083F91">
        <w:rPr>
          <w:rFonts w:ascii="Times New Roman" w:hAnsi="Times New Roman" w:cs="Times New Roman"/>
          <w:color w:val="333333"/>
          <w:sz w:val="24"/>
          <w:szCs w:val="24"/>
        </w:rPr>
        <w:t>który w istotnym stopniu</w:t>
      </w:r>
      <w:r w:rsidRPr="00C17DD3">
        <w:rPr>
          <w:rFonts w:ascii="Times New Roman" w:hAnsi="Times New Roman" w:cs="Times New Roman"/>
          <w:color w:val="333333"/>
          <w:sz w:val="24"/>
          <w:szCs w:val="24"/>
        </w:rPr>
        <w:t xml:space="preserve"> ogranicza </w:t>
      </w:r>
      <w:r w:rsidR="00083F91">
        <w:rPr>
          <w:rFonts w:ascii="Times New Roman" w:hAnsi="Times New Roman" w:cs="Times New Roman"/>
          <w:color w:val="333333"/>
          <w:sz w:val="24"/>
          <w:szCs w:val="24"/>
        </w:rPr>
        <w:t>możliwość dysponowania</w:t>
      </w:r>
      <w:r w:rsidRPr="00C17DD3">
        <w:rPr>
          <w:rFonts w:ascii="Times New Roman" w:hAnsi="Times New Roman" w:cs="Times New Roman"/>
          <w:color w:val="333333"/>
          <w:sz w:val="24"/>
          <w:szCs w:val="24"/>
        </w:rPr>
        <w:t xml:space="preserve"> dochod</w:t>
      </w:r>
      <w:r w:rsidR="00083F91">
        <w:rPr>
          <w:rFonts w:ascii="Times New Roman" w:hAnsi="Times New Roman" w:cs="Times New Roman"/>
          <w:color w:val="333333"/>
          <w:sz w:val="24"/>
          <w:szCs w:val="24"/>
        </w:rPr>
        <w:t>ami</w:t>
      </w:r>
      <w:r w:rsidRPr="00C17DD3">
        <w:rPr>
          <w:rFonts w:ascii="Times New Roman" w:hAnsi="Times New Roman" w:cs="Times New Roman"/>
          <w:color w:val="333333"/>
          <w:sz w:val="24"/>
          <w:szCs w:val="24"/>
        </w:rPr>
        <w:t xml:space="preserve"> własny</w:t>
      </w:r>
      <w:r w:rsidR="00083F91">
        <w:rPr>
          <w:rFonts w:ascii="Times New Roman" w:hAnsi="Times New Roman" w:cs="Times New Roman"/>
          <w:color w:val="333333"/>
          <w:sz w:val="24"/>
          <w:szCs w:val="24"/>
        </w:rPr>
        <w:t>mi, zwłaszcza przez jednostki uznawane za bogatsze na podstawie tzw. wskaźnika dochodów podatkowych per capita</w:t>
      </w:r>
      <w:r w:rsidRPr="00C17DD3">
        <w:rPr>
          <w:rFonts w:ascii="Times New Roman" w:hAnsi="Times New Roman" w:cs="Times New Roman"/>
          <w:color w:val="333333"/>
          <w:sz w:val="24"/>
          <w:szCs w:val="24"/>
        </w:rPr>
        <w:t xml:space="preserve"> </w:t>
      </w:r>
      <w:r>
        <w:rPr>
          <w:rFonts w:ascii="Times New Roman" w:hAnsi="Times New Roman" w:cs="Times New Roman"/>
          <w:color w:val="333333"/>
          <w:sz w:val="24"/>
          <w:szCs w:val="24"/>
        </w:rPr>
        <w:t>[Poniatowicz</w:t>
      </w:r>
      <w:r w:rsidR="00BA3394">
        <w:rPr>
          <w:rFonts w:ascii="Times New Roman" w:hAnsi="Times New Roman" w:cs="Times New Roman"/>
          <w:color w:val="333333"/>
          <w:sz w:val="24"/>
          <w:szCs w:val="24"/>
        </w:rPr>
        <w:t>,</w:t>
      </w:r>
      <w:r>
        <w:rPr>
          <w:rFonts w:ascii="Times New Roman" w:hAnsi="Times New Roman" w:cs="Times New Roman"/>
          <w:color w:val="333333"/>
          <w:sz w:val="24"/>
          <w:szCs w:val="24"/>
        </w:rPr>
        <w:t xml:space="preserve"> 2015, s. 256-257]</w:t>
      </w:r>
      <w:r w:rsidRPr="00C17DD3">
        <w:rPr>
          <w:rFonts w:ascii="Times New Roman" w:hAnsi="Times New Roman" w:cs="Times New Roman"/>
          <w:color w:val="333333"/>
          <w:sz w:val="24"/>
          <w:szCs w:val="24"/>
        </w:rPr>
        <w:t>.</w:t>
      </w:r>
    </w:p>
    <w:p w14:paraId="2F3EC87B" w14:textId="77777777" w:rsidR="00C51CD1" w:rsidRPr="00C24ADF" w:rsidRDefault="00C618BE" w:rsidP="00083F91">
      <w:pPr>
        <w:spacing w:after="0" w:line="360" w:lineRule="auto"/>
        <w:ind w:firstLine="284"/>
        <w:jc w:val="both"/>
        <w:rPr>
          <w:rFonts w:ascii="Times New Roman" w:hAnsi="Times New Roman" w:cs="Times New Roman"/>
          <w:b/>
          <w:sz w:val="24"/>
          <w:szCs w:val="24"/>
        </w:rPr>
      </w:pPr>
      <w:r>
        <w:rPr>
          <w:rFonts w:ascii="Times New Roman" w:hAnsi="Times New Roman" w:cs="Times New Roman"/>
          <w:sz w:val="24"/>
          <w:szCs w:val="24"/>
        </w:rPr>
        <w:t>Przenosząc na JST odpowiedzialność za</w:t>
      </w:r>
      <w:r w:rsidR="003A0145" w:rsidRPr="00C24ADF">
        <w:rPr>
          <w:rFonts w:ascii="Times New Roman" w:hAnsi="Times New Roman" w:cs="Times New Roman"/>
          <w:sz w:val="24"/>
          <w:szCs w:val="24"/>
        </w:rPr>
        <w:t xml:space="preserve"> </w:t>
      </w:r>
      <w:r w:rsidR="00926568">
        <w:rPr>
          <w:rFonts w:ascii="Times New Roman" w:hAnsi="Times New Roman" w:cs="Times New Roman"/>
          <w:sz w:val="24"/>
          <w:szCs w:val="24"/>
        </w:rPr>
        <w:t xml:space="preserve">ich </w:t>
      </w:r>
      <w:r w:rsidR="003A0145" w:rsidRPr="00C24ADF">
        <w:rPr>
          <w:rFonts w:ascii="Times New Roman" w:hAnsi="Times New Roman" w:cs="Times New Roman"/>
          <w:sz w:val="24"/>
          <w:szCs w:val="24"/>
        </w:rPr>
        <w:t>rozwój</w:t>
      </w:r>
      <w:r>
        <w:rPr>
          <w:rFonts w:ascii="Times New Roman" w:hAnsi="Times New Roman" w:cs="Times New Roman"/>
          <w:sz w:val="24"/>
          <w:szCs w:val="24"/>
        </w:rPr>
        <w:t xml:space="preserve">, </w:t>
      </w:r>
      <w:r w:rsidR="00083F91" w:rsidRPr="00C24ADF">
        <w:rPr>
          <w:rFonts w:ascii="Times New Roman" w:hAnsi="Times New Roman" w:cs="Times New Roman"/>
          <w:sz w:val="24"/>
          <w:szCs w:val="24"/>
        </w:rPr>
        <w:t>powin</w:t>
      </w:r>
      <w:r w:rsidR="00926568">
        <w:rPr>
          <w:rFonts w:ascii="Times New Roman" w:hAnsi="Times New Roman" w:cs="Times New Roman"/>
          <w:sz w:val="24"/>
          <w:szCs w:val="24"/>
        </w:rPr>
        <w:t>ny one</w:t>
      </w:r>
      <w:r w:rsidR="00083F91" w:rsidRPr="00C24ADF">
        <w:rPr>
          <w:rFonts w:ascii="Times New Roman" w:hAnsi="Times New Roman" w:cs="Times New Roman"/>
          <w:sz w:val="24"/>
          <w:szCs w:val="24"/>
        </w:rPr>
        <w:t xml:space="preserve"> móc podejmować d</w:t>
      </w:r>
      <w:r w:rsidR="00C51CD1" w:rsidRPr="00C24ADF">
        <w:rPr>
          <w:rFonts w:ascii="Times New Roman" w:hAnsi="Times New Roman" w:cs="Times New Roman"/>
          <w:sz w:val="24"/>
          <w:szCs w:val="24"/>
        </w:rPr>
        <w:t>ecyzje w ramach lokalnej polityki fiskalnej</w:t>
      </w:r>
      <w:r w:rsidR="00496A8A" w:rsidRPr="00C24ADF">
        <w:rPr>
          <w:rFonts w:ascii="Times New Roman" w:hAnsi="Times New Roman" w:cs="Times New Roman"/>
          <w:sz w:val="24"/>
          <w:szCs w:val="24"/>
        </w:rPr>
        <w:t xml:space="preserve">, które bezpośrednio wpływałyby </w:t>
      </w:r>
      <w:r w:rsidR="00C51CD1" w:rsidRPr="00C24ADF">
        <w:rPr>
          <w:rFonts w:ascii="Times New Roman" w:hAnsi="Times New Roman" w:cs="Times New Roman"/>
          <w:sz w:val="24"/>
          <w:szCs w:val="24"/>
        </w:rPr>
        <w:t xml:space="preserve">na wielkość dochodów budżetowych, oddziałując tym samym na saldo budżetowe i możliwości finansowania </w:t>
      </w:r>
      <w:r w:rsidR="00C51CD1" w:rsidRPr="00C24ADF">
        <w:rPr>
          <w:rFonts w:ascii="Times New Roman" w:hAnsi="Times New Roman" w:cs="Times New Roman"/>
          <w:sz w:val="24"/>
          <w:szCs w:val="24"/>
        </w:rPr>
        <w:lastRenderedPageBreak/>
        <w:t>wydatków inwestycyjnych</w:t>
      </w:r>
      <w:r w:rsidR="00496A8A" w:rsidRPr="00C24ADF">
        <w:rPr>
          <w:rFonts w:ascii="Times New Roman" w:hAnsi="Times New Roman" w:cs="Times New Roman"/>
          <w:sz w:val="24"/>
          <w:szCs w:val="24"/>
        </w:rPr>
        <w:t xml:space="preserve">. </w:t>
      </w:r>
      <w:r w:rsidR="003A0145" w:rsidRPr="00C24ADF">
        <w:rPr>
          <w:rFonts w:ascii="Times New Roman" w:hAnsi="Times New Roman" w:cs="Times New Roman"/>
          <w:sz w:val="24"/>
          <w:szCs w:val="24"/>
        </w:rPr>
        <w:t xml:space="preserve">Przyznanie </w:t>
      </w:r>
      <w:r w:rsidR="00442AAF" w:rsidRPr="00C24ADF">
        <w:rPr>
          <w:rFonts w:ascii="Times New Roman" w:hAnsi="Times New Roman" w:cs="Times New Roman"/>
          <w:sz w:val="24"/>
          <w:szCs w:val="24"/>
        </w:rPr>
        <w:t>swobod</w:t>
      </w:r>
      <w:r w:rsidR="003A0145" w:rsidRPr="00C24ADF">
        <w:rPr>
          <w:rFonts w:ascii="Times New Roman" w:hAnsi="Times New Roman" w:cs="Times New Roman"/>
          <w:sz w:val="24"/>
          <w:szCs w:val="24"/>
        </w:rPr>
        <w:t>y w zakresie pozyskiwania dochodów powinno dać możliwość sięgania po dochody podatkowe w momencie zwiększonego zapotrzebowania na środki finansowe</w:t>
      </w:r>
      <w:r w:rsidR="00C24ADF" w:rsidRPr="00C24ADF">
        <w:rPr>
          <w:rFonts w:ascii="Times New Roman" w:hAnsi="Times New Roman" w:cs="Times New Roman"/>
          <w:sz w:val="24"/>
          <w:szCs w:val="24"/>
        </w:rPr>
        <w:t>,</w:t>
      </w:r>
      <w:r w:rsidR="003A0145" w:rsidRPr="00C24ADF">
        <w:rPr>
          <w:rFonts w:ascii="Times New Roman" w:hAnsi="Times New Roman" w:cs="Times New Roman"/>
          <w:sz w:val="24"/>
          <w:szCs w:val="24"/>
        </w:rPr>
        <w:t xml:space="preserve"> a w innych momentach ograniczania korzystania z opodatkowania</w:t>
      </w:r>
      <w:r w:rsidR="00C24ADF">
        <w:rPr>
          <w:rFonts w:ascii="Times New Roman" w:hAnsi="Times New Roman" w:cs="Times New Roman"/>
          <w:sz w:val="24"/>
          <w:szCs w:val="24"/>
        </w:rPr>
        <w:t xml:space="preserve"> (bazy </w:t>
      </w:r>
      <w:r w:rsidR="00C24ADF" w:rsidRPr="00C24ADF">
        <w:rPr>
          <w:rFonts w:ascii="Times New Roman" w:hAnsi="Times New Roman" w:cs="Times New Roman"/>
          <w:sz w:val="24"/>
          <w:szCs w:val="24"/>
        </w:rPr>
        <w:t>podatkowej)</w:t>
      </w:r>
      <w:r w:rsidR="003A0145" w:rsidRPr="00C24ADF">
        <w:rPr>
          <w:rFonts w:ascii="Times New Roman" w:hAnsi="Times New Roman" w:cs="Times New Roman"/>
          <w:sz w:val="24"/>
          <w:szCs w:val="24"/>
        </w:rPr>
        <w:t xml:space="preserve">. </w:t>
      </w:r>
      <w:r w:rsidR="00C24ADF" w:rsidRPr="00C24ADF">
        <w:rPr>
          <w:rFonts w:ascii="Times New Roman" w:hAnsi="Times New Roman" w:cs="Times New Roman"/>
          <w:sz w:val="24"/>
          <w:szCs w:val="24"/>
        </w:rPr>
        <w:t>W</w:t>
      </w:r>
      <w:r w:rsidR="003A0145" w:rsidRPr="00C24ADF">
        <w:rPr>
          <w:rFonts w:ascii="Times New Roman" w:hAnsi="Times New Roman" w:cs="Times New Roman"/>
          <w:sz w:val="24"/>
          <w:szCs w:val="24"/>
        </w:rPr>
        <w:t xml:space="preserve"> sytuacji osłabienia koniunktury gospodarczej i deficytu budżetu państwa </w:t>
      </w:r>
      <w:r w:rsidR="00C24ADF" w:rsidRPr="00C24ADF">
        <w:rPr>
          <w:rFonts w:ascii="Times New Roman" w:hAnsi="Times New Roman" w:cs="Times New Roman"/>
          <w:sz w:val="24"/>
          <w:szCs w:val="24"/>
        </w:rPr>
        <w:t>samodzielność ta gwarantowałaby</w:t>
      </w:r>
      <w:r w:rsidR="003A0145" w:rsidRPr="00C24ADF">
        <w:rPr>
          <w:rFonts w:ascii="Times New Roman" w:hAnsi="Times New Roman" w:cs="Times New Roman"/>
          <w:sz w:val="24"/>
          <w:szCs w:val="24"/>
        </w:rPr>
        <w:t xml:space="preserve"> uniezależnienie się </w:t>
      </w:r>
      <w:r w:rsidR="00C24ADF" w:rsidRPr="00C24ADF">
        <w:rPr>
          <w:rFonts w:ascii="Times New Roman" w:hAnsi="Times New Roman" w:cs="Times New Roman"/>
          <w:sz w:val="24"/>
          <w:szCs w:val="24"/>
        </w:rPr>
        <w:t xml:space="preserve">niekorzystnej </w:t>
      </w:r>
      <w:r w:rsidR="003A0145" w:rsidRPr="00C24ADF">
        <w:rPr>
          <w:rFonts w:ascii="Times New Roman" w:hAnsi="Times New Roman" w:cs="Times New Roman"/>
          <w:sz w:val="24"/>
          <w:szCs w:val="24"/>
        </w:rPr>
        <w:t>sytuacji</w:t>
      </w:r>
      <w:r w:rsidR="00C24ADF" w:rsidRPr="00C24ADF">
        <w:rPr>
          <w:rFonts w:ascii="Times New Roman" w:hAnsi="Times New Roman" w:cs="Times New Roman"/>
          <w:sz w:val="24"/>
          <w:szCs w:val="24"/>
        </w:rPr>
        <w:t xml:space="preserve"> budżetowej szczebla centralnego</w:t>
      </w:r>
      <w:r w:rsidR="00926568">
        <w:rPr>
          <w:rFonts w:ascii="Times New Roman" w:hAnsi="Times New Roman" w:cs="Times New Roman"/>
          <w:sz w:val="24"/>
          <w:szCs w:val="24"/>
        </w:rPr>
        <w:t xml:space="preserve"> i utrzymania stabilności dochodów pozwalających na realizację zadań bieżących i inwestycyjnych.</w:t>
      </w:r>
    </w:p>
    <w:p w14:paraId="169DE609" w14:textId="77777777" w:rsidR="00C51CD1" w:rsidRDefault="00C51CD1" w:rsidP="00764BBB">
      <w:pPr>
        <w:spacing w:after="0" w:line="360" w:lineRule="auto"/>
        <w:rPr>
          <w:rFonts w:ascii="Times New Roman" w:hAnsi="Times New Roman" w:cs="Times New Roman"/>
          <w:b/>
          <w:sz w:val="24"/>
          <w:szCs w:val="24"/>
        </w:rPr>
      </w:pPr>
    </w:p>
    <w:p w14:paraId="428EA875" w14:textId="0BF4CD18" w:rsidR="00AE0C27" w:rsidRPr="00AE0C27" w:rsidRDefault="005322ED" w:rsidP="007710D0">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3. </w:t>
      </w:r>
      <w:r w:rsidR="00AE0C27" w:rsidRPr="00AE0C27">
        <w:rPr>
          <w:rFonts w:ascii="Times New Roman" w:hAnsi="Times New Roman" w:cs="Times New Roman"/>
          <w:b/>
          <w:sz w:val="24"/>
          <w:szCs w:val="24"/>
        </w:rPr>
        <w:t xml:space="preserve">Samodzielność </w:t>
      </w:r>
      <w:r w:rsidR="00A82C05">
        <w:rPr>
          <w:rFonts w:ascii="Times New Roman" w:hAnsi="Times New Roman" w:cs="Times New Roman"/>
          <w:b/>
          <w:sz w:val="24"/>
          <w:szCs w:val="24"/>
        </w:rPr>
        <w:t>dochodowa</w:t>
      </w:r>
      <w:r w:rsidR="00AE0C27" w:rsidRPr="00AE0C27">
        <w:rPr>
          <w:rFonts w:ascii="Times New Roman" w:hAnsi="Times New Roman" w:cs="Times New Roman"/>
          <w:b/>
          <w:sz w:val="24"/>
          <w:szCs w:val="24"/>
        </w:rPr>
        <w:t xml:space="preserve"> jednostek samorządu terytorialnego w Polsce na tle wybranych krajów </w:t>
      </w:r>
      <w:r w:rsidR="00AF78CA">
        <w:rPr>
          <w:rFonts w:ascii="Times New Roman" w:hAnsi="Times New Roman" w:cs="Times New Roman"/>
          <w:b/>
          <w:sz w:val="24"/>
          <w:szCs w:val="24"/>
        </w:rPr>
        <w:t>UE</w:t>
      </w:r>
    </w:p>
    <w:p w14:paraId="75E16B64" w14:textId="29FF16EF" w:rsidR="00EF78C5" w:rsidRDefault="00A16264" w:rsidP="00C72640">
      <w:pPr>
        <w:spacing w:after="0" w:line="360" w:lineRule="auto"/>
        <w:ind w:firstLine="284"/>
        <w:jc w:val="both"/>
        <w:rPr>
          <w:rFonts w:ascii="Times New Roman" w:hAnsi="Times New Roman" w:cs="Times New Roman"/>
          <w:sz w:val="24"/>
          <w:szCs w:val="24"/>
        </w:rPr>
      </w:pPr>
      <w:r w:rsidRPr="00A16264">
        <w:rPr>
          <w:rFonts w:ascii="Times New Roman" w:hAnsi="Times New Roman" w:cs="Times New Roman"/>
          <w:sz w:val="24"/>
          <w:szCs w:val="24"/>
        </w:rPr>
        <w:t>S</w:t>
      </w:r>
      <w:r w:rsidR="00926568">
        <w:rPr>
          <w:rFonts w:ascii="Times New Roman" w:hAnsi="Times New Roman" w:cs="Times New Roman"/>
          <w:sz w:val="24"/>
          <w:szCs w:val="24"/>
        </w:rPr>
        <w:t>ystemy finansowania JST</w:t>
      </w:r>
      <w:r w:rsidRPr="00A16264">
        <w:rPr>
          <w:rFonts w:ascii="Times New Roman" w:hAnsi="Times New Roman" w:cs="Times New Roman"/>
          <w:sz w:val="24"/>
          <w:szCs w:val="24"/>
        </w:rPr>
        <w:t xml:space="preserve"> </w:t>
      </w:r>
      <w:r w:rsidR="003A0145">
        <w:rPr>
          <w:rFonts w:ascii="Times New Roman" w:hAnsi="Times New Roman" w:cs="Times New Roman"/>
          <w:sz w:val="24"/>
          <w:szCs w:val="24"/>
        </w:rPr>
        <w:t xml:space="preserve">istotnie </w:t>
      </w:r>
      <w:r w:rsidR="00926568">
        <w:rPr>
          <w:rFonts w:ascii="Times New Roman" w:hAnsi="Times New Roman" w:cs="Times New Roman"/>
          <w:sz w:val="24"/>
          <w:szCs w:val="24"/>
        </w:rPr>
        <w:t xml:space="preserve">różnią się od siebie </w:t>
      </w:r>
      <w:r w:rsidR="003A0145">
        <w:rPr>
          <w:rFonts w:ascii="Times New Roman" w:hAnsi="Times New Roman" w:cs="Times New Roman"/>
          <w:sz w:val="24"/>
          <w:szCs w:val="24"/>
        </w:rPr>
        <w:t xml:space="preserve">w poszczególnych krajach </w:t>
      </w:r>
      <w:r w:rsidR="00AF78CA">
        <w:rPr>
          <w:rFonts w:ascii="Times New Roman" w:hAnsi="Times New Roman" w:cs="Times New Roman"/>
          <w:sz w:val="24"/>
          <w:szCs w:val="24"/>
        </w:rPr>
        <w:t>UE</w:t>
      </w:r>
      <w:r w:rsidR="00926568">
        <w:rPr>
          <w:rFonts w:ascii="Times New Roman" w:hAnsi="Times New Roman" w:cs="Times New Roman"/>
          <w:sz w:val="24"/>
          <w:szCs w:val="24"/>
        </w:rPr>
        <w:t>. Jest to szczególnie widoczne w strukturze poszczególnych źródeł dochodów, w tym własnych. Udzia</w:t>
      </w:r>
      <w:r w:rsidR="005C2C9A">
        <w:rPr>
          <w:rFonts w:ascii="Times New Roman" w:hAnsi="Times New Roman" w:cs="Times New Roman"/>
          <w:sz w:val="24"/>
          <w:szCs w:val="24"/>
        </w:rPr>
        <w:t>ł tych ostatnich w ogóle dochodów</w:t>
      </w:r>
      <w:r w:rsidR="00926568">
        <w:rPr>
          <w:rFonts w:ascii="Times New Roman" w:hAnsi="Times New Roman" w:cs="Times New Roman"/>
          <w:sz w:val="24"/>
          <w:szCs w:val="24"/>
        </w:rPr>
        <w:t xml:space="preserve"> często w literaturze </w:t>
      </w:r>
      <w:r w:rsidR="007B52E6">
        <w:rPr>
          <w:rFonts w:ascii="Times New Roman" w:hAnsi="Times New Roman" w:cs="Times New Roman"/>
          <w:sz w:val="24"/>
          <w:szCs w:val="24"/>
        </w:rPr>
        <w:t>wskazy</w:t>
      </w:r>
      <w:r w:rsidR="00926568">
        <w:rPr>
          <w:rFonts w:ascii="Times New Roman" w:hAnsi="Times New Roman" w:cs="Times New Roman"/>
          <w:sz w:val="24"/>
          <w:szCs w:val="24"/>
        </w:rPr>
        <w:t xml:space="preserve">wany jest jako miara samodzielności dochodowej JST. </w:t>
      </w:r>
      <w:r w:rsidR="00EF78C5">
        <w:rPr>
          <w:rFonts w:ascii="Times New Roman" w:hAnsi="Times New Roman" w:cs="Times New Roman"/>
          <w:sz w:val="24"/>
          <w:szCs w:val="24"/>
        </w:rPr>
        <w:t xml:space="preserve">Największym udziałem dochodów własnych </w:t>
      </w:r>
      <w:r w:rsidR="00926568">
        <w:rPr>
          <w:rFonts w:ascii="Times New Roman" w:hAnsi="Times New Roman" w:cs="Times New Roman"/>
          <w:sz w:val="24"/>
          <w:szCs w:val="24"/>
        </w:rPr>
        <w:t xml:space="preserve">w dochodach ogółem (przekraczającym istotnie 50%) </w:t>
      </w:r>
      <w:r w:rsidR="00EF78C5">
        <w:rPr>
          <w:rFonts w:ascii="Times New Roman" w:hAnsi="Times New Roman" w:cs="Times New Roman"/>
          <w:sz w:val="24"/>
          <w:szCs w:val="24"/>
        </w:rPr>
        <w:t xml:space="preserve">charakteryzują się </w:t>
      </w:r>
      <w:r w:rsidR="00EF78C5" w:rsidRPr="00EF78C5">
        <w:rPr>
          <w:rFonts w:ascii="Times New Roman" w:hAnsi="Times New Roman" w:cs="Times New Roman"/>
          <w:sz w:val="24"/>
          <w:szCs w:val="24"/>
        </w:rPr>
        <w:t>kraje skandynawskie, Łotw</w:t>
      </w:r>
      <w:r w:rsidR="00EF78C5">
        <w:rPr>
          <w:rFonts w:ascii="Times New Roman" w:hAnsi="Times New Roman" w:cs="Times New Roman"/>
          <w:sz w:val="24"/>
          <w:szCs w:val="24"/>
        </w:rPr>
        <w:t>a</w:t>
      </w:r>
      <w:r w:rsidR="00EF78C5" w:rsidRPr="00EF78C5">
        <w:rPr>
          <w:rFonts w:ascii="Times New Roman" w:hAnsi="Times New Roman" w:cs="Times New Roman"/>
          <w:sz w:val="24"/>
          <w:szCs w:val="24"/>
        </w:rPr>
        <w:t>, Francj</w:t>
      </w:r>
      <w:r w:rsidR="00EF78C5">
        <w:rPr>
          <w:rFonts w:ascii="Times New Roman" w:hAnsi="Times New Roman" w:cs="Times New Roman"/>
          <w:sz w:val="24"/>
          <w:szCs w:val="24"/>
        </w:rPr>
        <w:t>a</w:t>
      </w:r>
      <w:r w:rsidR="00EF78C5" w:rsidRPr="00EF78C5">
        <w:rPr>
          <w:rFonts w:ascii="Times New Roman" w:hAnsi="Times New Roman" w:cs="Times New Roman"/>
          <w:sz w:val="24"/>
          <w:szCs w:val="24"/>
        </w:rPr>
        <w:t>, Hiszpani</w:t>
      </w:r>
      <w:r w:rsidR="00EF78C5">
        <w:rPr>
          <w:rFonts w:ascii="Times New Roman" w:hAnsi="Times New Roman" w:cs="Times New Roman"/>
          <w:sz w:val="24"/>
          <w:szCs w:val="24"/>
        </w:rPr>
        <w:t xml:space="preserve">a </w:t>
      </w:r>
      <w:r w:rsidR="00EF78C5" w:rsidRPr="00EF78C5">
        <w:rPr>
          <w:rFonts w:ascii="Times New Roman" w:hAnsi="Times New Roman" w:cs="Times New Roman"/>
          <w:sz w:val="24"/>
          <w:szCs w:val="24"/>
        </w:rPr>
        <w:t xml:space="preserve">oraz Niemcy. Natomiast </w:t>
      </w:r>
      <w:r w:rsidR="00EF78C5">
        <w:rPr>
          <w:rFonts w:ascii="Times New Roman" w:hAnsi="Times New Roman" w:cs="Times New Roman"/>
          <w:sz w:val="24"/>
          <w:szCs w:val="24"/>
        </w:rPr>
        <w:t>najniższym</w:t>
      </w:r>
      <w:r w:rsidR="00EF78C5" w:rsidRPr="00EF78C5">
        <w:rPr>
          <w:rFonts w:ascii="Times New Roman" w:hAnsi="Times New Roman" w:cs="Times New Roman"/>
          <w:sz w:val="24"/>
          <w:szCs w:val="24"/>
        </w:rPr>
        <w:t xml:space="preserve"> </w:t>
      </w:r>
      <w:r w:rsidR="00553989">
        <w:rPr>
          <w:rFonts w:ascii="Times New Roman" w:hAnsi="Times New Roman" w:cs="Times New Roman"/>
          <w:sz w:val="24"/>
          <w:szCs w:val="24"/>
        </w:rPr>
        <w:t xml:space="preserve">(wynoszącym od kilku do kilkunastu procent) </w:t>
      </w:r>
      <w:r w:rsidR="00EF78C5" w:rsidRPr="00EF78C5">
        <w:rPr>
          <w:rFonts w:ascii="Times New Roman" w:hAnsi="Times New Roman" w:cs="Times New Roman"/>
          <w:sz w:val="24"/>
          <w:szCs w:val="24"/>
        </w:rPr>
        <w:t>Malta, Słowacja, Rumunia, Litwa, Estonia, Bułgaria oraz Holandia. JST w Polsce</w:t>
      </w:r>
      <w:r w:rsidR="00EF78C5">
        <w:rPr>
          <w:rFonts w:ascii="Times New Roman" w:hAnsi="Times New Roman" w:cs="Times New Roman"/>
          <w:sz w:val="24"/>
          <w:szCs w:val="24"/>
        </w:rPr>
        <w:t xml:space="preserve"> </w:t>
      </w:r>
      <w:r w:rsidR="00EF78C5" w:rsidRPr="00EF78C5">
        <w:rPr>
          <w:rFonts w:ascii="Times New Roman" w:hAnsi="Times New Roman" w:cs="Times New Roman"/>
          <w:sz w:val="24"/>
          <w:szCs w:val="24"/>
        </w:rPr>
        <w:t xml:space="preserve">osiągają dość wysoki poziom dochodów własnych, nie przekracza on </w:t>
      </w:r>
      <w:r w:rsidR="00EF78C5">
        <w:rPr>
          <w:rFonts w:ascii="Times New Roman" w:hAnsi="Times New Roman" w:cs="Times New Roman"/>
          <w:sz w:val="24"/>
          <w:szCs w:val="24"/>
        </w:rPr>
        <w:t xml:space="preserve">jednak </w:t>
      </w:r>
      <w:r w:rsidR="00EF78C5" w:rsidRPr="00EF78C5">
        <w:rPr>
          <w:rFonts w:ascii="Times New Roman" w:hAnsi="Times New Roman" w:cs="Times New Roman"/>
          <w:sz w:val="24"/>
          <w:szCs w:val="24"/>
        </w:rPr>
        <w:t>poziomu średniej unijnej</w:t>
      </w:r>
      <w:r w:rsidR="00EF78C5" w:rsidRPr="00EF78C5">
        <w:rPr>
          <w:rStyle w:val="Odwoanieprzypisudolnego"/>
          <w:rFonts w:ascii="Times New Roman" w:hAnsi="Times New Roman" w:cs="Times New Roman"/>
          <w:sz w:val="24"/>
          <w:szCs w:val="24"/>
        </w:rPr>
        <w:footnoteReference w:id="4"/>
      </w:r>
      <w:r w:rsidR="00EF78C5" w:rsidRPr="00EF78C5">
        <w:rPr>
          <w:rFonts w:ascii="Times New Roman" w:hAnsi="Times New Roman" w:cs="Times New Roman"/>
          <w:sz w:val="24"/>
          <w:szCs w:val="24"/>
        </w:rPr>
        <w:t>.</w:t>
      </w:r>
      <w:r w:rsidR="00EF78C5">
        <w:rPr>
          <w:rFonts w:ascii="Times New Roman" w:hAnsi="Times New Roman" w:cs="Times New Roman"/>
          <w:sz w:val="24"/>
          <w:szCs w:val="24"/>
        </w:rPr>
        <w:t xml:space="preserve"> Kategoria tych dochodów jest </w:t>
      </w:r>
      <w:r w:rsidR="005C2C9A">
        <w:rPr>
          <w:rFonts w:ascii="Times New Roman" w:hAnsi="Times New Roman" w:cs="Times New Roman"/>
          <w:sz w:val="24"/>
          <w:szCs w:val="24"/>
        </w:rPr>
        <w:t xml:space="preserve">jednak </w:t>
      </w:r>
      <w:r w:rsidR="00EF78C5">
        <w:rPr>
          <w:rFonts w:ascii="Times New Roman" w:hAnsi="Times New Roman" w:cs="Times New Roman"/>
          <w:sz w:val="24"/>
          <w:szCs w:val="24"/>
        </w:rPr>
        <w:t xml:space="preserve">bardzo zróżnicowania. </w:t>
      </w:r>
      <w:r w:rsidR="00981C17">
        <w:rPr>
          <w:rFonts w:ascii="Times New Roman" w:hAnsi="Times New Roman" w:cs="Times New Roman"/>
          <w:sz w:val="24"/>
          <w:szCs w:val="24"/>
        </w:rPr>
        <w:t>W przypadku</w:t>
      </w:r>
      <w:r w:rsidR="00EF78C5">
        <w:rPr>
          <w:rFonts w:ascii="Times New Roman" w:hAnsi="Times New Roman" w:cs="Times New Roman"/>
          <w:sz w:val="24"/>
          <w:szCs w:val="24"/>
        </w:rPr>
        <w:t xml:space="preserve"> części z nich</w:t>
      </w:r>
      <w:r w:rsidR="00981C17">
        <w:rPr>
          <w:rFonts w:ascii="Times New Roman" w:hAnsi="Times New Roman" w:cs="Times New Roman"/>
          <w:sz w:val="24"/>
          <w:szCs w:val="24"/>
        </w:rPr>
        <w:t xml:space="preserve"> JST nie dysponują żadnymi uprawnieniami pozwalającymi na kształtowanie ich wielkości, i nie powinny być zaliczenie do tej kategorii. </w:t>
      </w:r>
      <w:r w:rsidR="00EF78C5" w:rsidRPr="00EF78C5">
        <w:rPr>
          <w:rFonts w:ascii="Times New Roman" w:hAnsi="Times New Roman" w:cs="Times New Roman"/>
          <w:sz w:val="24"/>
          <w:szCs w:val="24"/>
        </w:rPr>
        <w:t>Na rys</w:t>
      </w:r>
      <w:r w:rsidR="00303537">
        <w:rPr>
          <w:rFonts w:ascii="Times New Roman" w:hAnsi="Times New Roman" w:cs="Times New Roman"/>
          <w:sz w:val="24"/>
          <w:szCs w:val="24"/>
        </w:rPr>
        <w:t>.</w:t>
      </w:r>
      <w:r w:rsidR="00EF78C5" w:rsidRPr="00EF78C5">
        <w:rPr>
          <w:rFonts w:ascii="Times New Roman" w:hAnsi="Times New Roman" w:cs="Times New Roman"/>
          <w:sz w:val="24"/>
          <w:szCs w:val="24"/>
        </w:rPr>
        <w:t xml:space="preserve"> 1 przedstawiono udział dochodów podatkowych, co do których JST </w:t>
      </w:r>
      <w:r w:rsidR="00553989">
        <w:rPr>
          <w:rFonts w:ascii="Times New Roman" w:hAnsi="Times New Roman" w:cs="Times New Roman"/>
          <w:sz w:val="24"/>
          <w:szCs w:val="24"/>
        </w:rPr>
        <w:t>posiadają władztwo</w:t>
      </w:r>
      <w:r w:rsidR="00EF78C5" w:rsidRPr="00EF78C5">
        <w:rPr>
          <w:rFonts w:ascii="Times New Roman" w:hAnsi="Times New Roman" w:cs="Times New Roman"/>
          <w:sz w:val="24"/>
          <w:szCs w:val="24"/>
        </w:rPr>
        <w:t xml:space="preserve"> podatkow</w:t>
      </w:r>
      <w:r w:rsidR="00553989">
        <w:rPr>
          <w:rFonts w:ascii="Times New Roman" w:hAnsi="Times New Roman" w:cs="Times New Roman"/>
          <w:sz w:val="24"/>
          <w:szCs w:val="24"/>
        </w:rPr>
        <w:t>e w dochodach podatkowych ogółem</w:t>
      </w:r>
      <w:r w:rsidR="005C2C9A">
        <w:rPr>
          <w:rFonts w:ascii="Times New Roman" w:hAnsi="Times New Roman" w:cs="Times New Roman"/>
          <w:sz w:val="24"/>
          <w:szCs w:val="24"/>
        </w:rPr>
        <w:t>, który jest lepszą miarą do oceny stopnia samodzielności dochodowej JST</w:t>
      </w:r>
      <w:r w:rsidR="00EF78C5" w:rsidRPr="00EF78C5">
        <w:rPr>
          <w:rFonts w:ascii="Times New Roman" w:hAnsi="Times New Roman" w:cs="Times New Roman"/>
          <w:sz w:val="24"/>
          <w:szCs w:val="24"/>
        </w:rPr>
        <w:t>.</w:t>
      </w:r>
    </w:p>
    <w:p w14:paraId="6D8A1F48" w14:textId="77777777" w:rsidR="007B52E6" w:rsidRPr="00EF78C5" w:rsidRDefault="007B52E6" w:rsidP="00C72640">
      <w:pPr>
        <w:spacing w:after="0" w:line="360" w:lineRule="auto"/>
        <w:ind w:firstLine="284"/>
        <w:jc w:val="both"/>
        <w:rPr>
          <w:rFonts w:ascii="Times New Roman" w:hAnsi="Times New Roman" w:cs="Times New Roman"/>
          <w:sz w:val="24"/>
          <w:szCs w:val="24"/>
        </w:rPr>
      </w:pPr>
    </w:p>
    <w:p w14:paraId="63E1C1D4" w14:textId="77777777" w:rsidR="00A16264" w:rsidRPr="009E439B" w:rsidRDefault="00C36759" w:rsidP="00A16264">
      <w:pPr>
        <w:jc w:val="center"/>
        <w:rPr>
          <w:rFonts w:ascii="Garamond" w:hAnsi="Garamond"/>
          <w:b/>
        </w:rPr>
      </w:pPr>
      <w:r>
        <w:rPr>
          <w:rFonts w:ascii="Garamond" w:hAnsi="Garamond"/>
          <w:b/>
          <w:noProof/>
          <w:lang w:eastAsia="pl-PL"/>
        </w:rPr>
        <w:lastRenderedPageBreak/>
        <w:drawing>
          <wp:inline distT="0" distB="0" distL="0" distR="0" wp14:anchorId="0B0F767F" wp14:editId="5F1BD500">
            <wp:extent cx="5686517" cy="2960915"/>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87013" cy="3065311"/>
                    </a:xfrm>
                    <a:prstGeom prst="rect">
                      <a:avLst/>
                    </a:prstGeom>
                    <a:noFill/>
                  </pic:spPr>
                </pic:pic>
              </a:graphicData>
            </a:graphic>
          </wp:inline>
        </w:drawing>
      </w:r>
    </w:p>
    <w:p w14:paraId="66D5CE6F" w14:textId="77777777" w:rsidR="00BA3394" w:rsidRPr="00BA3394" w:rsidRDefault="00BA3394" w:rsidP="00BA3394">
      <w:pPr>
        <w:jc w:val="both"/>
        <w:rPr>
          <w:rFonts w:ascii="Times New Roman" w:hAnsi="Times New Roman" w:cs="Times New Roman"/>
          <w:sz w:val="20"/>
          <w:szCs w:val="20"/>
        </w:rPr>
      </w:pPr>
      <w:r w:rsidRPr="00BA3394">
        <w:rPr>
          <w:rFonts w:ascii="Times New Roman" w:hAnsi="Times New Roman" w:cs="Times New Roman"/>
          <w:sz w:val="20"/>
          <w:szCs w:val="20"/>
        </w:rPr>
        <w:t xml:space="preserve">Rys. 1. Udział dochodów podatkowych w odniesieniu, do których </w:t>
      </w:r>
      <w:r w:rsidR="00553989">
        <w:rPr>
          <w:rFonts w:ascii="Times New Roman" w:hAnsi="Times New Roman" w:cs="Times New Roman"/>
          <w:sz w:val="20"/>
          <w:szCs w:val="20"/>
        </w:rPr>
        <w:t>JST</w:t>
      </w:r>
      <w:r w:rsidRPr="00BA3394">
        <w:rPr>
          <w:rFonts w:ascii="Times New Roman" w:hAnsi="Times New Roman" w:cs="Times New Roman"/>
          <w:sz w:val="20"/>
          <w:szCs w:val="20"/>
        </w:rPr>
        <w:t xml:space="preserve"> posiada</w:t>
      </w:r>
      <w:r w:rsidR="00553989">
        <w:rPr>
          <w:rFonts w:ascii="Times New Roman" w:hAnsi="Times New Roman" w:cs="Times New Roman"/>
          <w:sz w:val="20"/>
          <w:szCs w:val="20"/>
        </w:rPr>
        <w:t>ją</w:t>
      </w:r>
      <w:r w:rsidRPr="00BA3394">
        <w:rPr>
          <w:rFonts w:ascii="Times New Roman" w:hAnsi="Times New Roman" w:cs="Times New Roman"/>
          <w:sz w:val="20"/>
          <w:szCs w:val="20"/>
        </w:rPr>
        <w:t xml:space="preserve"> władztwo podatkowe w relacji do dochodów podatkowych ogółem, 2011 (w %)</w:t>
      </w:r>
    </w:p>
    <w:p w14:paraId="335D7229" w14:textId="77777777" w:rsidR="00A16264" w:rsidRPr="00BA1691" w:rsidRDefault="00A16264" w:rsidP="00A16264">
      <w:pPr>
        <w:jc w:val="both"/>
        <w:rPr>
          <w:rFonts w:ascii="Times New Roman" w:hAnsi="Times New Roman" w:cs="Times New Roman"/>
          <w:sz w:val="18"/>
          <w:szCs w:val="18"/>
        </w:rPr>
      </w:pPr>
      <w:r w:rsidRPr="00BA1691">
        <w:rPr>
          <w:rFonts w:ascii="Times New Roman" w:hAnsi="Times New Roman" w:cs="Times New Roman"/>
          <w:sz w:val="18"/>
          <w:szCs w:val="18"/>
        </w:rPr>
        <w:t xml:space="preserve">Źródło: opracowanie własne na podstawie </w:t>
      </w:r>
      <w:r w:rsidR="00580E0A" w:rsidRPr="00580E0A">
        <w:rPr>
          <w:rFonts w:ascii="Times New Roman" w:hAnsi="Times New Roman" w:cs="Times New Roman"/>
          <w:sz w:val="18"/>
          <w:szCs w:val="18"/>
        </w:rPr>
        <w:t>[</w:t>
      </w:r>
      <w:r w:rsidRPr="00580E0A">
        <w:rPr>
          <w:rFonts w:ascii="Times New Roman" w:hAnsi="Times New Roman" w:cs="Times New Roman"/>
          <w:sz w:val="18"/>
          <w:szCs w:val="18"/>
        </w:rPr>
        <w:t>OECD</w:t>
      </w:r>
      <w:r w:rsidR="00BA3394">
        <w:rPr>
          <w:rFonts w:ascii="Times New Roman" w:hAnsi="Times New Roman" w:cs="Times New Roman"/>
          <w:sz w:val="18"/>
          <w:szCs w:val="18"/>
        </w:rPr>
        <w:t xml:space="preserve">, </w:t>
      </w:r>
      <w:r w:rsidRPr="00BA1691">
        <w:rPr>
          <w:rFonts w:ascii="Times New Roman" w:hAnsi="Times New Roman" w:cs="Times New Roman"/>
          <w:sz w:val="18"/>
          <w:szCs w:val="18"/>
        </w:rPr>
        <w:t>2016, s. 24</w:t>
      </w:r>
      <w:r w:rsidR="00580E0A">
        <w:rPr>
          <w:rFonts w:ascii="Times New Roman" w:hAnsi="Times New Roman" w:cs="Times New Roman"/>
          <w:sz w:val="18"/>
          <w:szCs w:val="18"/>
        </w:rPr>
        <w:t>]</w:t>
      </w:r>
      <w:r w:rsidRPr="00BA1691">
        <w:rPr>
          <w:rFonts w:ascii="Times New Roman" w:hAnsi="Times New Roman" w:cs="Times New Roman"/>
          <w:sz w:val="18"/>
          <w:szCs w:val="18"/>
        </w:rPr>
        <w:t>.</w:t>
      </w:r>
    </w:p>
    <w:p w14:paraId="63FC1211" w14:textId="77777777" w:rsidR="007B52E6" w:rsidRDefault="007B52E6" w:rsidP="00BA1691">
      <w:pPr>
        <w:spacing w:after="0" w:line="360" w:lineRule="auto"/>
        <w:ind w:firstLine="284"/>
        <w:jc w:val="both"/>
        <w:rPr>
          <w:rFonts w:ascii="Times New Roman" w:hAnsi="Times New Roman" w:cs="Times New Roman"/>
          <w:sz w:val="24"/>
          <w:szCs w:val="24"/>
        </w:rPr>
      </w:pPr>
    </w:p>
    <w:p w14:paraId="47BDE447" w14:textId="77777777" w:rsidR="00650A80" w:rsidRDefault="00650A80" w:rsidP="00650A80">
      <w:pPr>
        <w:spacing w:after="0" w:line="360" w:lineRule="auto"/>
        <w:ind w:firstLine="284"/>
        <w:jc w:val="both"/>
        <w:rPr>
          <w:rFonts w:ascii="Times New Roman" w:hAnsi="Times New Roman" w:cs="Times New Roman"/>
          <w:sz w:val="24"/>
          <w:szCs w:val="24"/>
        </w:rPr>
      </w:pPr>
      <w:r>
        <w:rPr>
          <w:rFonts w:ascii="Times New Roman" w:hAnsi="Times New Roman" w:cs="Times New Roman"/>
          <w:sz w:val="24"/>
          <w:szCs w:val="24"/>
        </w:rPr>
        <w:t>Biorąc pod uwagę tę miarę, n</w:t>
      </w:r>
      <w:r w:rsidRPr="00EF78C5">
        <w:rPr>
          <w:rFonts w:ascii="Times New Roman" w:hAnsi="Times New Roman" w:cs="Times New Roman"/>
          <w:sz w:val="24"/>
          <w:szCs w:val="24"/>
        </w:rPr>
        <w:t xml:space="preserve">ajwiększą autonomią fiskalną charakteryzują się kraje skandynawskie, w których system dochodów własnych oparty jest na lokalnym podatku dochodowym. Na drugim biegunie znajdują się takie kraje jak Irlandia, czy Republika Czech, w których </w:t>
      </w:r>
      <w:r>
        <w:rPr>
          <w:rFonts w:ascii="Times New Roman" w:hAnsi="Times New Roman" w:cs="Times New Roman"/>
          <w:sz w:val="24"/>
          <w:szCs w:val="24"/>
        </w:rPr>
        <w:t>istotne znaczenie odgrywają</w:t>
      </w:r>
      <w:r w:rsidRPr="00EF78C5">
        <w:rPr>
          <w:rFonts w:ascii="Times New Roman" w:hAnsi="Times New Roman" w:cs="Times New Roman"/>
          <w:sz w:val="24"/>
          <w:szCs w:val="24"/>
        </w:rPr>
        <w:t xml:space="preserve"> dochody transferowe. Polska, wśród analizowanych państw, charakteryzuje się jednym z niższych udziałów dochodów podatkowych</w:t>
      </w:r>
      <w:r w:rsidRPr="00EF78C5">
        <w:rPr>
          <w:sz w:val="24"/>
          <w:szCs w:val="24"/>
        </w:rPr>
        <w:t xml:space="preserve"> </w:t>
      </w:r>
      <w:r w:rsidRPr="00EF78C5">
        <w:rPr>
          <w:rFonts w:ascii="Times New Roman" w:hAnsi="Times New Roman" w:cs="Times New Roman"/>
          <w:sz w:val="24"/>
          <w:szCs w:val="24"/>
        </w:rPr>
        <w:t xml:space="preserve">w odniesieniu, do których </w:t>
      </w:r>
      <w:r>
        <w:rPr>
          <w:rFonts w:ascii="Times New Roman" w:hAnsi="Times New Roman" w:cs="Times New Roman"/>
          <w:sz w:val="24"/>
          <w:szCs w:val="24"/>
        </w:rPr>
        <w:t>JST</w:t>
      </w:r>
      <w:r w:rsidRPr="00EF78C5">
        <w:rPr>
          <w:rFonts w:ascii="Times New Roman" w:hAnsi="Times New Roman" w:cs="Times New Roman"/>
          <w:sz w:val="24"/>
          <w:szCs w:val="24"/>
        </w:rPr>
        <w:t xml:space="preserve"> posiada</w:t>
      </w:r>
      <w:r>
        <w:rPr>
          <w:rFonts w:ascii="Times New Roman" w:hAnsi="Times New Roman" w:cs="Times New Roman"/>
          <w:sz w:val="24"/>
          <w:szCs w:val="24"/>
        </w:rPr>
        <w:t>ją</w:t>
      </w:r>
      <w:r w:rsidRPr="00EF78C5">
        <w:rPr>
          <w:rFonts w:ascii="Times New Roman" w:hAnsi="Times New Roman" w:cs="Times New Roman"/>
          <w:sz w:val="24"/>
          <w:szCs w:val="24"/>
        </w:rPr>
        <w:t xml:space="preserve"> władztwo podatkowe</w:t>
      </w:r>
      <w:r>
        <w:rPr>
          <w:rFonts w:ascii="Times New Roman" w:hAnsi="Times New Roman" w:cs="Times New Roman"/>
          <w:sz w:val="24"/>
          <w:szCs w:val="24"/>
        </w:rPr>
        <w:t>.</w:t>
      </w:r>
    </w:p>
    <w:p w14:paraId="1E8BB12A" w14:textId="77777777" w:rsidR="00A16264" w:rsidRPr="00EF78C5" w:rsidRDefault="004751B8" w:rsidP="00BA1691">
      <w:pPr>
        <w:spacing w:after="0" w:line="360" w:lineRule="auto"/>
        <w:ind w:firstLine="284"/>
        <w:jc w:val="both"/>
        <w:rPr>
          <w:rFonts w:ascii="Times New Roman" w:hAnsi="Times New Roman" w:cs="Times New Roman"/>
          <w:sz w:val="24"/>
          <w:szCs w:val="24"/>
        </w:rPr>
      </w:pPr>
      <w:r>
        <w:rPr>
          <w:rFonts w:ascii="Times New Roman" w:hAnsi="Times New Roman" w:cs="Times New Roman"/>
          <w:sz w:val="24"/>
          <w:szCs w:val="24"/>
        </w:rPr>
        <w:t>Jednostki s</w:t>
      </w:r>
      <w:r w:rsidR="00A16264" w:rsidRPr="00EF78C5">
        <w:rPr>
          <w:rFonts w:ascii="Times New Roman" w:hAnsi="Times New Roman" w:cs="Times New Roman"/>
          <w:sz w:val="24"/>
          <w:szCs w:val="24"/>
        </w:rPr>
        <w:t>amorząd</w:t>
      </w:r>
      <w:r>
        <w:rPr>
          <w:rFonts w:ascii="Times New Roman" w:hAnsi="Times New Roman" w:cs="Times New Roman"/>
          <w:sz w:val="24"/>
          <w:szCs w:val="24"/>
        </w:rPr>
        <w:t>u w różnych krajach dysponują</w:t>
      </w:r>
      <w:r w:rsidR="00A16264" w:rsidRPr="00EF78C5">
        <w:rPr>
          <w:rFonts w:ascii="Times New Roman" w:hAnsi="Times New Roman" w:cs="Times New Roman"/>
          <w:sz w:val="24"/>
          <w:szCs w:val="24"/>
        </w:rPr>
        <w:t xml:space="preserve"> różnym poziomem władztwa podatkowego w odniesieniu do różnych grup podatków. W największej liczbie krajów </w:t>
      </w:r>
      <w:r>
        <w:rPr>
          <w:rFonts w:ascii="Times New Roman" w:hAnsi="Times New Roman" w:cs="Times New Roman"/>
          <w:sz w:val="24"/>
          <w:szCs w:val="24"/>
        </w:rPr>
        <w:t xml:space="preserve">JST mają </w:t>
      </w:r>
      <w:r w:rsidR="00A16264" w:rsidRPr="00EF78C5">
        <w:rPr>
          <w:rFonts w:ascii="Times New Roman" w:hAnsi="Times New Roman" w:cs="Times New Roman"/>
          <w:sz w:val="24"/>
          <w:szCs w:val="24"/>
        </w:rPr>
        <w:t xml:space="preserve">możliwość oddziaływania na podatek dochodowy od osób fizycznych. W Austrii i Irlandii, spośród analizowanych krajów, JST nie dysponują instrumentami władztwa podatkowego wobec </w:t>
      </w:r>
      <w:r w:rsidR="005C2C9A">
        <w:rPr>
          <w:rFonts w:ascii="Times New Roman" w:hAnsi="Times New Roman" w:cs="Times New Roman"/>
          <w:sz w:val="24"/>
          <w:szCs w:val="24"/>
        </w:rPr>
        <w:t xml:space="preserve">żadnych </w:t>
      </w:r>
      <w:r w:rsidR="00A16264" w:rsidRPr="00EF78C5">
        <w:rPr>
          <w:rFonts w:ascii="Times New Roman" w:hAnsi="Times New Roman" w:cs="Times New Roman"/>
          <w:sz w:val="24"/>
          <w:szCs w:val="24"/>
        </w:rPr>
        <w:t xml:space="preserve">wskazanych rodzajów podatków. </w:t>
      </w:r>
      <w:r w:rsidR="00BE11E0" w:rsidRPr="00EF78C5">
        <w:rPr>
          <w:rFonts w:ascii="Times New Roman" w:hAnsi="Times New Roman" w:cs="Times New Roman"/>
          <w:sz w:val="24"/>
          <w:szCs w:val="24"/>
        </w:rPr>
        <w:t xml:space="preserve">Polska na tym tle wypada bardzo niekorzystnie. Udział dochodów podatkowych, wobec których gminy dysponują ograniczonym władztwem podatkowym stanowi </w:t>
      </w:r>
      <w:r w:rsidR="00981C17">
        <w:rPr>
          <w:rFonts w:ascii="Times New Roman" w:hAnsi="Times New Roman" w:cs="Times New Roman"/>
          <w:sz w:val="24"/>
          <w:szCs w:val="24"/>
        </w:rPr>
        <w:t>za</w:t>
      </w:r>
      <w:r w:rsidR="00BE11E0" w:rsidRPr="00EF78C5">
        <w:rPr>
          <w:rFonts w:ascii="Times New Roman" w:hAnsi="Times New Roman" w:cs="Times New Roman"/>
          <w:sz w:val="24"/>
          <w:szCs w:val="24"/>
        </w:rPr>
        <w:t xml:space="preserve">ledwie kilka procent w stosunku do </w:t>
      </w:r>
      <w:r w:rsidR="00981C17">
        <w:rPr>
          <w:rFonts w:ascii="Times New Roman" w:hAnsi="Times New Roman" w:cs="Times New Roman"/>
          <w:sz w:val="24"/>
          <w:szCs w:val="24"/>
        </w:rPr>
        <w:t>ogółu</w:t>
      </w:r>
      <w:r w:rsidR="00BE11E0" w:rsidRPr="00EF78C5">
        <w:rPr>
          <w:rFonts w:ascii="Times New Roman" w:hAnsi="Times New Roman" w:cs="Times New Roman"/>
          <w:sz w:val="24"/>
          <w:szCs w:val="24"/>
        </w:rPr>
        <w:t xml:space="preserve"> dochodów</w:t>
      </w:r>
      <w:r w:rsidR="00981C17">
        <w:rPr>
          <w:rFonts w:ascii="Times New Roman" w:hAnsi="Times New Roman" w:cs="Times New Roman"/>
          <w:sz w:val="24"/>
          <w:szCs w:val="24"/>
        </w:rPr>
        <w:t xml:space="preserve"> JST</w:t>
      </w:r>
      <w:r w:rsidR="00BE11E0" w:rsidRPr="00EF78C5">
        <w:rPr>
          <w:rFonts w:ascii="Times New Roman" w:hAnsi="Times New Roman" w:cs="Times New Roman"/>
          <w:sz w:val="24"/>
          <w:szCs w:val="24"/>
        </w:rPr>
        <w:t xml:space="preserve">. Porównując ten poziom do </w:t>
      </w:r>
      <w:r w:rsidR="005C2C9A">
        <w:rPr>
          <w:rFonts w:ascii="Times New Roman" w:hAnsi="Times New Roman" w:cs="Times New Roman"/>
          <w:sz w:val="24"/>
          <w:szCs w:val="24"/>
        </w:rPr>
        <w:t>udziału</w:t>
      </w:r>
      <w:r w:rsidR="00BE11E0" w:rsidRPr="00EF78C5">
        <w:rPr>
          <w:rFonts w:ascii="Times New Roman" w:hAnsi="Times New Roman" w:cs="Times New Roman"/>
          <w:sz w:val="24"/>
          <w:szCs w:val="24"/>
        </w:rPr>
        <w:t xml:space="preserve"> dochodów w odniesieniu, do których mają władztwo podatkowe kraje skandynawskie, czy też Belgia i Hiszpania można wręcz stwierdzić, że samodzielność dochodowa polskich JST ma charakter symboliczny. </w:t>
      </w:r>
      <w:r w:rsidR="00A16264" w:rsidRPr="00EF78C5">
        <w:rPr>
          <w:rFonts w:ascii="Times New Roman" w:hAnsi="Times New Roman" w:cs="Times New Roman"/>
          <w:sz w:val="24"/>
          <w:szCs w:val="24"/>
        </w:rPr>
        <w:t xml:space="preserve">Autonomię podatkową </w:t>
      </w:r>
      <w:r>
        <w:rPr>
          <w:rFonts w:ascii="Times New Roman" w:hAnsi="Times New Roman" w:cs="Times New Roman"/>
          <w:sz w:val="24"/>
          <w:szCs w:val="24"/>
        </w:rPr>
        <w:t>JST</w:t>
      </w:r>
      <w:r w:rsidR="00A16264" w:rsidRPr="00EF78C5">
        <w:rPr>
          <w:rFonts w:ascii="Times New Roman" w:hAnsi="Times New Roman" w:cs="Times New Roman"/>
          <w:sz w:val="24"/>
          <w:szCs w:val="24"/>
        </w:rPr>
        <w:t xml:space="preserve"> w wybranych krajach UE według typów podatków zaprezentowano na rys</w:t>
      </w:r>
      <w:r w:rsidR="00303537">
        <w:rPr>
          <w:rFonts w:ascii="Times New Roman" w:hAnsi="Times New Roman" w:cs="Times New Roman"/>
          <w:sz w:val="24"/>
          <w:szCs w:val="24"/>
        </w:rPr>
        <w:t xml:space="preserve">. </w:t>
      </w:r>
      <w:r w:rsidR="00B16075" w:rsidRPr="00EF78C5">
        <w:rPr>
          <w:rFonts w:ascii="Times New Roman" w:hAnsi="Times New Roman" w:cs="Times New Roman"/>
          <w:sz w:val="24"/>
          <w:szCs w:val="24"/>
        </w:rPr>
        <w:t>2</w:t>
      </w:r>
      <w:r w:rsidR="00303537">
        <w:rPr>
          <w:rFonts w:ascii="Times New Roman" w:hAnsi="Times New Roman" w:cs="Times New Roman"/>
          <w:sz w:val="24"/>
          <w:szCs w:val="24"/>
        </w:rPr>
        <w:t>.</w:t>
      </w:r>
    </w:p>
    <w:p w14:paraId="70186D00" w14:textId="77777777" w:rsidR="00C72640" w:rsidRDefault="00C72640" w:rsidP="00BE11E0">
      <w:pPr>
        <w:jc w:val="center"/>
        <w:rPr>
          <w:rFonts w:ascii="Garamond" w:hAnsi="Garamond"/>
        </w:rPr>
      </w:pPr>
    </w:p>
    <w:p w14:paraId="741A838C" w14:textId="77777777" w:rsidR="00A16264" w:rsidRDefault="000D0B6C" w:rsidP="00BE11E0">
      <w:pPr>
        <w:jc w:val="center"/>
        <w:rPr>
          <w:rFonts w:ascii="Garamond" w:hAnsi="Garamond"/>
        </w:rPr>
      </w:pPr>
      <w:r>
        <w:rPr>
          <w:noProof/>
          <w:lang w:eastAsia="pl-PL"/>
        </w:rPr>
        <w:lastRenderedPageBreak/>
        <w:drawing>
          <wp:inline distT="0" distB="0" distL="0" distR="0" wp14:anchorId="5063DA0C" wp14:editId="6E917D46">
            <wp:extent cx="4832078" cy="2754086"/>
            <wp:effectExtent l="0" t="0" r="6985" b="8255"/>
            <wp:docPr id="1"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8357717" w14:textId="77777777" w:rsidR="00A16264" w:rsidRPr="00BE11E0" w:rsidRDefault="00A16264" w:rsidP="00967DE6">
      <w:pPr>
        <w:spacing w:after="0" w:line="240" w:lineRule="auto"/>
        <w:ind w:left="708" w:firstLine="708"/>
        <w:jc w:val="both"/>
        <w:rPr>
          <w:rFonts w:ascii="Times New Roman" w:hAnsi="Times New Roman" w:cs="Times New Roman"/>
          <w:sz w:val="18"/>
          <w:szCs w:val="18"/>
        </w:rPr>
      </w:pPr>
      <w:r w:rsidRPr="00BE11E0">
        <w:rPr>
          <w:rFonts w:ascii="Times New Roman" w:hAnsi="Times New Roman" w:cs="Times New Roman"/>
          <w:sz w:val="18"/>
          <w:szCs w:val="18"/>
        </w:rPr>
        <w:t xml:space="preserve">poziom </w:t>
      </w:r>
      <w:r w:rsidRPr="00BE11E0">
        <w:rPr>
          <w:rFonts w:ascii="Times New Roman" w:hAnsi="Times New Roman" w:cs="Times New Roman"/>
          <w:sz w:val="18"/>
          <w:szCs w:val="18"/>
        </w:rPr>
        <w:tab/>
      </w:r>
      <w:r w:rsidRPr="00BE11E0">
        <w:rPr>
          <w:rFonts w:ascii="Times New Roman" w:hAnsi="Times New Roman" w:cs="Times New Roman"/>
          <w:sz w:val="18"/>
          <w:szCs w:val="18"/>
        </w:rPr>
        <w:tab/>
      </w:r>
      <w:r w:rsidR="00303537">
        <w:rPr>
          <w:rFonts w:ascii="Times New Roman" w:hAnsi="Times New Roman" w:cs="Times New Roman"/>
          <w:sz w:val="18"/>
          <w:szCs w:val="18"/>
        </w:rPr>
        <w:tab/>
      </w:r>
      <w:r w:rsidR="000D0B6C">
        <w:rPr>
          <w:rFonts w:ascii="Times New Roman" w:hAnsi="Times New Roman" w:cs="Times New Roman"/>
          <w:sz w:val="18"/>
          <w:szCs w:val="18"/>
        </w:rPr>
        <w:t xml:space="preserve">          </w:t>
      </w:r>
      <w:r w:rsidRPr="00BE11E0">
        <w:rPr>
          <w:rFonts w:ascii="Times New Roman" w:hAnsi="Times New Roman" w:cs="Times New Roman"/>
          <w:sz w:val="18"/>
          <w:szCs w:val="18"/>
        </w:rPr>
        <w:t>poziom lokalny</w:t>
      </w:r>
    </w:p>
    <w:p w14:paraId="7626701D" w14:textId="77777777" w:rsidR="00A16264" w:rsidRPr="00BE11E0" w:rsidRDefault="00A16264" w:rsidP="00303537">
      <w:pPr>
        <w:spacing w:after="0" w:line="240" w:lineRule="auto"/>
        <w:ind w:left="708" w:firstLine="708"/>
        <w:jc w:val="both"/>
        <w:rPr>
          <w:rFonts w:ascii="Times New Roman" w:hAnsi="Times New Roman" w:cs="Times New Roman"/>
          <w:sz w:val="18"/>
          <w:szCs w:val="18"/>
        </w:rPr>
      </w:pPr>
      <w:r w:rsidRPr="00BE11E0">
        <w:rPr>
          <w:rFonts w:ascii="Times New Roman" w:hAnsi="Times New Roman" w:cs="Times New Roman"/>
          <w:sz w:val="18"/>
          <w:szCs w:val="18"/>
        </w:rPr>
        <w:t>krajowy/regionalny</w:t>
      </w:r>
    </w:p>
    <w:p w14:paraId="3BA802AB" w14:textId="77777777" w:rsidR="00BA3394" w:rsidRPr="00BA3394" w:rsidRDefault="00BA3394" w:rsidP="00BA3394">
      <w:pPr>
        <w:jc w:val="both"/>
        <w:rPr>
          <w:rFonts w:ascii="Times New Roman" w:hAnsi="Times New Roman" w:cs="Times New Roman"/>
          <w:sz w:val="20"/>
          <w:szCs w:val="20"/>
        </w:rPr>
      </w:pPr>
      <w:r w:rsidRPr="00BA3394">
        <w:rPr>
          <w:rFonts w:ascii="Times New Roman" w:hAnsi="Times New Roman" w:cs="Times New Roman"/>
          <w:sz w:val="20"/>
          <w:szCs w:val="20"/>
        </w:rPr>
        <w:t>Rys. 2. Autonomia podatkowa według typu podatków w wybranych krajach UE, 2009 (w % dochodów ogółem)</w:t>
      </w:r>
    </w:p>
    <w:p w14:paraId="377B36F5" w14:textId="77777777" w:rsidR="00A16264" w:rsidRPr="00BE11E0" w:rsidRDefault="00A16264" w:rsidP="00BA1691">
      <w:pPr>
        <w:spacing w:after="0" w:line="240" w:lineRule="auto"/>
        <w:jc w:val="both"/>
        <w:rPr>
          <w:rFonts w:ascii="Times New Roman" w:hAnsi="Times New Roman" w:cs="Times New Roman"/>
          <w:sz w:val="18"/>
          <w:szCs w:val="18"/>
        </w:rPr>
      </w:pPr>
      <w:r w:rsidRPr="00BE11E0">
        <w:rPr>
          <w:rFonts w:ascii="Times New Roman" w:hAnsi="Times New Roman" w:cs="Times New Roman"/>
          <w:sz w:val="18"/>
          <w:szCs w:val="18"/>
        </w:rPr>
        <w:t xml:space="preserve">Źródło: opracowanie własne na podstawie </w:t>
      </w:r>
      <w:r w:rsidR="00BE11E0" w:rsidRPr="00BE11E0">
        <w:rPr>
          <w:rFonts w:ascii="Times New Roman" w:hAnsi="Times New Roman" w:cs="Times New Roman"/>
          <w:sz w:val="18"/>
          <w:szCs w:val="18"/>
        </w:rPr>
        <w:t>[</w:t>
      </w:r>
      <w:r w:rsidRPr="00BE11E0">
        <w:rPr>
          <w:rFonts w:ascii="Times New Roman" w:hAnsi="Times New Roman" w:cs="Times New Roman"/>
          <w:sz w:val="18"/>
          <w:szCs w:val="18"/>
        </w:rPr>
        <w:t>OECD</w:t>
      </w:r>
      <w:r w:rsidR="00C72640">
        <w:rPr>
          <w:rFonts w:ascii="Times New Roman" w:hAnsi="Times New Roman" w:cs="Times New Roman"/>
          <w:sz w:val="18"/>
          <w:szCs w:val="18"/>
        </w:rPr>
        <w:t>,</w:t>
      </w:r>
      <w:r w:rsidRPr="00BE11E0">
        <w:rPr>
          <w:rFonts w:ascii="Times New Roman" w:hAnsi="Times New Roman" w:cs="Times New Roman"/>
          <w:sz w:val="18"/>
          <w:szCs w:val="18"/>
        </w:rPr>
        <w:t xml:space="preserve"> 2016, s. 129</w:t>
      </w:r>
      <w:r w:rsidR="00BE11E0">
        <w:rPr>
          <w:rFonts w:ascii="Times New Roman" w:hAnsi="Times New Roman" w:cs="Times New Roman"/>
          <w:sz w:val="18"/>
          <w:szCs w:val="18"/>
        </w:rPr>
        <w:t>]</w:t>
      </w:r>
      <w:r w:rsidRPr="00BE11E0">
        <w:rPr>
          <w:rFonts w:ascii="Times New Roman" w:hAnsi="Times New Roman" w:cs="Times New Roman"/>
          <w:sz w:val="18"/>
          <w:szCs w:val="18"/>
        </w:rPr>
        <w:t>.</w:t>
      </w:r>
    </w:p>
    <w:p w14:paraId="0CF830DF" w14:textId="77777777" w:rsidR="002C75B1" w:rsidRDefault="002C75B1" w:rsidP="00BA1691">
      <w:pPr>
        <w:spacing w:after="0" w:line="360" w:lineRule="auto"/>
        <w:ind w:firstLine="284"/>
        <w:jc w:val="both"/>
        <w:rPr>
          <w:rFonts w:ascii="Times New Roman" w:hAnsi="Times New Roman" w:cs="Times New Roman"/>
          <w:sz w:val="24"/>
          <w:szCs w:val="24"/>
        </w:rPr>
      </w:pPr>
    </w:p>
    <w:p w14:paraId="287782A7" w14:textId="06658DB9" w:rsidR="00C72640" w:rsidRDefault="00C72640" w:rsidP="00C72640">
      <w:pPr>
        <w:spacing w:after="0" w:line="36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W Polsce udział dochodów </w:t>
      </w:r>
      <w:r w:rsidR="00650A80">
        <w:rPr>
          <w:rFonts w:ascii="Times New Roman" w:hAnsi="Times New Roman" w:cs="Times New Roman"/>
          <w:sz w:val="24"/>
          <w:szCs w:val="24"/>
        </w:rPr>
        <w:t xml:space="preserve">z tytułu </w:t>
      </w:r>
      <w:r>
        <w:rPr>
          <w:rFonts w:ascii="Times New Roman" w:hAnsi="Times New Roman" w:cs="Times New Roman"/>
          <w:sz w:val="24"/>
          <w:szCs w:val="24"/>
        </w:rPr>
        <w:t>podatk</w:t>
      </w:r>
      <w:r w:rsidR="00650A80">
        <w:rPr>
          <w:rFonts w:ascii="Times New Roman" w:hAnsi="Times New Roman" w:cs="Times New Roman"/>
          <w:sz w:val="24"/>
          <w:szCs w:val="24"/>
        </w:rPr>
        <w:t>ów</w:t>
      </w:r>
      <w:r>
        <w:rPr>
          <w:rFonts w:ascii="Times New Roman" w:hAnsi="Times New Roman" w:cs="Times New Roman"/>
          <w:sz w:val="24"/>
          <w:szCs w:val="24"/>
        </w:rPr>
        <w:t xml:space="preserve"> (wyłącznie</w:t>
      </w:r>
      <w:r w:rsidR="006E444B">
        <w:rPr>
          <w:rFonts w:ascii="Times New Roman" w:hAnsi="Times New Roman" w:cs="Times New Roman"/>
          <w:sz w:val="24"/>
          <w:szCs w:val="24"/>
        </w:rPr>
        <w:t xml:space="preserve"> od majątku</w:t>
      </w:r>
      <w:r>
        <w:rPr>
          <w:rFonts w:ascii="Times New Roman" w:hAnsi="Times New Roman" w:cs="Times New Roman"/>
          <w:sz w:val="24"/>
          <w:szCs w:val="24"/>
        </w:rPr>
        <w:t>), wobec których gminy mają istotnie ograniczone władztwo podatkowe kształtował się w ostatnich latach na poziomie 10% dochodów</w:t>
      </w:r>
      <w:r w:rsidR="00650A80" w:rsidRPr="00650A80">
        <w:rPr>
          <w:rFonts w:ascii="Times New Roman" w:hAnsi="Times New Roman" w:cs="Times New Roman"/>
          <w:sz w:val="24"/>
          <w:szCs w:val="24"/>
        </w:rPr>
        <w:t xml:space="preserve"> </w:t>
      </w:r>
      <w:r w:rsidR="00650A80">
        <w:rPr>
          <w:rFonts w:ascii="Times New Roman" w:hAnsi="Times New Roman" w:cs="Times New Roman"/>
          <w:sz w:val="24"/>
          <w:szCs w:val="24"/>
        </w:rPr>
        <w:t>ogółem</w:t>
      </w:r>
      <w:r>
        <w:rPr>
          <w:rFonts w:ascii="Times New Roman" w:hAnsi="Times New Roman" w:cs="Times New Roman"/>
          <w:sz w:val="24"/>
          <w:szCs w:val="24"/>
        </w:rPr>
        <w:t>. Na tle większości zaprezentowanych krajów jest to wartość bardzo niska.</w:t>
      </w:r>
    </w:p>
    <w:p w14:paraId="0BDBF785" w14:textId="77777777" w:rsidR="00303537" w:rsidRDefault="00A16264" w:rsidP="00BA1691">
      <w:pPr>
        <w:spacing w:after="0" w:line="360" w:lineRule="auto"/>
        <w:ind w:firstLine="284"/>
        <w:jc w:val="both"/>
        <w:rPr>
          <w:rFonts w:ascii="Times New Roman" w:hAnsi="Times New Roman" w:cs="Times New Roman"/>
          <w:sz w:val="24"/>
          <w:szCs w:val="24"/>
        </w:rPr>
      </w:pPr>
      <w:r w:rsidRPr="00BA1691">
        <w:rPr>
          <w:rFonts w:ascii="Times New Roman" w:hAnsi="Times New Roman" w:cs="Times New Roman"/>
          <w:sz w:val="24"/>
          <w:szCs w:val="24"/>
        </w:rPr>
        <w:t xml:space="preserve">Innym elementem systemu finansowania </w:t>
      </w:r>
      <w:r w:rsidR="006E444B">
        <w:rPr>
          <w:rFonts w:ascii="Times New Roman" w:hAnsi="Times New Roman" w:cs="Times New Roman"/>
          <w:sz w:val="24"/>
          <w:szCs w:val="24"/>
        </w:rPr>
        <w:t>JST</w:t>
      </w:r>
      <w:r w:rsidRPr="00BA1691">
        <w:rPr>
          <w:rFonts w:ascii="Times New Roman" w:hAnsi="Times New Roman" w:cs="Times New Roman"/>
          <w:sz w:val="24"/>
          <w:szCs w:val="24"/>
        </w:rPr>
        <w:t xml:space="preserve">, który może być wykorzystywany do oceny stopnia samodzielności dochodowej jest </w:t>
      </w:r>
      <w:r w:rsidR="000D0B6C">
        <w:rPr>
          <w:rFonts w:ascii="Times New Roman" w:hAnsi="Times New Roman" w:cs="Times New Roman"/>
          <w:sz w:val="24"/>
          <w:szCs w:val="24"/>
        </w:rPr>
        <w:t>udział</w:t>
      </w:r>
      <w:r w:rsidR="007808AF">
        <w:rPr>
          <w:rFonts w:ascii="Times New Roman" w:hAnsi="Times New Roman" w:cs="Times New Roman"/>
          <w:sz w:val="24"/>
          <w:szCs w:val="24"/>
        </w:rPr>
        <w:t xml:space="preserve"> i </w:t>
      </w:r>
      <w:r w:rsidRPr="00C47A7C">
        <w:rPr>
          <w:rFonts w:ascii="Times New Roman" w:hAnsi="Times New Roman" w:cs="Times New Roman"/>
          <w:sz w:val="24"/>
          <w:szCs w:val="24"/>
        </w:rPr>
        <w:t xml:space="preserve">struktura </w:t>
      </w:r>
      <w:r w:rsidR="007808AF">
        <w:rPr>
          <w:rFonts w:ascii="Times New Roman" w:hAnsi="Times New Roman" w:cs="Times New Roman"/>
          <w:sz w:val="24"/>
          <w:szCs w:val="24"/>
        </w:rPr>
        <w:t xml:space="preserve">dochodów transferowych. </w:t>
      </w:r>
      <w:r w:rsidR="00C849E2">
        <w:rPr>
          <w:rFonts w:ascii="Times New Roman" w:hAnsi="Times New Roman" w:cs="Times New Roman"/>
          <w:sz w:val="24"/>
          <w:szCs w:val="24"/>
        </w:rPr>
        <w:t>T</w:t>
      </w:r>
      <w:r w:rsidRPr="00C47A7C">
        <w:rPr>
          <w:rFonts w:ascii="Times New Roman" w:hAnsi="Times New Roman" w:cs="Times New Roman"/>
          <w:sz w:val="24"/>
          <w:szCs w:val="24"/>
        </w:rPr>
        <w:t xml:space="preserve">ransfery mające charakter ogólny </w:t>
      </w:r>
      <w:r w:rsidRPr="00BA1691">
        <w:rPr>
          <w:rFonts w:ascii="Times New Roman" w:hAnsi="Times New Roman" w:cs="Times New Roman"/>
          <w:sz w:val="24"/>
          <w:szCs w:val="24"/>
        </w:rPr>
        <w:t>mogą być uważane jako ten rodzaj dochodów, który ma charakter neutralny w odniesieniu do samodzielności dochodowej, a czasem pozytywn</w:t>
      </w:r>
      <w:r w:rsidR="00C849E2">
        <w:rPr>
          <w:rFonts w:ascii="Times New Roman" w:hAnsi="Times New Roman" w:cs="Times New Roman"/>
          <w:sz w:val="24"/>
          <w:szCs w:val="24"/>
        </w:rPr>
        <w:t>y</w:t>
      </w:r>
      <w:r w:rsidRPr="00BA1691">
        <w:rPr>
          <w:rFonts w:ascii="Times New Roman" w:hAnsi="Times New Roman" w:cs="Times New Roman"/>
          <w:sz w:val="24"/>
          <w:szCs w:val="24"/>
        </w:rPr>
        <w:t xml:space="preserve">. </w:t>
      </w:r>
      <w:r w:rsidR="00C47A7C">
        <w:rPr>
          <w:rFonts w:ascii="Times New Roman" w:hAnsi="Times New Roman" w:cs="Times New Roman"/>
          <w:sz w:val="24"/>
          <w:szCs w:val="24"/>
        </w:rPr>
        <w:t>Ś</w:t>
      </w:r>
      <w:r w:rsidRPr="00BA1691">
        <w:rPr>
          <w:rFonts w:ascii="Times New Roman" w:hAnsi="Times New Roman" w:cs="Times New Roman"/>
          <w:sz w:val="24"/>
          <w:szCs w:val="24"/>
        </w:rPr>
        <w:t xml:space="preserve">rodki </w:t>
      </w:r>
      <w:r w:rsidR="00C47A7C">
        <w:rPr>
          <w:rFonts w:ascii="Times New Roman" w:hAnsi="Times New Roman" w:cs="Times New Roman"/>
          <w:sz w:val="24"/>
          <w:szCs w:val="24"/>
        </w:rPr>
        <w:t xml:space="preserve">te </w:t>
      </w:r>
      <w:r w:rsidRPr="00BA1691">
        <w:rPr>
          <w:rFonts w:ascii="Times New Roman" w:hAnsi="Times New Roman" w:cs="Times New Roman"/>
          <w:sz w:val="24"/>
          <w:szCs w:val="24"/>
        </w:rPr>
        <w:t xml:space="preserve">zwiększają pulę </w:t>
      </w:r>
      <w:r w:rsidR="00C849E2">
        <w:rPr>
          <w:rFonts w:ascii="Times New Roman" w:hAnsi="Times New Roman" w:cs="Times New Roman"/>
          <w:sz w:val="24"/>
          <w:szCs w:val="24"/>
        </w:rPr>
        <w:t>funduszy</w:t>
      </w:r>
      <w:r w:rsidRPr="00BA1691">
        <w:rPr>
          <w:rFonts w:ascii="Times New Roman" w:hAnsi="Times New Roman" w:cs="Times New Roman"/>
          <w:sz w:val="24"/>
          <w:szCs w:val="24"/>
        </w:rPr>
        <w:t>, z których JST mogą finansować swoje zadania w zasadzie bez żadnych ograniczeń</w:t>
      </w:r>
      <w:r w:rsidR="00C849E2">
        <w:rPr>
          <w:rStyle w:val="Odwoanieprzypisudolnego"/>
          <w:rFonts w:ascii="Times New Roman" w:hAnsi="Times New Roman" w:cs="Times New Roman"/>
          <w:sz w:val="24"/>
          <w:szCs w:val="24"/>
        </w:rPr>
        <w:footnoteReference w:id="5"/>
      </w:r>
      <w:r w:rsidRPr="00BA1691">
        <w:rPr>
          <w:rFonts w:ascii="Times New Roman" w:hAnsi="Times New Roman" w:cs="Times New Roman"/>
          <w:sz w:val="24"/>
          <w:szCs w:val="24"/>
        </w:rPr>
        <w:t xml:space="preserve">. </w:t>
      </w:r>
      <w:r w:rsidR="00C47A7C">
        <w:rPr>
          <w:rFonts w:ascii="Times New Roman" w:hAnsi="Times New Roman" w:cs="Times New Roman"/>
          <w:sz w:val="24"/>
          <w:szCs w:val="24"/>
        </w:rPr>
        <w:t>Zupełnie odmiennie na samodzielność wpływają transfery celowe, które mogą być wydatkowane wyłącznie na określone cele, często na z góry określonych zasadach</w:t>
      </w:r>
      <w:r w:rsidRPr="00BA1691">
        <w:rPr>
          <w:rFonts w:ascii="Times New Roman" w:hAnsi="Times New Roman" w:cs="Times New Roman"/>
          <w:sz w:val="24"/>
          <w:szCs w:val="24"/>
        </w:rPr>
        <w:t xml:space="preserve">. </w:t>
      </w:r>
      <w:r w:rsidR="00C849E2">
        <w:rPr>
          <w:rFonts w:ascii="Times New Roman" w:hAnsi="Times New Roman" w:cs="Times New Roman"/>
          <w:sz w:val="24"/>
          <w:szCs w:val="24"/>
        </w:rPr>
        <w:t xml:space="preserve">Stąd uznaje się, że </w:t>
      </w:r>
      <w:r w:rsidR="00C47A7C">
        <w:rPr>
          <w:rFonts w:ascii="Times New Roman" w:hAnsi="Times New Roman" w:cs="Times New Roman"/>
          <w:sz w:val="24"/>
          <w:szCs w:val="24"/>
        </w:rPr>
        <w:t>duż</w:t>
      </w:r>
      <w:r w:rsidR="00C849E2">
        <w:rPr>
          <w:rFonts w:ascii="Times New Roman" w:hAnsi="Times New Roman" w:cs="Times New Roman"/>
          <w:sz w:val="24"/>
          <w:szCs w:val="24"/>
        </w:rPr>
        <w:t xml:space="preserve">y </w:t>
      </w:r>
      <w:r w:rsidR="00C47A7C">
        <w:rPr>
          <w:rFonts w:ascii="Times New Roman" w:hAnsi="Times New Roman" w:cs="Times New Roman"/>
          <w:sz w:val="24"/>
          <w:szCs w:val="24"/>
        </w:rPr>
        <w:t xml:space="preserve">udział tego typu dochodów istotnie ogranicza </w:t>
      </w:r>
      <w:r w:rsidR="000D0B6C">
        <w:rPr>
          <w:rFonts w:ascii="Times New Roman" w:hAnsi="Times New Roman" w:cs="Times New Roman"/>
          <w:sz w:val="24"/>
          <w:szCs w:val="24"/>
        </w:rPr>
        <w:t>autonomię finnsową</w:t>
      </w:r>
      <w:r w:rsidR="00C47A7C">
        <w:rPr>
          <w:rFonts w:ascii="Times New Roman" w:hAnsi="Times New Roman" w:cs="Times New Roman"/>
          <w:sz w:val="24"/>
          <w:szCs w:val="24"/>
        </w:rPr>
        <w:t xml:space="preserve"> </w:t>
      </w:r>
      <w:r w:rsidR="006E444B">
        <w:rPr>
          <w:rFonts w:ascii="Times New Roman" w:hAnsi="Times New Roman" w:cs="Times New Roman"/>
          <w:sz w:val="24"/>
          <w:szCs w:val="24"/>
        </w:rPr>
        <w:t>JST</w:t>
      </w:r>
      <w:r w:rsidR="00C47A7C">
        <w:rPr>
          <w:rFonts w:ascii="Times New Roman" w:hAnsi="Times New Roman" w:cs="Times New Roman"/>
          <w:sz w:val="24"/>
          <w:szCs w:val="24"/>
        </w:rPr>
        <w:t>.</w:t>
      </w:r>
      <w:r w:rsidRPr="00BA1691">
        <w:rPr>
          <w:rFonts w:ascii="Times New Roman" w:hAnsi="Times New Roman" w:cs="Times New Roman"/>
          <w:sz w:val="24"/>
          <w:szCs w:val="24"/>
        </w:rPr>
        <w:t xml:space="preserve"> </w:t>
      </w:r>
      <w:r w:rsidR="00C47A7C">
        <w:rPr>
          <w:rFonts w:ascii="Times New Roman" w:hAnsi="Times New Roman" w:cs="Times New Roman"/>
          <w:sz w:val="24"/>
          <w:szCs w:val="24"/>
        </w:rPr>
        <w:t xml:space="preserve">Udział </w:t>
      </w:r>
      <w:r w:rsidR="006A34B5">
        <w:rPr>
          <w:rFonts w:ascii="Times New Roman" w:hAnsi="Times New Roman" w:cs="Times New Roman"/>
          <w:sz w:val="24"/>
          <w:szCs w:val="24"/>
        </w:rPr>
        <w:t xml:space="preserve">transferów zasilających JST </w:t>
      </w:r>
      <w:r w:rsidR="006A34B5" w:rsidRPr="00BA1691">
        <w:rPr>
          <w:rFonts w:ascii="Times New Roman" w:hAnsi="Times New Roman" w:cs="Times New Roman"/>
          <w:sz w:val="24"/>
          <w:szCs w:val="24"/>
        </w:rPr>
        <w:t xml:space="preserve">w wybranych krajach UE według ich charakteru </w:t>
      </w:r>
      <w:r w:rsidRPr="00BA1691">
        <w:rPr>
          <w:rFonts w:ascii="Times New Roman" w:hAnsi="Times New Roman" w:cs="Times New Roman"/>
          <w:sz w:val="24"/>
          <w:szCs w:val="24"/>
        </w:rPr>
        <w:t>zaprezentowan</w:t>
      </w:r>
      <w:r w:rsidR="006A34B5">
        <w:rPr>
          <w:rFonts w:ascii="Times New Roman" w:hAnsi="Times New Roman" w:cs="Times New Roman"/>
          <w:sz w:val="24"/>
          <w:szCs w:val="24"/>
        </w:rPr>
        <w:t>o w tab</w:t>
      </w:r>
      <w:r w:rsidR="00303537">
        <w:rPr>
          <w:rFonts w:ascii="Times New Roman" w:hAnsi="Times New Roman" w:cs="Times New Roman"/>
          <w:sz w:val="24"/>
          <w:szCs w:val="24"/>
        </w:rPr>
        <w:t>.</w:t>
      </w:r>
      <w:r w:rsidR="006A34B5">
        <w:rPr>
          <w:rFonts w:ascii="Times New Roman" w:hAnsi="Times New Roman" w:cs="Times New Roman"/>
          <w:sz w:val="24"/>
          <w:szCs w:val="24"/>
        </w:rPr>
        <w:t xml:space="preserve"> 2</w:t>
      </w:r>
      <w:r w:rsidRPr="00BA1691">
        <w:rPr>
          <w:rStyle w:val="Odwoanieprzypisudolnego"/>
          <w:rFonts w:ascii="Times New Roman" w:hAnsi="Times New Roman" w:cs="Times New Roman"/>
          <w:sz w:val="24"/>
          <w:szCs w:val="24"/>
        </w:rPr>
        <w:footnoteReference w:id="6"/>
      </w:r>
      <w:r w:rsidR="00303537">
        <w:rPr>
          <w:rFonts w:ascii="Times New Roman" w:hAnsi="Times New Roman" w:cs="Times New Roman"/>
          <w:sz w:val="24"/>
          <w:szCs w:val="24"/>
        </w:rPr>
        <w:t>.</w:t>
      </w:r>
    </w:p>
    <w:p w14:paraId="10B35B4C" w14:textId="77777777" w:rsidR="00C72640" w:rsidRDefault="00C72640" w:rsidP="00BA1691">
      <w:pPr>
        <w:spacing w:after="0" w:line="360" w:lineRule="auto"/>
        <w:ind w:firstLine="284"/>
        <w:jc w:val="both"/>
        <w:rPr>
          <w:rFonts w:ascii="Times New Roman" w:hAnsi="Times New Roman" w:cs="Times New Roman"/>
          <w:sz w:val="24"/>
          <w:szCs w:val="24"/>
        </w:rPr>
      </w:pPr>
    </w:p>
    <w:p w14:paraId="75421538" w14:textId="77777777" w:rsidR="00650A80" w:rsidRDefault="00650A80" w:rsidP="00BA1691">
      <w:pPr>
        <w:spacing w:after="0" w:line="360" w:lineRule="auto"/>
        <w:ind w:firstLine="284"/>
        <w:jc w:val="both"/>
        <w:rPr>
          <w:rFonts w:ascii="Times New Roman" w:hAnsi="Times New Roman" w:cs="Times New Roman"/>
          <w:sz w:val="24"/>
          <w:szCs w:val="24"/>
        </w:rPr>
      </w:pPr>
    </w:p>
    <w:p w14:paraId="0334F1D8" w14:textId="77777777" w:rsidR="00650A80" w:rsidRPr="00BA1691" w:rsidRDefault="00650A80" w:rsidP="00BA1691">
      <w:pPr>
        <w:spacing w:after="0" w:line="360" w:lineRule="auto"/>
        <w:ind w:firstLine="284"/>
        <w:jc w:val="both"/>
        <w:rPr>
          <w:rFonts w:ascii="Times New Roman" w:hAnsi="Times New Roman" w:cs="Times New Roman"/>
          <w:sz w:val="24"/>
          <w:szCs w:val="24"/>
        </w:rPr>
      </w:pPr>
    </w:p>
    <w:p w14:paraId="4BC22C01" w14:textId="77777777" w:rsidR="00C72640" w:rsidRDefault="00A16264" w:rsidP="00C618BE">
      <w:pPr>
        <w:jc w:val="both"/>
        <w:rPr>
          <w:rFonts w:ascii="Times New Roman" w:hAnsi="Times New Roman" w:cs="Times New Roman"/>
          <w:sz w:val="20"/>
          <w:szCs w:val="20"/>
        </w:rPr>
      </w:pPr>
      <w:r w:rsidRPr="00C618BE">
        <w:rPr>
          <w:rFonts w:ascii="Times New Roman" w:hAnsi="Times New Roman" w:cs="Times New Roman"/>
          <w:sz w:val="20"/>
          <w:szCs w:val="20"/>
        </w:rPr>
        <w:lastRenderedPageBreak/>
        <w:t>Tab</w:t>
      </w:r>
      <w:r w:rsidR="004C4EC2" w:rsidRPr="00C618BE">
        <w:rPr>
          <w:rFonts w:ascii="Times New Roman" w:hAnsi="Times New Roman" w:cs="Times New Roman"/>
          <w:sz w:val="20"/>
          <w:szCs w:val="20"/>
        </w:rPr>
        <w:t>.</w:t>
      </w:r>
      <w:r w:rsidRPr="00C618BE">
        <w:rPr>
          <w:rFonts w:ascii="Times New Roman" w:hAnsi="Times New Roman" w:cs="Times New Roman"/>
          <w:sz w:val="20"/>
          <w:szCs w:val="20"/>
        </w:rPr>
        <w:t xml:space="preserve"> </w:t>
      </w:r>
      <w:r w:rsidR="006A34B5" w:rsidRPr="00C618BE">
        <w:rPr>
          <w:rFonts w:ascii="Times New Roman" w:hAnsi="Times New Roman" w:cs="Times New Roman"/>
          <w:sz w:val="20"/>
          <w:szCs w:val="20"/>
        </w:rPr>
        <w:t>2</w:t>
      </w:r>
      <w:r w:rsidRPr="00C618BE">
        <w:rPr>
          <w:rFonts w:ascii="Times New Roman" w:hAnsi="Times New Roman" w:cs="Times New Roman"/>
          <w:sz w:val="20"/>
          <w:szCs w:val="20"/>
        </w:rPr>
        <w:t xml:space="preserve">. Udział poszczególnych typów </w:t>
      </w:r>
      <w:r w:rsidR="00C618BE">
        <w:rPr>
          <w:rFonts w:ascii="Times New Roman" w:hAnsi="Times New Roman" w:cs="Times New Roman"/>
          <w:sz w:val="20"/>
          <w:szCs w:val="20"/>
        </w:rPr>
        <w:t>dochodów transferowych</w:t>
      </w:r>
      <w:r w:rsidRPr="00C618BE">
        <w:rPr>
          <w:rFonts w:ascii="Times New Roman" w:hAnsi="Times New Roman" w:cs="Times New Roman"/>
          <w:sz w:val="20"/>
          <w:szCs w:val="20"/>
        </w:rPr>
        <w:t xml:space="preserve"> w dochodach transferowych ogółem, 2011 (w %)</w:t>
      </w:r>
    </w:p>
    <w:tbl>
      <w:tblPr>
        <w:tblpPr w:leftFromText="141" w:rightFromText="141" w:vertAnchor="text" w:horzAnchor="margin" w:tblpXSpec="center" w:tblpY="3"/>
        <w:tblOverlap w:val="never"/>
        <w:tblW w:w="7509" w:type="dxa"/>
        <w:tblLayout w:type="fixed"/>
        <w:tblCellMar>
          <w:left w:w="70" w:type="dxa"/>
          <w:right w:w="70" w:type="dxa"/>
        </w:tblCellMar>
        <w:tblLook w:val="04A0" w:firstRow="1" w:lastRow="0" w:firstColumn="1" w:lastColumn="0" w:noHBand="0" w:noVBand="1"/>
      </w:tblPr>
      <w:tblGrid>
        <w:gridCol w:w="1555"/>
        <w:gridCol w:w="425"/>
        <w:gridCol w:w="1706"/>
        <w:gridCol w:w="1276"/>
        <w:gridCol w:w="1275"/>
        <w:gridCol w:w="1272"/>
      </w:tblGrid>
      <w:tr w:rsidR="006E444B" w:rsidRPr="00303537" w14:paraId="64940521" w14:textId="77777777" w:rsidTr="006E444B">
        <w:trPr>
          <w:trHeight w:val="274"/>
        </w:trPr>
        <w:tc>
          <w:tcPr>
            <w:tcW w:w="1980" w:type="dxa"/>
            <w:gridSpan w:val="2"/>
            <w:vMerge w:val="restart"/>
            <w:tcBorders>
              <w:top w:val="single" w:sz="4" w:space="0" w:color="auto"/>
              <w:left w:val="single" w:sz="4" w:space="0" w:color="auto"/>
              <w:right w:val="single" w:sz="4" w:space="0" w:color="auto"/>
            </w:tcBorders>
            <w:shd w:val="clear" w:color="000000" w:fill="FFFFFF"/>
            <w:vAlign w:val="bottom"/>
            <w:hideMark/>
          </w:tcPr>
          <w:p w14:paraId="731F0172" w14:textId="77777777" w:rsidR="006E444B" w:rsidRPr="00303537" w:rsidRDefault="006E444B" w:rsidP="006E444B">
            <w:pPr>
              <w:spacing w:after="0" w:line="240" w:lineRule="auto"/>
              <w:jc w:val="center"/>
              <w:rPr>
                <w:rFonts w:ascii="Times New Roman" w:hAnsi="Times New Roman" w:cs="Times New Roman"/>
                <w:sz w:val="18"/>
                <w:szCs w:val="18"/>
              </w:rPr>
            </w:pPr>
          </w:p>
        </w:tc>
        <w:tc>
          <w:tcPr>
            <w:tcW w:w="170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07875F83" w14:textId="77777777" w:rsidR="006E444B" w:rsidRPr="00303537" w:rsidRDefault="006E444B" w:rsidP="006E444B">
            <w:pPr>
              <w:spacing w:after="0" w:line="240" w:lineRule="auto"/>
              <w:jc w:val="center"/>
              <w:rPr>
                <w:rFonts w:ascii="Times New Roman" w:hAnsi="Times New Roman" w:cs="Times New Roman"/>
                <w:sz w:val="18"/>
                <w:szCs w:val="18"/>
              </w:rPr>
            </w:pPr>
            <w:r w:rsidRPr="00303537">
              <w:rPr>
                <w:rFonts w:ascii="Times New Roman" w:hAnsi="Times New Roman" w:cs="Times New Roman"/>
                <w:sz w:val="18"/>
                <w:szCs w:val="18"/>
              </w:rPr>
              <w:t>Dochody transferowe jako % PKB</w:t>
            </w:r>
          </w:p>
        </w:tc>
        <w:tc>
          <w:tcPr>
            <w:tcW w:w="127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6F67EA0C" w14:textId="77777777" w:rsidR="006E444B" w:rsidRPr="00303537" w:rsidRDefault="006E444B" w:rsidP="006E444B">
            <w:pPr>
              <w:spacing w:after="0" w:line="240" w:lineRule="auto"/>
              <w:jc w:val="center"/>
              <w:rPr>
                <w:rFonts w:ascii="Times New Roman" w:hAnsi="Times New Roman" w:cs="Times New Roman"/>
                <w:bCs/>
                <w:sz w:val="18"/>
                <w:szCs w:val="18"/>
              </w:rPr>
            </w:pPr>
            <w:r w:rsidRPr="00303537">
              <w:rPr>
                <w:rFonts w:ascii="Times New Roman" w:hAnsi="Times New Roman" w:cs="Times New Roman"/>
                <w:bCs/>
                <w:sz w:val="18"/>
                <w:szCs w:val="18"/>
              </w:rPr>
              <w:t>Celowe ogółem</w:t>
            </w:r>
          </w:p>
        </w:tc>
        <w:tc>
          <w:tcPr>
            <w:tcW w:w="2547" w:type="dxa"/>
            <w:gridSpan w:val="2"/>
            <w:tcBorders>
              <w:top w:val="single" w:sz="4" w:space="0" w:color="auto"/>
              <w:left w:val="nil"/>
              <w:bottom w:val="single" w:sz="4" w:space="0" w:color="auto"/>
              <w:right w:val="single" w:sz="4" w:space="0" w:color="auto"/>
            </w:tcBorders>
            <w:shd w:val="clear" w:color="000000" w:fill="FFFFFF"/>
            <w:vAlign w:val="bottom"/>
            <w:hideMark/>
          </w:tcPr>
          <w:p w14:paraId="008AB6D0" w14:textId="77777777" w:rsidR="006E444B" w:rsidRPr="00303537" w:rsidRDefault="006E444B" w:rsidP="006E444B">
            <w:pPr>
              <w:spacing w:after="0" w:line="240" w:lineRule="auto"/>
              <w:jc w:val="center"/>
              <w:rPr>
                <w:rFonts w:ascii="Times New Roman" w:hAnsi="Times New Roman" w:cs="Times New Roman"/>
                <w:sz w:val="18"/>
                <w:szCs w:val="18"/>
              </w:rPr>
            </w:pPr>
            <w:r w:rsidRPr="00303537">
              <w:rPr>
                <w:rFonts w:ascii="Times New Roman" w:hAnsi="Times New Roman" w:cs="Times New Roman"/>
                <w:sz w:val="18"/>
                <w:szCs w:val="18"/>
              </w:rPr>
              <w:t>w tym</w:t>
            </w:r>
          </w:p>
        </w:tc>
      </w:tr>
      <w:tr w:rsidR="006E444B" w:rsidRPr="00303537" w14:paraId="0CF2A65D" w14:textId="77777777" w:rsidTr="006E444B">
        <w:trPr>
          <w:trHeight w:val="242"/>
        </w:trPr>
        <w:tc>
          <w:tcPr>
            <w:tcW w:w="1980" w:type="dxa"/>
            <w:gridSpan w:val="2"/>
            <w:vMerge/>
            <w:tcBorders>
              <w:left w:val="single" w:sz="4" w:space="0" w:color="auto"/>
              <w:bottom w:val="single" w:sz="4" w:space="0" w:color="auto"/>
              <w:right w:val="single" w:sz="4" w:space="0" w:color="auto"/>
            </w:tcBorders>
            <w:vAlign w:val="center"/>
            <w:hideMark/>
          </w:tcPr>
          <w:p w14:paraId="1D95AC57" w14:textId="77777777" w:rsidR="006E444B" w:rsidRPr="00303537" w:rsidRDefault="006E444B" w:rsidP="006E444B">
            <w:pPr>
              <w:spacing w:after="0" w:line="240" w:lineRule="auto"/>
              <w:jc w:val="center"/>
              <w:rPr>
                <w:rFonts w:ascii="Times New Roman" w:hAnsi="Times New Roman" w:cs="Times New Roman"/>
                <w:sz w:val="18"/>
                <w:szCs w:val="18"/>
              </w:rPr>
            </w:pPr>
          </w:p>
        </w:tc>
        <w:tc>
          <w:tcPr>
            <w:tcW w:w="1706" w:type="dxa"/>
            <w:vMerge/>
            <w:tcBorders>
              <w:top w:val="single" w:sz="4" w:space="0" w:color="auto"/>
              <w:left w:val="single" w:sz="4" w:space="0" w:color="auto"/>
              <w:bottom w:val="single" w:sz="4" w:space="0" w:color="000000"/>
              <w:right w:val="single" w:sz="4" w:space="0" w:color="auto"/>
            </w:tcBorders>
            <w:vAlign w:val="center"/>
            <w:hideMark/>
          </w:tcPr>
          <w:p w14:paraId="12015362" w14:textId="77777777" w:rsidR="006E444B" w:rsidRPr="00303537" w:rsidRDefault="006E444B" w:rsidP="006E444B">
            <w:pPr>
              <w:spacing w:after="0" w:line="240" w:lineRule="auto"/>
              <w:jc w:val="center"/>
              <w:rPr>
                <w:rFonts w:ascii="Times New Roman" w:hAnsi="Times New Roman" w:cs="Times New Roman"/>
                <w:sz w:val="18"/>
                <w:szCs w:val="18"/>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14:paraId="57E89EE8" w14:textId="77777777" w:rsidR="006E444B" w:rsidRPr="00303537" w:rsidRDefault="006E444B" w:rsidP="006E444B">
            <w:pPr>
              <w:spacing w:after="0" w:line="240" w:lineRule="auto"/>
              <w:jc w:val="center"/>
              <w:rPr>
                <w:rFonts w:ascii="Times New Roman" w:hAnsi="Times New Roman" w:cs="Times New Roman"/>
                <w:bCs/>
                <w:sz w:val="18"/>
                <w:szCs w:val="18"/>
              </w:rPr>
            </w:pPr>
          </w:p>
        </w:tc>
        <w:tc>
          <w:tcPr>
            <w:tcW w:w="1275" w:type="dxa"/>
            <w:tcBorders>
              <w:top w:val="nil"/>
              <w:left w:val="nil"/>
              <w:bottom w:val="single" w:sz="4" w:space="0" w:color="auto"/>
              <w:right w:val="single" w:sz="4" w:space="0" w:color="auto"/>
            </w:tcBorders>
            <w:shd w:val="clear" w:color="000000" w:fill="FFFFFF"/>
            <w:vAlign w:val="center"/>
            <w:hideMark/>
          </w:tcPr>
          <w:p w14:paraId="12250EFD" w14:textId="77777777" w:rsidR="006E444B" w:rsidRPr="00303537" w:rsidRDefault="006E444B" w:rsidP="006E444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o</w:t>
            </w:r>
            <w:r w:rsidRPr="00303537">
              <w:rPr>
                <w:rFonts w:ascii="Times New Roman" w:hAnsi="Times New Roman" w:cs="Times New Roman"/>
                <w:sz w:val="18"/>
                <w:szCs w:val="18"/>
              </w:rPr>
              <w:t>bowiązkowe</w:t>
            </w:r>
          </w:p>
        </w:tc>
        <w:tc>
          <w:tcPr>
            <w:tcW w:w="1272" w:type="dxa"/>
            <w:tcBorders>
              <w:top w:val="nil"/>
              <w:left w:val="nil"/>
              <w:bottom w:val="single" w:sz="4" w:space="0" w:color="auto"/>
              <w:right w:val="single" w:sz="4" w:space="0" w:color="auto"/>
            </w:tcBorders>
            <w:shd w:val="clear" w:color="000000" w:fill="FFFFFF"/>
            <w:vAlign w:val="center"/>
            <w:hideMark/>
          </w:tcPr>
          <w:p w14:paraId="32BCB82F" w14:textId="77777777" w:rsidR="006E444B" w:rsidRPr="00303537" w:rsidRDefault="006E444B" w:rsidP="006E444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u</w:t>
            </w:r>
            <w:r w:rsidRPr="00303537">
              <w:rPr>
                <w:rFonts w:ascii="Times New Roman" w:hAnsi="Times New Roman" w:cs="Times New Roman"/>
                <w:sz w:val="18"/>
                <w:szCs w:val="18"/>
              </w:rPr>
              <w:t>znaniowe</w:t>
            </w:r>
          </w:p>
        </w:tc>
      </w:tr>
      <w:tr w:rsidR="006E444B" w:rsidRPr="00303537" w14:paraId="7FB790BE" w14:textId="77777777" w:rsidTr="006E444B">
        <w:trPr>
          <w:trHeight w:val="224"/>
        </w:trPr>
        <w:tc>
          <w:tcPr>
            <w:tcW w:w="1555" w:type="dxa"/>
            <w:vMerge w:val="restart"/>
            <w:tcBorders>
              <w:top w:val="nil"/>
              <w:left w:val="single" w:sz="4" w:space="0" w:color="auto"/>
              <w:right w:val="single" w:sz="4" w:space="0" w:color="auto"/>
            </w:tcBorders>
            <w:shd w:val="clear" w:color="auto" w:fill="auto"/>
            <w:noWrap/>
            <w:vAlign w:val="bottom"/>
            <w:hideMark/>
          </w:tcPr>
          <w:p w14:paraId="53E4F59B" w14:textId="77777777" w:rsidR="006E444B" w:rsidRPr="00303537" w:rsidRDefault="006E444B" w:rsidP="006E444B">
            <w:pPr>
              <w:spacing w:after="0" w:line="240" w:lineRule="auto"/>
              <w:rPr>
                <w:rFonts w:ascii="Times New Roman" w:hAnsi="Times New Roman" w:cs="Times New Roman"/>
                <w:bCs/>
                <w:sz w:val="18"/>
                <w:szCs w:val="18"/>
              </w:rPr>
            </w:pPr>
            <w:r w:rsidRPr="00303537">
              <w:rPr>
                <w:rFonts w:ascii="Times New Roman" w:hAnsi="Times New Roman" w:cs="Times New Roman"/>
                <w:bCs/>
                <w:sz w:val="18"/>
                <w:szCs w:val="18"/>
              </w:rPr>
              <w:t>Austria*</w:t>
            </w:r>
          </w:p>
        </w:tc>
        <w:tc>
          <w:tcPr>
            <w:tcW w:w="425" w:type="dxa"/>
            <w:tcBorders>
              <w:top w:val="single" w:sz="4" w:space="0" w:color="auto"/>
              <w:left w:val="nil"/>
              <w:bottom w:val="single" w:sz="4" w:space="0" w:color="auto"/>
              <w:right w:val="single" w:sz="4" w:space="0" w:color="auto"/>
            </w:tcBorders>
            <w:vAlign w:val="bottom"/>
          </w:tcPr>
          <w:p w14:paraId="11AF2184" w14:textId="77777777" w:rsidR="006E444B" w:rsidRPr="00303537" w:rsidRDefault="006E444B" w:rsidP="006E444B">
            <w:pPr>
              <w:spacing w:after="0" w:line="240" w:lineRule="auto"/>
              <w:jc w:val="right"/>
              <w:rPr>
                <w:rFonts w:ascii="Times New Roman" w:hAnsi="Times New Roman" w:cs="Times New Roman"/>
                <w:bCs/>
                <w:sz w:val="18"/>
                <w:szCs w:val="18"/>
              </w:rPr>
            </w:pPr>
            <w:r w:rsidRPr="00303537">
              <w:rPr>
                <w:rFonts w:ascii="Times New Roman" w:hAnsi="Times New Roman" w:cs="Times New Roman"/>
                <w:bCs/>
                <w:sz w:val="18"/>
                <w:szCs w:val="18"/>
              </w:rPr>
              <w:t>S</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06A56F24" w14:textId="77777777" w:rsidR="006E444B" w:rsidRPr="00303537" w:rsidRDefault="006E444B" w:rsidP="006E444B">
            <w:pPr>
              <w:spacing w:after="0" w:line="240" w:lineRule="auto"/>
              <w:jc w:val="right"/>
              <w:rPr>
                <w:rFonts w:ascii="Times New Roman" w:hAnsi="Times New Roman" w:cs="Times New Roman"/>
                <w:sz w:val="18"/>
                <w:szCs w:val="18"/>
              </w:rPr>
            </w:pPr>
            <w:r w:rsidRPr="00303537">
              <w:rPr>
                <w:rFonts w:ascii="Times New Roman" w:hAnsi="Times New Roman" w:cs="Times New Roman"/>
                <w:sz w:val="18"/>
                <w:szCs w:val="18"/>
              </w:rPr>
              <w:t>3,2</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13A575AC" w14:textId="77777777" w:rsidR="006E444B" w:rsidRPr="00303537" w:rsidRDefault="006E444B" w:rsidP="006E444B">
            <w:pPr>
              <w:spacing w:after="0" w:line="240" w:lineRule="auto"/>
              <w:jc w:val="right"/>
              <w:rPr>
                <w:rFonts w:ascii="Times New Roman" w:hAnsi="Times New Roman" w:cs="Times New Roman"/>
                <w:sz w:val="18"/>
                <w:szCs w:val="18"/>
              </w:rPr>
            </w:pPr>
            <w:r w:rsidRPr="00303537">
              <w:rPr>
                <w:rFonts w:ascii="Times New Roman" w:hAnsi="Times New Roman" w:cs="Times New Roman"/>
                <w:sz w:val="18"/>
                <w:szCs w:val="18"/>
              </w:rPr>
              <w:t>81,5</w:t>
            </w:r>
          </w:p>
        </w:tc>
        <w:tc>
          <w:tcPr>
            <w:tcW w:w="1275" w:type="dxa"/>
            <w:tcBorders>
              <w:top w:val="nil"/>
              <w:left w:val="nil"/>
              <w:bottom w:val="single" w:sz="4" w:space="0" w:color="auto"/>
              <w:right w:val="single" w:sz="4" w:space="0" w:color="auto"/>
            </w:tcBorders>
            <w:shd w:val="clear" w:color="auto" w:fill="auto"/>
            <w:noWrap/>
            <w:vAlign w:val="bottom"/>
            <w:hideMark/>
          </w:tcPr>
          <w:p w14:paraId="4DA006CC" w14:textId="77777777" w:rsidR="006E444B" w:rsidRPr="00303537" w:rsidRDefault="006E444B" w:rsidP="006E444B">
            <w:pPr>
              <w:spacing w:after="0" w:line="240" w:lineRule="auto"/>
              <w:jc w:val="right"/>
              <w:rPr>
                <w:rFonts w:ascii="Times New Roman" w:hAnsi="Times New Roman" w:cs="Times New Roman"/>
                <w:sz w:val="18"/>
                <w:szCs w:val="18"/>
              </w:rPr>
            </w:pPr>
            <w:r w:rsidRPr="00303537">
              <w:rPr>
                <w:rFonts w:ascii="Times New Roman" w:hAnsi="Times New Roman" w:cs="Times New Roman"/>
                <w:sz w:val="18"/>
                <w:szCs w:val="18"/>
              </w:rPr>
              <w:t>80,4</w:t>
            </w:r>
          </w:p>
        </w:tc>
        <w:tc>
          <w:tcPr>
            <w:tcW w:w="1272" w:type="dxa"/>
            <w:tcBorders>
              <w:top w:val="nil"/>
              <w:left w:val="nil"/>
              <w:bottom w:val="single" w:sz="4" w:space="0" w:color="auto"/>
              <w:right w:val="single" w:sz="4" w:space="0" w:color="auto"/>
            </w:tcBorders>
            <w:shd w:val="clear" w:color="auto" w:fill="auto"/>
            <w:noWrap/>
            <w:vAlign w:val="bottom"/>
            <w:hideMark/>
          </w:tcPr>
          <w:p w14:paraId="0F31AC9C" w14:textId="77777777" w:rsidR="006E444B" w:rsidRPr="00303537" w:rsidRDefault="006E444B" w:rsidP="006E444B">
            <w:pPr>
              <w:spacing w:after="0" w:line="240" w:lineRule="auto"/>
              <w:jc w:val="right"/>
              <w:rPr>
                <w:rFonts w:ascii="Times New Roman" w:hAnsi="Times New Roman" w:cs="Times New Roman"/>
                <w:sz w:val="18"/>
                <w:szCs w:val="18"/>
              </w:rPr>
            </w:pPr>
            <w:r w:rsidRPr="00303537">
              <w:rPr>
                <w:rFonts w:ascii="Times New Roman" w:hAnsi="Times New Roman" w:cs="Times New Roman"/>
                <w:sz w:val="18"/>
                <w:szCs w:val="18"/>
              </w:rPr>
              <w:t>29,6</w:t>
            </w:r>
          </w:p>
        </w:tc>
      </w:tr>
      <w:tr w:rsidR="006E444B" w:rsidRPr="00303537" w14:paraId="7A0DF17B" w14:textId="77777777" w:rsidTr="006E444B">
        <w:trPr>
          <w:trHeight w:val="270"/>
        </w:trPr>
        <w:tc>
          <w:tcPr>
            <w:tcW w:w="1555" w:type="dxa"/>
            <w:vMerge/>
            <w:tcBorders>
              <w:left w:val="single" w:sz="4" w:space="0" w:color="auto"/>
              <w:bottom w:val="single" w:sz="4" w:space="0" w:color="auto"/>
              <w:right w:val="single" w:sz="4" w:space="0" w:color="auto"/>
            </w:tcBorders>
            <w:shd w:val="clear" w:color="auto" w:fill="auto"/>
            <w:noWrap/>
            <w:vAlign w:val="bottom"/>
          </w:tcPr>
          <w:p w14:paraId="4038D271" w14:textId="77777777" w:rsidR="006E444B" w:rsidRPr="00303537" w:rsidRDefault="006E444B" w:rsidP="006E444B">
            <w:pPr>
              <w:spacing w:after="0" w:line="240" w:lineRule="auto"/>
              <w:jc w:val="right"/>
              <w:rPr>
                <w:rFonts w:ascii="Times New Roman" w:hAnsi="Times New Roman" w:cs="Times New Roman"/>
                <w:bCs/>
                <w:sz w:val="18"/>
                <w:szCs w:val="18"/>
              </w:rPr>
            </w:pPr>
          </w:p>
        </w:tc>
        <w:tc>
          <w:tcPr>
            <w:tcW w:w="425" w:type="dxa"/>
            <w:tcBorders>
              <w:top w:val="single" w:sz="4" w:space="0" w:color="auto"/>
              <w:left w:val="nil"/>
              <w:bottom w:val="single" w:sz="4" w:space="0" w:color="auto"/>
              <w:right w:val="single" w:sz="4" w:space="0" w:color="auto"/>
            </w:tcBorders>
            <w:vAlign w:val="bottom"/>
          </w:tcPr>
          <w:p w14:paraId="5EEE17FC" w14:textId="77777777" w:rsidR="006E444B" w:rsidRPr="00303537" w:rsidRDefault="006E444B" w:rsidP="006E444B">
            <w:pPr>
              <w:spacing w:after="0" w:line="240" w:lineRule="auto"/>
              <w:jc w:val="right"/>
              <w:rPr>
                <w:rFonts w:ascii="Times New Roman" w:hAnsi="Times New Roman" w:cs="Times New Roman"/>
                <w:bCs/>
                <w:sz w:val="18"/>
                <w:szCs w:val="18"/>
              </w:rPr>
            </w:pPr>
            <w:r w:rsidRPr="00303537">
              <w:rPr>
                <w:rFonts w:ascii="Times New Roman" w:hAnsi="Times New Roman" w:cs="Times New Roman"/>
                <w:bCs/>
                <w:sz w:val="18"/>
                <w:szCs w:val="18"/>
              </w:rPr>
              <w:t>L</w:t>
            </w:r>
          </w:p>
        </w:tc>
        <w:tc>
          <w:tcPr>
            <w:tcW w:w="1706" w:type="dxa"/>
            <w:tcBorders>
              <w:top w:val="nil"/>
              <w:left w:val="single" w:sz="4" w:space="0" w:color="auto"/>
              <w:bottom w:val="single" w:sz="4" w:space="0" w:color="auto"/>
              <w:right w:val="single" w:sz="4" w:space="0" w:color="auto"/>
            </w:tcBorders>
            <w:shd w:val="clear" w:color="auto" w:fill="auto"/>
            <w:noWrap/>
            <w:vAlign w:val="bottom"/>
          </w:tcPr>
          <w:p w14:paraId="6F1AFDB4" w14:textId="77777777" w:rsidR="006E444B" w:rsidRPr="00303537" w:rsidRDefault="006E444B" w:rsidP="006E444B">
            <w:pPr>
              <w:spacing w:after="0" w:line="240" w:lineRule="auto"/>
              <w:jc w:val="right"/>
              <w:rPr>
                <w:rFonts w:ascii="Times New Roman" w:hAnsi="Times New Roman" w:cs="Times New Roman"/>
                <w:sz w:val="18"/>
                <w:szCs w:val="18"/>
              </w:rPr>
            </w:pPr>
            <w:r w:rsidRPr="00303537">
              <w:rPr>
                <w:rFonts w:ascii="Times New Roman" w:hAnsi="Times New Roman" w:cs="Times New Roman"/>
                <w:sz w:val="18"/>
                <w:szCs w:val="18"/>
              </w:rPr>
              <w:t>0,9</w:t>
            </w:r>
          </w:p>
        </w:tc>
        <w:tc>
          <w:tcPr>
            <w:tcW w:w="1276" w:type="dxa"/>
            <w:tcBorders>
              <w:top w:val="nil"/>
              <w:left w:val="single" w:sz="4" w:space="0" w:color="auto"/>
              <w:bottom w:val="single" w:sz="4" w:space="0" w:color="auto"/>
              <w:right w:val="single" w:sz="4" w:space="0" w:color="auto"/>
            </w:tcBorders>
            <w:shd w:val="clear" w:color="auto" w:fill="auto"/>
            <w:noWrap/>
            <w:vAlign w:val="bottom"/>
          </w:tcPr>
          <w:p w14:paraId="7983D674" w14:textId="77777777" w:rsidR="006E444B" w:rsidRPr="00303537" w:rsidRDefault="006E444B" w:rsidP="006E444B">
            <w:pPr>
              <w:spacing w:after="0" w:line="240" w:lineRule="auto"/>
              <w:jc w:val="right"/>
              <w:rPr>
                <w:rFonts w:ascii="Times New Roman" w:hAnsi="Times New Roman" w:cs="Times New Roman"/>
                <w:sz w:val="18"/>
                <w:szCs w:val="18"/>
              </w:rPr>
            </w:pPr>
            <w:r w:rsidRPr="00303537">
              <w:rPr>
                <w:rFonts w:ascii="Times New Roman" w:hAnsi="Times New Roman" w:cs="Times New Roman"/>
                <w:sz w:val="18"/>
                <w:szCs w:val="18"/>
              </w:rPr>
              <w:t>82,0</w:t>
            </w:r>
          </w:p>
        </w:tc>
        <w:tc>
          <w:tcPr>
            <w:tcW w:w="1275" w:type="dxa"/>
            <w:tcBorders>
              <w:top w:val="nil"/>
              <w:left w:val="nil"/>
              <w:bottom w:val="single" w:sz="4" w:space="0" w:color="auto"/>
              <w:right w:val="single" w:sz="4" w:space="0" w:color="auto"/>
            </w:tcBorders>
            <w:shd w:val="clear" w:color="auto" w:fill="auto"/>
            <w:noWrap/>
            <w:vAlign w:val="bottom"/>
          </w:tcPr>
          <w:p w14:paraId="51C707EA" w14:textId="77777777" w:rsidR="006E444B" w:rsidRPr="00303537" w:rsidRDefault="006E444B" w:rsidP="006E444B">
            <w:pPr>
              <w:spacing w:after="0" w:line="240" w:lineRule="auto"/>
              <w:jc w:val="right"/>
              <w:rPr>
                <w:rFonts w:ascii="Times New Roman" w:hAnsi="Times New Roman" w:cs="Times New Roman"/>
                <w:sz w:val="18"/>
                <w:szCs w:val="18"/>
              </w:rPr>
            </w:pPr>
            <w:r w:rsidRPr="00303537">
              <w:rPr>
                <w:rFonts w:ascii="Times New Roman" w:hAnsi="Times New Roman" w:cs="Times New Roman"/>
                <w:sz w:val="18"/>
                <w:szCs w:val="18"/>
              </w:rPr>
              <w:t>80,0</w:t>
            </w:r>
          </w:p>
        </w:tc>
        <w:tc>
          <w:tcPr>
            <w:tcW w:w="1272" w:type="dxa"/>
            <w:tcBorders>
              <w:top w:val="nil"/>
              <w:left w:val="nil"/>
              <w:bottom w:val="single" w:sz="4" w:space="0" w:color="auto"/>
              <w:right w:val="single" w:sz="4" w:space="0" w:color="auto"/>
            </w:tcBorders>
            <w:shd w:val="clear" w:color="auto" w:fill="auto"/>
            <w:noWrap/>
            <w:vAlign w:val="bottom"/>
          </w:tcPr>
          <w:p w14:paraId="5B878BE0" w14:textId="77777777" w:rsidR="006E444B" w:rsidRPr="00303537" w:rsidRDefault="006E444B" w:rsidP="006E444B">
            <w:pPr>
              <w:spacing w:after="0" w:line="240" w:lineRule="auto"/>
              <w:jc w:val="right"/>
              <w:rPr>
                <w:rFonts w:ascii="Times New Roman" w:hAnsi="Times New Roman" w:cs="Times New Roman"/>
                <w:sz w:val="18"/>
                <w:szCs w:val="18"/>
              </w:rPr>
            </w:pPr>
            <w:r w:rsidRPr="00303537">
              <w:rPr>
                <w:rFonts w:ascii="Times New Roman" w:hAnsi="Times New Roman" w:cs="Times New Roman"/>
                <w:sz w:val="18"/>
                <w:szCs w:val="18"/>
              </w:rPr>
              <w:t>40,2</w:t>
            </w:r>
          </w:p>
        </w:tc>
      </w:tr>
      <w:tr w:rsidR="006E444B" w:rsidRPr="00303537" w14:paraId="3A788F42" w14:textId="77777777" w:rsidTr="006E444B">
        <w:trPr>
          <w:trHeight w:val="132"/>
        </w:trPr>
        <w:tc>
          <w:tcPr>
            <w:tcW w:w="1555" w:type="dxa"/>
            <w:vMerge w:val="restart"/>
            <w:tcBorders>
              <w:top w:val="nil"/>
              <w:left w:val="single" w:sz="4" w:space="0" w:color="auto"/>
              <w:right w:val="single" w:sz="4" w:space="0" w:color="auto"/>
            </w:tcBorders>
            <w:shd w:val="clear" w:color="auto" w:fill="auto"/>
            <w:noWrap/>
            <w:vAlign w:val="bottom"/>
            <w:hideMark/>
          </w:tcPr>
          <w:p w14:paraId="03F5E51D" w14:textId="77777777" w:rsidR="006E444B" w:rsidRPr="00303537" w:rsidRDefault="006E444B" w:rsidP="006E444B">
            <w:pPr>
              <w:spacing w:after="0" w:line="240" w:lineRule="auto"/>
              <w:rPr>
                <w:rFonts w:ascii="Times New Roman" w:hAnsi="Times New Roman" w:cs="Times New Roman"/>
                <w:bCs/>
                <w:sz w:val="18"/>
                <w:szCs w:val="18"/>
              </w:rPr>
            </w:pPr>
            <w:r w:rsidRPr="00303537">
              <w:rPr>
                <w:rFonts w:ascii="Times New Roman" w:hAnsi="Times New Roman" w:cs="Times New Roman"/>
                <w:bCs/>
                <w:sz w:val="18"/>
                <w:szCs w:val="18"/>
              </w:rPr>
              <w:t>Belgia*</w:t>
            </w:r>
          </w:p>
        </w:tc>
        <w:tc>
          <w:tcPr>
            <w:tcW w:w="425" w:type="dxa"/>
            <w:tcBorders>
              <w:top w:val="single" w:sz="4" w:space="0" w:color="auto"/>
              <w:left w:val="nil"/>
              <w:bottom w:val="single" w:sz="4" w:space="0" w:color="auto"/>
              <w:right w:val="single" w:sz="4" w:space="0" w:color="auto"/>
            </w:tcBorders>
            <w:vAlign w:val="bottom"/>
          </w:tcPr>
          <w:p w14:paraId="0B632C88" w14:textId="77777777" w:rsidR="006E444B" w:rsidRPr="00303537" w:rsidRDefault="006E444B" w:rsidP="006E444B">
            <w:pPr>
              <w:spacing w:after="0" w:line="240" w:lineRule="auto"/>
              <w:jc w:val="right"/>
              <w:rPr>
                <w:rFonts w:ascii="Times New Roman" w:hAnsi="Times New Roman" w:cs="Times New Roman"/>
                <w:bCs/>
                <w:sz w:val="18"/>
                <w:szCs w:val="18"/>
              </w:rPr>
            </w:pPr>
            <w:r w:rsidRPr="00303537">
              <w:rPr>
                <w:rFonts w:ascii="Times New Roman" w:hAnsi="Times New Roman" w:cs="Times New Roman"/>
                <w:bCs/>
                <w:sz w:val="18"/>
                <w:szCs w:val="18"/>
              </w:rPr>
              <w:t>S</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76B00A36" w14:textId="77777777" w:rsidR="006E444B" w:rsidRPr="00303537" w:rsidRDefault="006E444B" w:rsidP="006E444B">
            <w:pPr>
              <w:spacing w:after="0" w:line="240" w:lineRule="auto"/>
              <w:jc w:val="right"/>
              <w:rPr>
                <w:rFonts w:ascii="Times New Roman" w:hAnsi="Times New Roman" w:cs="Times New Roman"/>
                <w:sz w:val="18"/>
                <w:szCs w:val="18"/>
              </w:rPr>
            </w:pPr>
            <w:r w:rsidRPr="00303537">
              <w:rPr>
                <w:rFonts w:ascii="Times New Roman" w:hAnsi="Times New Roman" w:cs="Times New Roman"/>
                <w:sz w:val="18"/>
                <w:szCs w:val="18"/>
              </w:rPr>
              <w:t>4,4</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5A84AB48" w14:textId="77777777" w:rsidR="006E444B" w:rsidRPr="00303537" w:rsidRDefault="006E444B" w:rsidP="006E444B">
            <w:pPr>
              <w:spacing w:after="0" w:line="240" w:lineRule="auto"/>
              <w:jc w:val="right"/>
              <w:rPr>
                <w:rFonts w:ascii="Times New Roman" w:hAnsi="Times New Roman" w:cs="Times New Roman"/>
                <w:sz w:val="18"/>
                <w:szCs w:val="18"/>
              </w:rPr>
            </w:pPr>
            <w:r w:rsidRPr="00303537">
              <w:rPr>
                <w:rFonts w:ascii="Times New Roman" w:hAnsi="Times New Roman" w:cs="Times New Roman"/>
                <w:sz w:val="18"/>
                <w:szCs w:val="18"/>
              </w:rPr>
              <w:t>2,9</w:t>
            </w:r>
          </w:p>
        </w:tc>
        <w:tc>
          <w:tcPr>
            <w:tcW w:w="1275" w:type="dxa"/>
            <w:tcBorders>
              <w:top w:val="nil"/>
              <w:left w:val="nil"/>
              <w:bottom w:val="single" w:sz="4" w:space="0" w:color="auto"/>
              <w:right w:val="single" w:sz="4" w:space="0" w:color="auto"/>
            </w:tcBorders>
            <w:shd w:val="clear" w:color="auto" w:fill="auto"/>
            <w:noWrap/>
            <w:vAlign w:val="bottom"/>
            <w:hideMark/>
          </w:tcPr>
          <w:p w14:paraId="2EABD820" w14:textId="77777777" w:rsidR="006E444B" w:rsidRPr="00303537" w:rsidRDefault="006E444B" w:rsidP="006E444B">
            <w:pPr>
              <w:spacing w:after="0" w:line="240" w:lineRule="auto"/>
              <w:jc w:val="right"/>
              <w:rPr>
                <w:rFonts w:ascii="Times New Roman" w:hAnsi="Times New Roman" w:cs="Times New Roman"/>
                <w:sz w:val="18"/>
                <w:szCs w:val="18"/>
              </w:rPr>
            </w:pPr>
            <w:r w:rsidRPr="00303537">
              <w:rPr>
                <w:rFonts w:ascii="Times New Roman" w:hAnsi="Times New Roman" w:cs="Times New Roman"/>
                <w:sz w:val="18"/>
                <w:szCs w:val="18"/>
              </w:rPr>
              <w:t>2,8</w:t>
            </w:r>
          </w:p>
        </w:tc>
        <w:tc>
          <w:tcPr>
            <w:tcW w:w="1272" w:type="dxa"/>
            <w:tcBorders>
              <w:top w:val="nil"/>
              <w:left w:val="nil"/>
              <w:bottom w:val="single" w:sz="4" w:space="0" w:color="auto"/>
              <w:right w:val="single" w:sz="4" w:space="0" w:color="auto"/>
            </w:tcBorders>
            <w:shd w:val="clear" w:color="auto" w:fill="auto"/>
            <w:noWrap/>
            <w:vAlign w:val="bottom"/>
            <w:hideMark/>
          </w:tcPr>
          <w:p w14:paraId="118F1DD8" w14:textId="77777777" w:rsidR="006E444B" w:rsidRPr="00303537" w:rsidRDefault="006E444B" w:rsidP="006E444B">
            <w:pPr>
              <w:spacing w:after="0" w:line="240" w:lineRule="auto"/>
              <w:jc w:val="right"/>
              <w:rPr>
                <w:rFonts w:ascii="Times New Roman" w:hAnsi="Times New Roman" w:cs="Times New Roman"/>
                <w:sz w:val="18"/>
                <w:szCs w:val="18"/>
              </w:rPr>
            </w:pPr>
            <w:r w:rsidRPr="00303537">
              <w:rPr>
                <w:rFonts w:ascii="Times New Roman" w:hAnsi="Times New Roman" w:cs="Times New Roman"/>
                <w:sz w:val="18"/>
                <w:szCs w:val="18"/>
              </w:rPr>
              <w:t>1,6</w:t>
            </w:r>
          </w:p>
        </w:tc>
      </w:tr>
      <w:tr w:rsidR="006E444B" w:rsidRPr="00303537" w14:paraId="5B183140" w14:textId="77777777" w:rsidTr="006E444B">
        <w:trPr>
          <w:trHeight w:val="206"/>
        </w:trPr>
        <w:tc>
          <w:tcPr>
            <w:tcW w:w="1555" w:type="dxa"/>
            <w:vMerge/>
            <w:tcBorders>
              <w:left w:val="single" w:sz="4" w:space="0" w:color="auto"/>
              <w:bottom w:val="single" w:sz="4" w:space="0" w:color="auto"/>
              <w:right w:val="single" w:sz="4" w:space="0" w:color="auto"/>
            </w:tcBorders>
            <w:shd w:val="clear" w:color="auto" w:fill="auto"/>
            <w:noWrap/>
            <w:vAlign w:val="bottom"/>
          </w:tcPr>
          <w:p w14:paraId="3E1C9BC3" w14:textId="77777777" w:rsidR="006E444B" w:rsidRPr="00303537" w:rsidRDefault="006E444B" w:rsidP="006E444B">
            <w:pPr>
              <w:spacing w:after="0" w:line="240" w:lineRule="auto"/>
              <w:jc w:val="right"/>
              <w:rPr>
                <w:rFonts w:ascii="Times New Roman" w:hAnsi="Times New Roman" w:cs="Times New Roman"/>
                <w:bCs/>
                <w:sz w:val="18"/>
                <w:szCs w:val="18"/>
              </w:rPr>
            </w:pPr>
          </w:p>
        </w:tc>
        <w:tc>
          <w:tcPr>
            <w:tcW w:w="425" w:type="dxa"/>
            <w:tcBorders>
              <w:top w:val="single" w:sz="4" w:space="0" w:color="auto"/>
              <w:left w:val="nil"/>
              <w:bottom w:val="single" w:sz="4" w:space="0" w:color="auto"/>
              <w:right w:val="single" w:sz="4" w:space="0" w:color="auto"/>
            </w:tcBorders>
            <w:vAlign w:val="bottom"/>
          </w:tcPr>
          <w:p w14:paraId="6A9057F0" w14:textId="77777777" w:rsidR="006E444B" w:rsidRPr="00303537" w:rsidRDefault="006E444B" w:rsidP="006E444B">
            <w:pPr>
              <w:spacing w:after="0" w:line="240" w:lineRule="auto"/>
              <w:jc w:val="right"/>
              <w:rPr>
                <w:rFonts w:ascii="Times New Roman" w:hAnsi="Times New Roman" w:cs="Times New Roman"/>
                <w:bCs/>
                <w:sz w:val="18"/>
                <w:szCs w:val="18"/>
              </w:rPr>
            </w:pPr>
            <w:r w:rsidRPr="00303537">
              <w:rPr>
                <w:rFonts w:ascii="Times New Roman" w:hAnsi="Times New Roman" w:cs="Times New Roman"/>
                <w:bCs/>
                <w:sz w:val="18"/>
                <w:szCs w:val="18"/>
              </w:rPr>
              <w:t>L</w:t>
            </w:r>
          </w:p>
        </w:tc>
        <w:tc>
          <w:tcPr>
            <w:tcW w:w="1706" w:type="dxa"/>
            <w:tcBorders>
              <w:top w:val="nil"/>
              <w:left w:val="single" w:sz="4" w:space="0" w:color="auto"/>
              <w:bottom w:val="single" w:sz="4" w:space="0" w:color="auto"/>
              <w:right w:val="single" w:sz="4" w:space="0" w:color="auto"/>
            </w:tcBorders>
            <w:shd w:val="clear" w:color="auto" w:fill="auto"/>
            <w:noWrap/>
            <w:vAlign w:val="bottom"/>
          </w:tcPr>
          <w:p w14:paraId="3E8A72B2" w14:textId="77777777" w:rsidR="006E444B" w:rsidRPr="00303537" w:rsidRDefault="006E444B" w:rsidP="006E444B">
            <w:pPr>
              <w:spacing w:after="0" w:line="240" w:lineRule="auto"/>
              <w:jc w:val="right"/>
              <w:rPr>
                <w:rFonts w:ascii="Times New Roman" w:hAnsi="Times New Roman" w:cs="Times New Roman"/>
                <w:sz w:val="18"/>
                <w:szCs w:val="18"/>
              </w:rPr>
            </w:pPr>
            <w:r w:rsidRPr="00303537">
              <w:rPr>
                <w:rFonts w:ascii="Times New Roman" w:hAnsi="Times New Roman" w:cs="Times New Roman"/>
                <w:sz w:val="18"/>
                <w:szCs w:val="18"/>
              </w:rPr>
              <w:t>3,0</w:t>
            </w:r>
          </w:p>
        </w:tc>
        <w:tc>
          <w:tcPr>
            <w:tcW w:w="1276" w:type="dxa"/>
            <w:tcBorders>
              <w:top w:val="nil"/>
              <w:left w:val="single" w:sz="4" w:space="0" w:color="auto"/>
              <w:bottom w:val="single" w:sz="4" w:space="0" w:color="auto"/>
              <w:right w:val="single" w:sz="4" w:space="0" w:color="auto"/>
            </w:tcBorders>
            <w:shd w:val="clear" w:color="auto" w:fill="auto"/>
            <w:noWrap/>
            <w:vAlign w:val="bottom"/>
          </w:tcPr>
          <w:p w14:paraId="605EEEB4" w14:textId="77777777" w:rsidR="006E444B" w:rsidRPr="00303537" w:rsidRDefault="006E444B" w:rsidP="006E444B">
            <w:pPr>
              <w:spacing w:after="0" w:line="240" w:lineRule="auto"/>
              <w:jc w:val="right"/>
              <w:rPr>
                <w:rFonts w:ascii="Times New Roman" w:hAnsi="Times New Roman" w:cs="Times New Roman"/>
                <w:sz w:val="18"/>
                <w:szCs w:val="18"/>
              </w:rPr>
            </w:pPr>
            <w:r w:rsidRPr="00303537">
              <w:rPr>
                <w:rFonts w:ascii="Times New Roman" w:hAnsi="Times New Roman" w:cs="Times New Roman"/>
                <w:sz w:val="18"/>
                <w:szCs w:val="18"/>
              </w:rPr>
              <w:t>50,1</w:t>
            </w:r>
          </w:p>
        </w:tc>
        <w:tc>
          <w:tcPr>
            <w:tcW w:w="1275" w:type="dxa"/>
            <w:tcBorders>
              <w:top w:val="nil"/>
              <w:left w:val="nil"/>
              <w:bottom w:val="single" w:sz="4" w:space="0" w:color="auto"/>
              <w:right w:val="single" w:sz="4" w:space="0" w:color="auto"/>
            </w:tcBorders>
            <w:shd w:val="clear" w:color="auto" w:fill="auto"/>
            <w:noWrap/>
            <w:vAlign w:val="bottom"/>
          </w:tcPr>
          <w:p w14:paraId="34F859A4" w14:textId="77777777" w:rsidR="006E444B" w:rsidRPr="00303537" w:rsidRDefault="006E444B" w:rsidP="006E444B">
            <w:pPr>
              <w:spacing w:after="0" w:line="240" w:lineRule="auto"/>
              <w:jc w:val="right"/>
              <w:rPr>
                <w:rFonts w:ascii="Times New Roman" w:hAnsi="Times New Roman" w:cs="Times New Roman"/>
                <w:sz w:val="18"/>
                <w:szCs w:val="18"/>
              </w:rPr>
            </w:pPr>
            <w:r w:rsidRPr="00303537">
              <w:rPr>
                <w:rFonts w:ascii="Times New Roman" w:hAnsi="Times New Roman" w:cs="Times New Roman"/>
                <w:sz w:val="18"/>
                <w:szCs w:val="18"/>
              </w:rPr>
              <w:t>50,1</w:t>
            </w:r>
          </w:p>
        </w:tc>
        <w:tc>
          <w:tcPr>
            <w:tcW w:w="1272" w:type="dxa"/>
            <w:tcBorders>
              <w:top w:val="nil"/>
              <w:left w:val="nil"/>
              <w:bottom w:val="single" w:sz="4" w:space="0" w:color="auto"/>
              <w:right w:val="single" w:sz="4" w:space="0" w:color="auto"/>
            </w:tcBorders>
            <w:shd w:val="clear" w:color="auto" w:fill="auto"/>
            <w:noWrap/>
            <w:vAlign w:val="bottom"/>
          </w:tcPr>
          <w:p w14:paraId="3693B1C9" w14:textId="77777777" w:rsidR="006E444B" w:rsidRPr="00303537" w:rsidRDefault="006E444B" w:rsidP="006E444B">
            <w:pPr>
              <w:spacing w:after="0" w:line="240" w:lineRule="auto"/>
              <w:jc w:val="right"/>
              <w:rPr>
                <w:rFonts w:ascii="Times New Roman" w:hAnsi="Times New Roman" w:cs="Times New Roman"/>
                <w:sz w:val="18"/>
                <w:szCs w:val="18"/>
              </w:rPr>
            </w:pPr>
            <w:r w:rsidRPr="00303537">
              <w:rPr>
                <w:rFonts w:ascii="Times New Roman" w:hAnsi="Times New Roman" w:cs="Times New Roman"/>
                <w:sz w:val="18"/>
                <w:szCs w:val="18"/>
              </w:rPr>
              <w:t>-</w:t>
            </w:r>
          </w:p>
        </w:tc>
      </w:tr>
      <w:tr w:rsidR="006E444B" w:rsidRPr="00303537" w14:paraId="58A8EA78" w14:textId="77777777" w:rsidTr="006E444B">
        <w:trPr>
          <w:trHeight w:val="138"/>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4A265E28" w14:textId="77777777" w:rsidR="006E444B" w:rsidRPr="00303537" w:rsidRDefault="006E444B" w:rsidP="006E444B">
            <w:pPr>
              <w:spacing w:after="0" w:line="240" w:lineRule="auto"/>
              <w:rPr>
                <w:rFonts w:ascii="Times New Roman" w:hAnsi="Times New Roman" w:cs="Times New Roman"/>
                <w:bCs/>
                <w:sz w:val="18"/>
                <w:szCs w:val="18"/>
              </w:rPr>
            </w:pPr>
            <w:r w:rsidRPr="00303537">
              <w:rPr>
                <w:rFonts w:ascii="Times New Roman" w:hAnsi="Times New Roman" w:cs="Times New Roman"/>
                <w:bCs/>
                <w:sz w:val="18"/>
                <w:szCs w:val="18"/>
              </w:rPr>
              <w:t>Dania</w:t>
            </w:r>
          </w:p>
        </w:tc>
        <w:tc>
          <w:tcPr>
            <w:tcW w:w="425" w:type="dxa"/>
            <w:tcBorders>
              <w:top w:val="single" w:sz="4" w:space="0" w:color="auto"/>
              <w:left w:val="nil"/>
              <w:bottom w:val="single" w:sz="4" w:space="0" w:color="auto"/>
              <w:right w:val="single" w:sz="4" w:space="0" w:color="auto"/>
            </w:tcBorders>
          </w:tcPr>
          <w:p w14:paraId="3CF712AD" w14:textId="77777777" w:rsidR="006E444B" w:rsidRPr="00303537" w:rsidRDefault="006E444B" w:rsidP="006E444B">
            <w:pPr>
              <w:spacing w:after="0" w:line="240" w:lineRule="auto"/>
              <w:jc w:val="right"/>
              <w:rPr>
                <w:rFonts w:ascii="Times New Roman" w:hAnsi="Times New Roman" w:cs="Times New Roman"/>
                <w:sz w:val="18"/>
                <w:szCs w:val="18"/>
              </w:rPr>
            </w:pPr>
            <w:r w:rsidRPr="00303537">
              <w:rPr>
                <w:rFonts w:ascii="Times New Roman" w:hAnsi="Times New Roman" w:cs="Times New Roman"/>
                <w:color w:val="000000"/>
                <w:sz w:val="18"/>
                <w:szCs w:val="18"/>
              </w:rPr>
              <w:t>L</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D945122" w14:textId="77777777" w:rsidR="006E444B" w:rsidRPr="00303537" w:rsidRDefault="006E444B" w:rsidP="006E444B">
            <w:pPr>
              <w:spacing w:after="0" w:line="240" w:lineRule="auto"/>
              <w:jc w:val="right"/>
              <w:rPr>
                <w:rFonts w:ascii="Times New Roman" w:hAnsi="Times New Roman" w:cs="Times New Roman"/>
                <w:sz w:val="18"/>
                <w:szCs w:val="18"/>
              </w:rPr>
            </w:pPr>
            <w:r w:rsidRPr="00303537">
              <w:rPr>
                <w:rFonts w:ascii="Times New Roman" w:hAnsi="Times New Roman" w:cs="Times New Roman"/>
                <w:sz w:val="18"/>
                <w:szCs w:val="18"/>
              </w:rPr>
              <w:t>19,2</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6DF980D5" w14:textId="77777777" w:rsidR="006E444B" w:rsidRPr="00303537" w:rsidRDefault="006E444B" w:rsidP="006E444B">
            <w:pPr>
              <w:spacing w:after="0" w:line="240" w:lineRule="auto"/>
              <w:jc w:val="right"/>
              <w:rPr>
                <w:rFonts w:ascii="Times New Roman" w:hAnsi="Times New Roman" w:cs="Times New Roman"/>
                <w:sz w:val="18"/>
                <w:szCs w:val="18"/>
              </w:rPr>
            </w:pPr>
            <w:r w:rsidRPr="00303537">
              <w:rPr>
                <w:rFonts w:ascii="Times New Roman" w:hAnsi="Times New Roman" w:cs="Times New Roman"/>
                <w:sz w:val="18"/>
                <w:szCs w:val="18"/>
              </w:rPr>
              <w:t>52,6</w:t>
            </w:r>
          </w:p>
        </w:tc>
        <w:tc>
          <w:tcPr>
            <w:tcW w:w="1275" w:type="dxa"/>
            <w:tcBorders>
              <w:top w:val="nil"/>
              <w:left w:val="nil"/>
              <w:bottom w:val="single" w:sz="4" w:space="0" w:color="auto"/>
              <w:right w:val="single" w:sz="4" w:space="0" w:color="auto"/>
            </w:tcBorders>
            <w:shd w:val="clear" w:color="auto" w:fill="auto"/>
            <w:noWrap/>
            <w:vAlign w:val="bottom"/>
            <w:hideMark/>
          </w:tcPr>
          <w:p w14:paraId="17D05268" w14:textId="77777777" w:rsidR="006E444B" w:rsidRPr="00303537" w:rsidRDefault="006E444B" w:rsidP="006E444B">
            <w:pPr>
              <w:spacing w:after="0" w:line="240" w:lineRule="auto"/>
              <w:jc w:val="right"/>
              <w:rPr>
                <w:rFonts w:ascii="Times New Roman" w:hAnsi="Times New Roman" w:cs="Times New Roman"/>
                <w:sz w:val="18"/>
                <w:szCs w:val="18"/>
              </w:rPr>
            </w:pPr>
            <w:r w:rsidRPr="00303537">
              <w:rPr>
                <w:rFonts w:ascii="Times New Roman" w:hAnsi="Times New Roman" w:cs="Times New Roman"/>
                <w:sz w:val="18"/>
                <w:szCs w:val="18"/>
              </w:rPr>
              <w:t>52,6</w:t>
            </w:r>
          </w:p>
        </w:tc>
        <w:tc>
          <w:tcPr>
            <w:tcW w:w="1272" w:type="dxa"/>
            <w:tcBorders>
              <w:top w:val="nil"/>
              <w:left w:val="nil"/>
              <w:bottom w:val="single" w:sz="4" w:space="0" w:color="auto"/>
              <w:right w:val="single" w:sz="4" w:space="0" w:color="auto"/>
            </w:tcBorders>
            <w:shd w:val="clear" w:color="auto" w:fill="auto"/>
            <w:noWrap/>
            <w:vAlign w:val="bottom"/>
            <w:hideMark/>
          </w:tcPr>
          <w:p w14:paraId="2DF63055" w14:textId="77777777" w:rsidR="006E444B" w:rsidRPr="00303537" w:rsidRDefault="006E444B" w:rsidP="006E444B">
            <w:pPr>
              <w:spacing w:after="0" w:line="240" w:lineRule="auto"/>
              <w:jc w:val="right"/>
              <w:rPr>
                <w:rFonts w:ascii="Times New Roman" w:hAnsi="Times New Roman" w:cs="Times New Roman"/>
                <w:sz w:val="18"/>
                <w:szCs w:val="18"/>
              </w:rPr>
            </w:pPr>
            <w:r w:rsidRPr="00303537">
              <w:rPr>
                <w:rFonts w:ascii="Times New Roman" w:hAnsi="Times New Roman" w:cs="Times New Roman"/>
                <w:sz w:val="18"/>
                <w:szCs w:val="18"/>
              </w:rPr>
              <w:t>-</w:t>
            </w:r>
          </w:p>
        </w:tc>
      </w:tr>
      <w:tr w:rsidR="006E444B" w:rsidRPr="00303537" w14:paraId="045D9496" w14:textId="77777777" w:rsidTr="006E444B">
        <w:trPr>
          <w:trHeight w:val="198"/>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6337E345" w14:textId="77777777" w:rsidR="006E444B" w:rsidRPr="00303537" w:rsidRDefault="006E444B" w:rsidP="006E444B">
            <w:pPr>
              <w:spacing w:after="0" w:line="240" w:lineRule="auto"/>
              <w:rPr>
                <w:rFonts w:ascii="Times New Roman" w:hAnsi="Times New Roman" w:cs="Times New Roman"/>
                <w:bCs/>
                <w:color w:val="000000"/>
                <w:sz w:val="18"/>
                <w:szCs w:val="18"/>
              </w:rPr>
            </w:pPr>
            <w:r w:rsidRPr="00303537">
              <w:rPr>
                <w:rFonts w:ascii="Times New Roman" w:hAnsi="Times New Roman" w:cs="Times New Roman"/>
                <w:bCs/>
                <w:color w:val="000000"/>
                <w:sz w:val="18"/>
                <w:szCs w:val="18"/>
              </w:rPr>
              <w:t>Estonia</w:t>
            </w:r>
          </w:p>
        </w:tc>
        <w:tc>
          <w:tcPr>
            <w:tcW w:w="425" w:type="dxa"/>
            <w:tcBorders>
              <w:top w:val="single" w:sz="4" w:space="0" w:color="auto"/>
              <w:left w:val="nil"/>
              <w:bottom w:val="single" w:sz="4" w:space="0" w:color="auto"/>
              <w:right w:val="single" w:sz="4" w:space="0" w:color="auto"/>
            </w:tcBorders>
          </w:tcPr>
          <w:p w14:paraId="7216BA8F" w14:textId="77777777" w:rsidR="006E444B" w:rsidRPr="00303537" w:rsidRDefault="006E444B" w:rsidP="006E444B">
            <w:pPr>
              <w:spacing w:after="0" w:line="240" w:lineRule="auto"/>
              <w:jc w:val="right"/>
              <w:rPr>
                <w:rFonts w:ascii="Times New Roman" w:hAnsi="Times New Roman" w:cs="Times New Roman"/>
                <w:sz w:val="18"/>
                <w:szCs w:val="18"/>
              </w:rPr>
            </w:pPr>
            <w:r w:rsidRPr="00303537">
              <w:rPr>
                <w:rFonts w:ascii="Times New Roman" w:hAnsi="Times New Roman" w:cs="Times New Roman"/>
                <w:color w:val="000000"/>
                <w:sz w:val="18"/>
                <w:szCs w:val="18"/>
              </w:rPr>
              <w:t>L</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D0000C0" w14:textId="77777777" w:rsidR="006E444B" w:rsidRPr="00303537" w:rsidRDefault="006E444B" w:rsidP="006E444B">
            <w:pPr>
              <w:spacing w:after="0" w:line="240" w:lineRule="auto"/>
              <w:jc w:val="right"/>
              <w:rPr>
                <w:rFonts w:ascii="Times New Roman" w:hAnsi="Times New Roman" w:cs="Times New Roman"/>
                <w:sz w:val="18"/>
                <w:szCs w:val="18"/>
              </w:rPr>
            </w:pPr>
            <w:r w:rsidRPr="00303537">
              <w:rPr>
                <w:rFonts w:ascii="Times New Roman" w:hAnsi="Times New Roman" w:cs="Times New Roman"/>
                <w:sz w:val="18"/>
                <w:szCs w:val="18"/>
              </w:rPr>
              <w:t>3,1</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3429A8E2" w14:textId="77777777" w:rsidR="006E444B" w:rsidRPr="00303537" w:rsidRDefault="006E444B" w:rsidP="006E444B">
            <w:pPr>
              <w:spacing w:after="0" w:line="240" w:lineRule="auto"/>
              <w:jc w:val="right"/>
              <w:rPr>
                <w:rFonts w:ascii="Times New Roman" w:hAnsi="Times New Roman" w:cs="Times New Roman"/>
                <w:sz w:val="18"/>
                <w:szCs w:val="18"/>
              </w:rPr>
            </w:pPr>
            <w:r w:rsidRPr="00303537">
              <w:rPr>
                <w:rFonts w:ascii="Times New Roman" w:hAnsi="Times New Roman" w:cs="Times New Roman"/>
                <w:sz w:val="18"/>
                <w:szCs w:val="18"/>
              </w:rPr>
              <w:t>28,6</w:t>
            </w:r>
          </w:p>
        </w:tc>
        <w:tc>
          <w:tcPr>
            <w:tcW w:w="1275" w:type="dxa"/>
            <w:tcBorders>
              <w:top w:val="nil"/>
              <w:left w:val="nil"/>
              <w:bottom w:val="single" w:sz="4" w:space="0" w:color="auto"/>
              <w:right w:val="single" w:sz="4" w:space="0" w:color="auto"/>
            </w:tcBorders>
            <w:shd w:val="clear" w:color="auto" w:fill="auto"/>
            <w:noWrap/>
            <w:vAlign w:val="bottom"/>
            <w:hideMark/>
          </w:tcPr>
          <w:p w14:paraId="3D40A591" w14:textId="77777777" w:rsidR="006E444B" w:rsidRPr="00303537" w:rsidRDefault="006E444B" w:rsidP="006E444B">
            <w:pPr>
              <w:spacing w:after="0" w:line="240" w:lineRule="auto"/>
              <w:jc w:val="right"/>
              <w:rPr>
                <w:rFonts w:ascii="Times New Roman" w:hAnsi="Times New Roman" w:cs="Times New Roman"/>
                <w:sz w:val="18"/>
                <w:szCs w:val="18"/>
              </w:rPr>
            </w:pPr>
            <w:r w:rsidRPr="00303537">
              <w:rPr>
                <w:rFonts w:ascii="Times New Roman" w:hAnsi="Times New Roman" w:cs="Times New Roman"/>
                <w:sz w:val="18"/>
                <w:szCs w:val="18"/>
              </w:rPr>
              <w:t>-</w:t>
            </w:r>
          </w:p>
        </w:tc>
        <w:tc>
          <w:tcPr>
            <w:tcW w:w="1272" w:type="dxa"/>
            <w:tcBorders>
              <w:top w:val="nil"/>
              <w:left w:val="nil"/>
              <w:bottom w:val="single" w:sz="4" w:space="0" w:color="auto"/>
              <w:right w:val="single" w:sz="4" w:space="0" w:color="auto"/>
            </w:tcBorders>
            <w:shd w:val="clear" w:color="auto" w:fill="auto"/>
            <w:noWrap/>
            <w:vAlign w:val="bottom"/>
            <w:hideMark/>
          </w:tcPr>
          <w:p w14:paraId="741C7FBE" w14:textId="77777777" w:rsidR="006E444B" w:rsidRPr="00303537" w:rsidRDefault="006E444B" w:rsidP="006E444B">
            <w:pPr>
              <w:spacing w:after="0" w:line="240" w:lineRule="auto"/>
              <w:jc w:val="right"/>
              <w:rPr>
                <w:rFonts w:ascii="Times New Roman" w:hAnsi="Times New Roman" w:cs="Times New Roman"/>
                <w:sz w:val="18"/>
                <w:szCs w:val="18"/>
              </w:rPr>
            </w:pPr>
            <w:r w:rsidRPr="00303537">
              <w:rPr>
                <w:rFonts w:ascii="Times New Roman" w:hAnsi="Times New Roman" w:cs="Times New Roman"/>
                <w:sz w:val="18"/>
                <w:szCs w:val="18"/>
              </w:rPr>
              <w:t>- </w:t>
            </w:r>
          </w:p>
        </w:tc>
      </w:tr>
      <w:tr w:rsidR="006E444B" w:rsidRPr="00303537" w14:paraId="12A9BE2A" w14:textId="77777777" w:rsidTr="006E444B">
        <w:trPr>
          <w:trHeight w:val="189"/>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1519FC03" w14:textId="77777777" w:rsidR="006E444B" w:rsidRPr="00303537" w:rsidRDefault="006E444B" w:rsidP="006E444B">
            <w:pPr>
              <w:spacing w:after="0" w:line="240" w:lineRule="auto"/>
              <w:rPr>
                <w:rFonts w:ascii="Times New Roman" w:hAnsi="Times New Roman" w:cs="Times New Roman"/>
                <w:bCs/>
                <w:sz w:val="18"/>
                <w:szCs w:val="18"/>
              </w:rPr>
            </w:pPr>
            <w:r w:rsidRPr="00303537">
              <w:rPr>
                <w:rFonts w:ascii="Times New Roman" w:hAnsi="Times New Roman" w:cs="Times New Roman"/>
                <w:bCs/>
                <w:sz w:val="18"/>
                <w:szCs w:val="18"/>
              </w:rPr>
              <w:t>Finlandia</w:t>
            </w:r>
          </w:p>
        </w:tc>
        <w:tc>
          <w:tcPr>
            <w:tcW w:w="425" w:type="dxa"/>
            <w:tcBorders>
              <w:top w:val="single" w:sz="4" w:space="0" w:color="auto"/>
              <w:left w:val="nil"/>
              <w:bottom w:val="single" w:sz="4" w:space="0" w:color="auto"/>
              <w:right w:val="single" w:sz="4" w:space="0" w:color="auto"/>
            </w:tcBorders>
          </w:tcPr>
          <w:p w14:paraId="20E5B770" w14:textId="77777777" w:rsidR="006E444B" w:rsidRPr="00303537" w:rsidRDefault="006E444B" w:rsidP="006E444B">
            <w:pPr>
              <w:spacing w:after="0" w:line="240" w:lineRule="auto"/>
              <w:jc w:val="right"/>
              <w:rPr>
                <w:rFonts w:ascii="Times New Roman" w:hAnsi="Times New Roman" w:cs="Times New Roman"/>
                <w:sz w:val="18"/>
                <w:szCs w:val="18"/>
              </w:rPr>
            </w:pPr>
            <w:r w:rsidRPr="00303537">
              <w:rPr>
                <w:rFonts w:ascii="Times New Roman" w:hAnsi="Times New Roman" w:cs="Times New Roman"/>
                <w:color w:val="000000"/>
                <w:sz w:val="18"/>
                <w:szCs w:val="18"/>
              </w:rPr>
              <w:t>L</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27BB0DF1" w14:textId="77777777" w:rsidR="006E444B" w:rsidRPr="00303537" w:rsidRDefault="006E444B" w:rsidP="006E444B">
            <w:pPr>
              <w:spacing w:after="0" w:line="240" w:lineRule="auto"/>
              <w:jc w:val="right"/>
              <w:rPr>
                <w:rFonts w:ascii="Times New Roman" w:hAnsi="Times New Roman" w:cs="Times New Roman"/>
                <w:sz w:val="18"/>
                <w:szCs w:val="18"/>
              </w:rPr>
            </w:pPr>
            <w:r w:rsidRPr="00303537">
              <w:rPr>
                <w:rFonts w:ascii="Times New Roman" w:hAnsi="Times New Roman" w:cs="Times New Roman"/>
                <w:sz w:val="18"/>
                <w:szCs w:val="18"/>
              </w:rPr>
              <w:t>6,6</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4E12B09D" w14:textId="77777777" w:rsidR="006E444B" w:rsidRPr="00303537" w:rsidRDefault="006E444B" w:rsidP="006E444B">
            <w:pPr>
              <w:spacing w:after="0" w:line="240" w:lineRule="auto"/>
              <w:jc w:val="right"/>
              <w:rPr>
                <w:rFonts w:ascii="Times New Roman" w:hAnsi="Times New Roman" w:cs="Times New Roman"/>
                <w:sz w:val="18"/>
                <w:szCs w:val="18"/>
              </w:rPr>
            </w:pPr>
            <w:r w:rsidRPr="00303537">
              <w:rPr>
                <w:rFonts w:ascii="Times New Roman" w:hAnsi="Times New Roman" w:cs="Times New Roman"/>
                <w:sz w:val="18"/>
                <w:szCs w:val="18"/>
              </w:rPr>
              <w:t>7,1</w:t>
            </w:r>
          </w:p>
        </w:tc>
        <w:tc>
          <w:tcPr>
            <w:tcW w:w="1275" w:type="dxa"/>
            <w:tcBorders>
              <w:top w:val="nil"/>
              <w:left w:val="nil"/>
              <w:bottom w:val="single" w:sz="4" w:space="0" w:color="auto"/>
              <w:right w:val="single" w:sz="4" w:space="0" w:color="auto"/>
            </w:tcBorders>
            <w:shd w:val="clear" w:color="auto" w:fill="auto"/>
            <w:noWrap/>
            <w:vAlign w:val="bottom"/>
            <w:hideMark/>
          </w:tcPr>
          <w:p w14:paraId="3E0E5D9D" w14:textId="77777777" w:rsidR="006E444B" w:rsidRPr="00303537" w:rsidRDefault="006E444B" w:rsidP="006E444B">
            <w:pPr>
              <w:spacing w:after="0" w:line="240" w:lineRule="auto"/>
              <w:jc w:val="right"/>
              <w:rPr>
                <w:rFonts w:ascii="Times New Roman" w:hAnsi="Times New Roman" w:cs="Times New Roman"/>
                <w:sz w:val="18"/>
                <w:szCs w:val="18"/>
              </w:rPr>
            </w:pPr>
            <w:r w:rsidRPr="00303537">
              <w:rPr>
                <w:rFonts w:ascii="Times New Roman" w:hAnsi="Times New Roman" w:cs="Times New Roman"/>
                <w:sz w:val="18"/>
                <w:szCs w:val="18"/>
              </w:rPr>
              <w:t>3,4</w:t>
            </w:r>
          </w:p>
        </w:tc>
        <w:tc>
          <w:tcPr>
            <w:tcW w:w="1272" w:type="dxa"/>
            <w:tcBorders>
              <w:top w:val="nil"/>
              <w:left w:val="nil"/>
              <w:bottom w:val="single" w:sz="4" w:space="0" w:color="auto"/>
              <w:right w:val="single" w:sz="4" w:space="0" w:color="auto"/>
            </w:tcBorders>
            <w:shd w:val="clear" w:color="auto" w:fill="auto"/>
            <w:noWrap/>
            <w:vAlign w:val="bottom"/>
            <w:hideMark/>
          </w:tcPr>
          <w:p w14:paraId="482A1D10" w14:textId="77777777" w:rsidR="006E444B" w:rsidRPr="00303537" w:rsidRDefault="006E444B" w:rsidP="006E444B">
            <w:pPr>
              <w:spacing w:after="0" w:line="240" w:lineRule="auto"/>
              <w:jc w:val="right"/>
              <w:rPr>
                <w:rFonts w:ascii="Times New Roman" w:hAnsi="Times New Roman" w:cs="Times New Roman"/>
                <w:sz w:val="18"/>
                <w:szCs w:val="18"/>
              </w:rPr>
            </w:pPr>
            <w:r w:rsidRPr="00303537">
              <w:rPr>
                <w:rFonts w:ascii="Times New Roman" w:hAnsi="Times New Roman" w:cs="Times New Roman"/>
                <w:sz w:val="18"/>
                <w:szCs w:val="18"/>
              </w:rPr>
              <w:t>3,7</w:t>
            </w:r>
          </w:p>
        </w:tc>
      </w:tr>
      <w:tr w:rsidR="006E444B" w:rsidRPr="00303537" w14:paraId="4CB69ADF" w14:textId="77777777" w:rsidTr="006E444B">
        <w:trPr>
          <w:trHeight w:val="204"/>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14F11273" w14:textId="77777777" w:rsidR="006E444B" w:rsidRPr="00303537" w:rsidRDefault="006E444B" w:rsidP="006E444B">
            <w:pPr>
              <w:spacing w:after="0" w:line="240" w:lineRule="auto"/>
              <w:rPr>
                <w:rFonts w:ascii="Times New Roman" w:hAnsi="Times New Roman" w:cs="Times New Roman"/>
                <w:bCs/>
                <w:sz w:val="18"/>
                <w:szCs w:val="18"/>
              </w:rPr>
            </w:pPr>
            <w:r w:rsidRPr="00303537">
              <w:rPr>
                <w:rFonts w:ascii="Times New Roman" w:hAnsi="Times New Roman" w:cs="Times New Roman"/>
                <w:bCs/>
                <w:sz w:val="18"/>
                <w:szCs w:val="18"/>
              </w:rPr>
              <w:t>Francja*</w:t>
            </w:r>
          </w:p>
        </w:tc>
        <w:tc>
          <w:tcPr>
            <w:tcW w:w="425" w:type="dxa"/>
            <w:tcBorders>
              <w:top w:val="single" w:sz="4" w:space="0" w:color="auto"/>
              <w:left w:val="nil"/>
              <w:bottom w:val="single" w:sz="4" w:space="0" w:color="auto"/>
              <w:right w:val="single" w:sz="4" w:space="0" w:color="auto"/>
            </w:tcBorders>
          </w:tcPr>
          <w:p w14:paraId="7F5D7A4C" w14:textId="77777777" w:rsidR="006E444B" w:rsidRPr="00303537" w:rsidRDefault="006E444B" w:rsidP="006E444B">
            <w:pPr>
              <w:spacing w:after="0" w:line="240" w:lineRule="auto"/>
              <w:jc w:val="right"/>
              <w:rPr>
                <w:rFonts w:ascii="Times New Roman" w:hAnsi="Times New Roman" w:cs="Times New Roman"/>
                <w:sz w:val="18"/>
                <w:szCs w:val="18"/>
              </w:rPr>
            </w:pPr>
            <w:r w:rsidRPr="00303537">
              <w:rPr>
                <w:rFonts w:ascii="Times New Roman" w:hAnsi="Times New Roman" w:cs="Times New Roman"/>
                <w:bCs/>
                <w:sz w:val="18"/>
                <w:szCs w:val="18"/>
              </w:rPr>
              <w:t>L</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4029C27A" w14:textId="77777777" w:rsidR="006E444B" w:rsidRPr="00303537" w:rsidRDefault="006E444B" w:rsidP="006E444B">
            <w:pPr>
              <w:spacing w:after="0" w:line="240" w:lineRule="auto"/>
              <w:jc w:val="right"/>
              <w:rPr>
                <w:rFonts w:ascii="Times New Roman" w:hAnsi="Times New Roman" w:cs="Times New Roman"/>
                <w:sz w:val="18"/>
                <w:szCs w:val="18"/>
              </w:rPr>
            </w:pPr>
            <w:r w:rsidRPr="00303537">
              <w:rPr>
                <w:rFonts w:ascii="Times New Roman" w:hAnsi="Times New Roman" w:cs="Times New Roman"/>
                <w:sz w:val="18"/>
                <w:szCs w:val="18"/>
              </w:rPr>
              <w:t>3,8</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1D168861" w14:textId="77777777" w:rsidR="006E444B" w:rsidRPr="00303537" w:rsidRDefault="006E444B" w:rsidP="006E444B">
            <w:pPr>
              <w:spacing w:after="0" w:line="240" w:lineRule="auto"/>
              <w:jc w:val="right"/>
              <w:rPr>
                <w:rFonts w:ascii="Times New Roman" w:hAnsi="Times New Roman" w:cs="Times New Roman"/>
                <w:sz w:val="18"/>
                <w:szCs w:val="18"/>
              </w:rPr>
            </w:pPr>
            <w:r w:rsidRPr="00303537">
              <w:rPr>
                <w:rFonts w:ascii="Times New Roman" w:hAnsi="Times New Roman" w:cs="Times New Roman"/>
                <w:sz w:val="18"/>
                <w:szCs w:val="18"/>
              </w:rPr>
              <w:t>19,1</w:t>
            </w:r>
          </w:p>
        </w:tc>
        <w:tc>
          <w:tcPr>
            <w:tcW w:w="1275" w:type="dxa"/>
            <w:tcBorders>
              <w:top w:val="nil"/>
              <w:left w:val="nil"/>
              <w:bottom w:val="single" w:sz="4" w:space="0" w:color="auto"/>
              <w:right w:val="single" w:sz="4" w:space="0" w:color="auto"/>
            </w:tcBorders>
            <w:shd w:val="clear" w:color="auto" w:fill="auto"/>
            <w:noWrap/>
            <w:vAlign w:val="bottom"/>
            <w:hideMark/>
          </w:tcPr>
          <w:p w14:paraId="047AC4B6" w14:textId="77777777" w:rsidR="006E444B" w:rsidRPr="00303537" w:rsidRDefault="006E444B" w:rsidP="006E444B">
            <w:pPr>
              <w:spacing w:after="0" w:line="240" w:lineRule="auto"/>
              <w:jc w:val="right"/>
              <w:rPr>
                <w:rFonts w:ascii="Times New Roman" w:hAnsi="Times New Roman" w:cs="Times New Roman"/>
                <w:sz w:val="18"/>
                <w:szCs w:val="18"/>
              </w:rPr>
            </w:pPr>
            <w:r w:rsidRPr="00303537">
              <w:rPr>
                <w:rFonts w:ascii="Times New Roman" w:hAnsi="Times New Roman" w:cs="Times New Roman"/>
                <w:sz w:val="18"/>
                <w:szCs w:val="18"/>
              </w:rPr>
              <w:t>13,6</w:t>
            </w:r>
          </w:p>
        </w:tc>
        <w:tc>
          <w:tcPr>
            <w:tcW w:w="1272" w:type="dxa"/>
            <w:tcBorders>
              <w:top w:val="nil"/>
              <w:left w:val="nil"/>
              <w:bottom w:val="single" w:sz="4" w:space="0" w:color="auto"/>
              <w:right w:val="single" w:sz="4" w:space="0" w:color="auto"/>
            </w:tcBorders>
            <w:shd w:val="clear" w:color="auto" w:fill="auto"/>
            <w:noWrap/>
            <w:vAlign w:val="bottom"/>
            <w:hideMark/>
          </w:tcPr>
          <w:p w14:paraId="74D93AED" w14:textId="77777777" w:rsidR="006E444B" w:rsidRPr="00303537" w:rsidRDefault="006E444B" w:rsidP="006E444B">
            <w:pPr>
              <w:spacing w:after="0" w:line="240" w:lineRule="auto"/>
              <w:jc w:val="right"/>
              <w:rPr>
                <w:rFonts w:ascii="Times New Roman" w:hAnsi="Times New Roman" w:cs="Times New Roman"/>
                <w:sz w:val="18"/>
                <w:szCs w:val="18"/>
              </w:rPr>
            </w:pPr>
            <w:r w:rsidRPr="00303537">
              <w:rPr>
                <w:rFonts w:ascii="Times New Roman" w:hAnsi="Times New Roman" w:cs="Times New Roman"/>
                <w:sz w:val="18"/>
                <w:szCs w:val="18"/>
              </w:rPr>
              <w:t>6,8</w:t>
            </w:r>
          </w:p>
        </w:tc>
      </w:tr>
      <w:tr w:rsidR="006E444B" w:rsidRPr="00303537" w14:paraId="5B8B58FA" w14:textId="77777777" w:rsidTr="006E444B">
        <w:trPr>
          <w:trHeight w:val="168"/>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146031C2" w14:textId="77777777" w:rsidR="006E444B" w:rsidRPr="00303537" w:rsidRDefault="006E444B" w:rsidP="006E444B">
            <w:pPr>
              <w:spacing w:after="0" w:line="240" w:lineRule="auto"/>
              <w:rPr>
                <w:rFonts w:ascii="Times New Roman" w:hAnsi="Times New Roman" w:cs="Times New Roman"/>
                <w:bCs/>
                <w:sz w:val="18"/>
                <w:szCs w:val="18"/>
              </w:rPr>
            </w:pPr>
            <w:r w:rsidRPr="00303537">
              <w:rPr>
                <w:rFonts w:ascii="Times New Roman" w:hAnsi="Times New Roman" w:cs="Times New Roman"/>
                <w:bCs/>
                <w:sz w:val="18"/>
                <w:szCs w:val="18"/>
              </w:rPr>
              <w:t>Grecja*</w:t>
            </w:r>
          </w:p>
        </w:tc>
        <w:tc>
          <w:tcPr>
            <w:tcW w:w="425" w:type="dxa"/>
            <w:tcBorders>
              <w:top w:val="single" w:sz="4" w:space="0" w:color="auto"/>
              <w:left w:val="nil"/>
              <w:bottom w:val="single" w:sz="4" w:space="0" w:color="auto"/>
              <w:right w:val="single" w:sz="4" w:space="0" w:color="auto"/>
            </w:tcBorders>
          </w:tcPr>
          <w:p w14:paraId="4961A3A9" w14:textId="77777777" w:rsidR="006E444B" w:rsidRPr="00303537" w:rsidRDefault="006E444B" w:rsidP="006E444B">
            <w:pPr>
              <w:spacing w:after="0" w:line="240" w:lineRule="auto"/>
              <w:jc w:val="right"/>
              <w:rPr>
                <w:rFonts w:ascii="Times New Roman" w:hAnsi="Times New Roman" w:cs="Times New Roman"/>
                <w:sz w:val="18"/>
                <w:szCs w:val="18"/>
              </w:rPr>
            </w:pPr>
            <w:r w:rsidRPr="00303537">
              <w:rPr>
                <w:rFonts w:ascii="Times New Roman" w:hAnsi="Times New Roman" w:cs="Times New Roman"/>
                <w:bCs/>
                <w:sz w:val="18"/>
                <w:szCs w:val="18"/>
              </w:rPr>
              <w:t>L</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41D06F79" w14:textId="77777777" w:rsidR="006E444B" w:rsidRPr="00303537" w:rsidRDefault="006E444B" w:rsidP="006E444B">
            <w:pPr>
              <w:spacing w:after="0" w:line="240" w:lineRule="auto"/>
              <w:jc w:val="right"/>
              <w:rPr>
                <w:rFonts w:ascii="Times New Roman" w:hAnsi="Times New Roman" w:cs="Times New Roman"/>
                <w:sz w:val="18"/>
                <w:szCs w:val="18"/>
              </w:rPr>
            </w:pPr>
            <w:r w:rsidRPr="00303537">
              <w:rPr>
                <w:rFonts w:ascii="Times New Roman" w:hAnsi="Times New Roman" w:cs="Times New Roman"/>
                <w:sz w:val="18"/>
                <w:szCs w:val="18"/>
              </w:rPr>
              <w:t>1,8</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74515011" w14:textId="77777777" w:rsidR="006E444B" w:rsidRPr="00303537" w:rsidRDefault="006E444B" w:rsidP="006E444B">
            <w:pPr>
              <w:spacing w:after="0" w:line="240" w:lineRule="auto"/>
              <w:jc w:val="right"/>
              <w:rPr>
                <w:rFonts w:ascii="Times New Roman" w:hAnsi="Times New Roman" w:cs="Times New Roman"/>
                <w:sz w:val="18"/>
                <w:szCs w:val="18"/>
              </w:rPr>
            </w:pPr>
            <w:r w:rsidRPr="00303537">
              <w:rPr>
                <w:rFonts w:ascii="Times New Roman" w:hAnsi="Times New Roman" w:cs="Times New Roman"/>
                <w:sz w:val="18"/>
                <w:szCs w:val="18"/>
              </w:rPr>
              <w:t>77,0</w:t>
            </w:r>
          </w:p>
        </w:tc>
        <w:tc>
          <w:tcPr>
            <w:tcW w:w="1275" w:type="dxa"/>
            <w:tcBorders>
              <w:top w:val="nil"/>
              <w:left w:val="nil"/>
              <w:bottom w:val="single" w:sz="4" w:space="0" w:color="auto"/>
              <w:right w:val="single" w:sz="4" w:space="0" w:color="auto"/>
            </w:tcBorders>
            <w:shd w:val="clear" w:color="auto" w:fill="auto"/>
            <w:noWrap/>
            <w:vAlign w:val="bottom"/>
            <w:hideMark/>
          </w:tcPr>
          <w:p w14:paraId="6E799795" w14:textId="77777777" w:rsidR="006E444B" w:rsidRPr="00303537" w:rsidRDefault="006E444B" w:rsidP="006E444B">
            <w:pPr>
              <w:spacing w:after="0" w:line="240" w:lineRule="auto"/>
              <w:jc w:val="right"/>
              <w:rPr>
                <w:rFonts w:ascii="Times New Roman" w:hAnsi="Times New Roman" w:cs="Times New Roman"/>
                <w:sz w:val="18"/>
                <w:szCs w:val="18"/>
              </w:rPr>
            </w:pPr>
            <w:r w:rsidRPr="00303537">
              <w:rPr>
                <w:rFonts w:ascii="Times New Roman" w:hAnsi="Times New Roman" w:cs="Times New Roman"/>
                <w:sz w:val="18"/>
                <w:szCs w:val="18"/>
              </w:rPr>
              <w:t>77,0</w:t>
            </w:r>
          </w:p>
        </w:tc>
        <w:tc>
          <w:tcPr>
            <w:tcW w:w="1272" w:type="dxa"/>
            <w:tcBorders>
              <w:top w:val="nil"/>
              <w:left w:val="nil"/>
              <w:bottom w:val="single" w:sz="4" w:space="0" w:color="auto"/>
              <w:right w:val="single" w:sz="4" w:space="0" w:color="auto"/>
            </w:tcBorders>
            <w:shd w:val="clear" w:color="auto" w:fill="auto"/>
            <w:noWrap/>
            <w:vAlign w:val="bottom"/>
            <w:hideMark/>
          </w:tcPr>
          <w:p w14:paraId="49B90F43" w14:textId="77777777" w:rsidR="006E444B" w:rsidRPr="00303537" w:rsidRDefault="006E444B" w:rsidP="006E444B">
            <w:pPr>
              <w:spacing w:after="0" w:line="240" w:lineRule="auto"/>
              <w:jc w:val="right"/>
              <w:rPr>
                <w:rFonts w:ascii="Times New Roman" w:hAnsi="Times New Roman" w:cs="Times New Roman"/>
                <w:sz w:val="18"/>
                <w:szCs w:val="18"/>
              </w:rPr>
            </w:pPr>
            <w:r w:rsidRPr="00303537">
              <w:rPr>
                <w:rFonts w:ascii="Times New Roman" w:hAnsi="Times New Roman" w:cs="Times New Roman"/>
                <w:sz w:val="18"/>
                <w:szCs w:val="18"/>
              </w:rPr>
              <w:t>-</w:t>
            </w:r>
          </w:p>
        </w:tc>
      </w:tr>
      <w:tr w:rsidR="006E444B" w:rsidRPr="00303537" w14:paraId="5ABDBC55" w14:textId="77777777" w:rsidTr="006E444B">
        <w:trPr>
          <w:trHeight w:val="242"/>
        </w:trPr>
        <w:tc>
          <w:tcPr>
            <w:tcW w:w="1555" w:type="dxa"/>
            <w:vMerge w:val="restart"/>
            <w:tcBorders>
              <w:top w:val="nil"/>
              <w:left w:val="single" w:sz="4" w:space="0" w:color="auto"/>
              <w:right w:val="single" w:sz="4" w:space="0" w:color="auto"/>
            </w:tcBorders>
            <w:shd w:val="clear" w:color="auto" w:fill="auto"/>
            <w:noWrap/>
            <w:vAlign w:val="bottom"/>
            <w:hideMark/>
          </w:tcPr>
          <w:p w14:paraId="0BE14E48" w14:textId="77777777" w:rsidR="006E444B" w:rsidRPr="00303537" w:rsidRDefault="006E444B" w:rsidP="006E444B">
            <w:pPr>
              <w:spacing w:after="0" w:line="240" w:lineRule="auto"/>
              <w:rPr>
                <w:rFonts w:ascii="Times New Roman" w:hAnsi="Times New Roman" w:cs="Times New Roman"/>
                <w:bCs/>
                <w:sz w:val="18"/>
                <w:szCs w:val="18"/>
              </w:rPr>
            </w:pPr>
            <w:r w:rsidRPr="00303537">
              <w:rPr>
                <w:rFonts w:ascii="Times New Roman" w:hAnsi="Times New Roman" w:cs="Times New Roman"/>
                <w:bCs/>
                <w:sz w:val="18"/>
                <w:szCs w:val="18"/>
              </w:rPr>
              <w:t>Hiszpania</w:t>
            </w:r>
          </w:p>
        </w:tc>
        <w:tc>
          <w:tcPr>
            <w:tcW w:w="425" w:type="dxa"/>
            <w:tcBorders>
              <w:top w:val="single" w:sz="4" w:space="0" w:color="auto"/>
              <w:left w:val="nil"/>
              <w:bottom w:val="single" w:sz="4" w:space="0" w:color="auto"/>
              <w:right w:val="single" w:sz="4" w:space="0" w:color="auto"/>
            </w:tcBorders>
            <w:vAlign w:val="bottom"/>
          </w:tcPr>
          <w:p w14:paraId="5D84E35E" w14:textId="77777777" w:rsidR="006E444B" w:rsidRPr="00303537" w:rsidRDefault="006E444B" w:rsidP="006E444B">
            <w:pPr>
              <w:spacing w:after="0" w:line="240" w:lineRule="auto"/>
              <w:jc w:val="right"/>
              <w:rPr>
                <w:rFonts w:ascii="Times New Roman" w:hAnsi="Times New Roman" w:cs="Times New Roman"/>
                <w:color w:val="000000"/>
                <w:sz w:val="18"/>
                <w:szCs w:val="18"/>
              </w:rPr>
            </w:pPr>
            <w:r w:rsidRPr="00303537">
              <w:rPr>
                <w:rFonts w:ascii="Times New Roman" w:hAnsi="Times New Roman" w:cs="Times New Roman"/>
                <w:color w:val="000000"/>
                <w:sz w:val="18"/>
                <w:szCs w:val="18"/>
              </w:rPr>
              <w:t>R</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4E13645D" w14:textId="77777777" w:rsidR="006E444B" w:rsidRPr="00303537" w:rsidRDefault="006E444B" w:rsidP="006E444B">
            <w:pPr>
              <w:spacing w:after="0" w:line="240" w:lineRule="auto"/>
              <w:jc w:val="right"/>
              <w:rPr>
                <w:rFonts w:ascii="Times New Roman" w:hAnsi="Times New Roman" w:cs="Times New Roman"/>
                <w:sz w:val="18"/>
                <w:szCs w:val="18"/>
              </w:rPr>
            </w:pPr>
            <w:r w:rsidRPr="00303537">
              <w:rPr>
                <w:rFonts w:ascii="Times New Roman" w:hAnsi="Times New Roman" w:cs="Times New Roman"/>
                <w:sz w:val="18"/>
                <w:szCs w:val="18"/>
              </w:rPr>
              <w:t>5,9</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58FE2E1B" w14:textId="77777777" w:rsidR="006E444B" w:rsidRPr="00303537" w:rsidRDefault="006E444B" w:rsidP="006E444B">
            <w:pPr>
              <w:spacing w:after="0" w:line="240" w:lineRule="auto"/>
              <w:jc w:val="right"/>
              <w:rPr>
                <w:rFonts w:ascii="Times New Roman" w:hAnsi="Times New Roman" w:cs="Times New Roman"/>
                <w:sz w:val="18"/>
                <w:szCs w:val="18"/>
              </w:rPr>
            </w:pPr>
            <w:r w:rsidRPr="00303537">
              <w:rPr>
                <w:rFonts w:ascii="Times New Roman" w:hAnsi="Times New Roman" w:cs="Times New Roman"/>
                <w:sz w:val="18"/>
                <w:szCs w:val="18"/>
              </w:rPr>
              <w:t>19,1</w:t>
            </w:r>
          </w:p>
        </w:tc>
        <w:tc>
          <w:tcPr>
            <w:tcW w:w="1275" w:type="dxa"/>
            <w:tcBorders>
              <w:top w:val="nil"/>
              <w:left w:val="nil"/>
              <w:bottom w:val="single" w:sz="4" w:space="0" w:color="auto"/>
              <w:right w:val="single" w:sz="4" w:space="0" w:color="auto"/>
            </w:tcBorders>
            <w:shd w:val="clear" w:color="auto" w:fill="auto"/>
            <w:noWrap/>
            <w:vAlign w:val="bottom"/>
            <w:hideMark/>
          </w:tcPr>
          <w:p w14:paraId="2A3BB859" w14:textId="77777777" w:rsidR="006E444B" w:rsidRPr="00303537" w:rsidRDefault="006E444B" w:rsidP="006E444B">
            <w:pPr>
              <w:spacing w:after="0" w:line="240" w:lineRule="auto"/>
              <w:jc w:val="right"/>
              <w:rPr>
                <w:rFonts w:ascii="Times New Roman" w:hAnsi="Times New Roman" w:cs="Times New Roman"/>
                <w:sz w:val="18"/>
                <w:szCs w:val="18"/>
              </w:rPr>
            </w:pPr>
            <w:r w:rsidRPr="00303537">
              <w:rPr>
                <w:rFonts w:ascii="Times New Roman" w:hAnsi="Times New Roman" w:cs="Times New Roman"/>
                <w:sz w:val="18"/>
                <w:szCs w:val="18"/>
              </w:rPr>
              <w:t>13,4</w:t>
            </w:r>
          </w:p>
        </w:tc>
        <w:tc>
          <w:tcPr>
            <w:tcW w:w="1272" w:type="dxa"/>
            <w:tcBorders>
              <w:top w:val="nil"/>
              <w:left w:val="nil"/>
              <w:bottom w:val="single" w:sz="4" w:space="0" w:color="auto"/>
              <w:right w:val="single" w:sz="4" w:space="0" w:color="auto"/>
            </w:tcBorders>
            <w:shd w:val="clear" w:color="auto" w:fill="auto"/>
            <w:noWrap/>
            <w:vAlign w:val="bottom"/>
            <w:hideMark/>
          </w:tcPr>
          <w:p w14:paraId="501BEF72" w14:textId="77777777" w:rsidR="006E444B" w:rsidRPr="00303537" w:rsidRDefault="006E444B" w:rsidP="006E444B">
            <w:pPr>
              <w:spacing w:after="0" w:line="240" w:lineRule="auto"/>
              <w:jc w:val="right"/>
              <w:rPr>
                <w:rFonts w:ascii="Times New Roman" w:hAnsi="Times New Roman" w:cs="Times New Roman"/>
                <w:sz w:val="18"/>
                <w:szCs w:val="18"/>
              </w:rPr>
            </w:pPr>
            <w:r w:rsidRPr="00303537">
              <w:rPr>
                <w:rFonts w:ascii="Times New Roman" w:hAnsi="Times New Roman" w:cs="Times New Roman"/>
                <w:sz w:val="18"/>
                <w:szCs w:val="18"/>
              </w:rPr>
              <w:t>5,6</w:t>
            </w:r>
          </w:p>
        </w:tc>
      </w:tr>
      <w:tr w:rsidR="006E444B" w:rsidRPr="00303537" w14:paraId="3A1CCEF7" w14:textId="77777777" w:rsidTr="006E444B">
        <w:trPr>
          <w:trHeight w:val="132"/>
        </w:trPr>
        <w:tc>
          <w:tcPr>
            <w:tcW w:w="1555" w:type="dxa"/>
            <w:vMerge/>
            <w:tcBorders>
              <w:left w:val="single" w:sz="4" w:space="0" w:color="auto"/>
              <w:bottom w:val="single" w:sz="4" w:space="0" w:color="auto"/>
              <w:right w:val="single" w:sz="4" w:space="0" w:color="auto"/>
            </w:tcBorders>
            <w:shd w:val="clear" w:color="auto" w:fill="auto"/>
            <w:noWrap/>
            <w:vAlign w:val="bottom"/>
          </w:tcPr>
          <w:p w14:paraId="3BEEF381" w14:textId="77777777" w:rsidR="006E444B" w:rsidRPr="00303537" w:rsidRDefault="006E444B" w:rsidP="006E444B">
            <w:pPr>
              <w:spacing w:after="0" w:line="240" w:lineRule="auto"/>
              <w:jc w:val="right"/>
              <w:rPr>
                <w:rFonts w:ascii="Times New Roman" w:hAnsi="Times New Roman" w:cs="Times New Roman"/>
                <w:color w:val="000000"/>
                <w:sz w:val="18"/>
                <w:szCs w:val="18"/>
              </w:rPr>
            </w:pPr>
          </w:p>
        </w:tc>
        <w:tc>
          <w:tcPr>
            <w:tcW w:w="425" w:type="dxa"/>
            <w:tcBorders>
              <w:top w:val="single" w:sz="4" w:space="0" w:color="auto"/>
              <w:left w:val="nil"/>
              <w:bottom w:val="single" w:sz="4" w:space="0" w:color="auto"/>
              <w:right w:val="single" w:sz="4" w:space="0" w:color="auto"/>
            </w:tcBorders>
            <w:vAlign w:val="bottom"/>
          </w:tcPr>
          <w:p w14:paraId="5900618C" w14:textId="77777777" w:rsidR="006E444B" w:rsidRPr="00303537" w:rsidRDefault="006E444B" w:rsidP="006E444B">
            <w:pPr>
              <w:spacing w:after="0" w:line="240" w:lineRule="auto"/>
              <w:jc w:val="right"/>
              <w:rPr>
                <w:rFonts w:ascii="Times New Roman" w:hAnsi="Times New Roman" w:cs="Times New Roman"/>
                <w:color w:val="000000"/>
                <w:sz w:val="18"/>
                <w:szCs w:val="18"/>
              </w:rPr>
            </w:pPr>
            <w:r w:rsidRPr="00303537">
              <w:rPr>
                <w:rFonts w:ascii="Times New Roman" w:hAnsi="Times New Roman" w:cs="Times New Roman"/>
                <w:color w:val="000000"/>
                <w:sz w:val="18"/>
                <w:szCs w:val="18"/>
              </w:rPr>
              <w:t>L</w:t>
            </w:r>
          </w:p>
        </w:tc>
        <w:tc>
          <w:tcPr>
            <w:tcW w:w="1706" w:type="dxa"/>
            <w:tcBorders>
              <w:top w:val="nil"/>
              <w:left w:val="single" w:sz="4" w:space="0" w:color="auto"/>
              <w:bottom w:val="single" w:sz="4" w:space="0" w:color="auto"/>
              <w:right w:val="single" w:sz="4" w:space="0" w:color="auto"/>
            </w:tcBorders>
            <w:shd w:val="clear" w:color="auto" w:fill="auto"/>
            <w:noWrap/>
            <w:vAlign w:val="bottom"/>
          </w:tcPr>
          <w:p w14:paraId="7EAB0ED9" w14:textId="77777777" w:rsidR="006E444B" w:rsidRPr="00303537" w:rsidRDefault="006E444B" w:rsidP="006E444B">
            <w:pPr>
              <w:spacing w:after="0" w:line="240" w:lineRule="auto"/>
              <w:jc w:val="right"/>
              <w:rPr>
                <w:rFonts w:ascii="Times New Roman" w:hAnsi="Times New Roman" w:cs="Times New Roman"/>
                <w:sz w:val="18"/>
                <w:szCs w:val="18"/>
              </w:rPr>
            </w:pPr>
            <w:r w:rsidRPr="00303537">
              <w:rPr>
                <w:rFonts w:ascii="Times New Roman" w:hAnsi="Times New Roman" w:cs="Times New Roman"/>
                <w:sz w:val="18"/>
                <w:szCs w:val="18"/>
              </w:rPr>
              <w:t>2,6</w:t>
            </w:r>
          </w:p>
        </w:tc>
        <w:tc>
          <w:tcPr>
            <w:tcW w:w="1276" w:type="dxa"/>
            <w:tcBorders>
              <w:top w:val="nil"/>
              <w:left w:val="single" w:sz="4" w:space="0" w:color="auto"/>
              <w:bottom w:val="single" w:sz="4" w:space="0" w:color="auto"/>
              <w:right w:val="single" w:sz="4" w:space="0" w:color="auto"/>
            </w:tcBorders>
            <w:shd w:val="clear" w:color="auto" w:fill="auto"/>
            <w:noWrap/>
            <w:vAlign w:val="bottom"/>
          </w:tcPr>
          <w:p w14:paraId="0365969E" w14:textId="77777777" w:rsidR="006E444B" w:rsidRPr="00303537" w:rsidRDefault="006E444B" w:rsidP="006E444B">
            <w:pPr>
              <w:spacing w:after="0" w:line="240" w:lineRule="auto"/>
              <w:jc w:val="right"/>
              <w:rPr>
                <w:rFonts w:ascii="Times New Roman" w:hAnsi="Times New Roman" w:cs="Times New Roman"/>
                <w:sz w:val="18"/>
                <w:szCs w:val="18"/>
              </w:rPr>
            </w:pPr>
            <w:r w:rsidRPr="00303537">
              <w:rPr>
                <w:rFonts w:ascii="Times New Roman" w:hAnsi="Times New Roman" w:cs="Times New Roman"/>
                <w:sz w:val="18"/>
                <w:szCs w:val="18"/>
              </w:rPr>
              <w:t>58,9</w:t>
            </w:r>
          </w:p>
        </w:tc>
        <w:tc>
          <w:tcPr>
            <w:tcW w:w="1275" w:type="dxa"/>
            <w:tcBorders>
              <w:top w:val="nil"/>
              <w:left w:val="nil"/>
              <w:bottom w:val="single" w:sz="4" w:space="0" w:color="auto"/>
              <w:right w:val="single" w:sz="4" w:space="0" w:color="auto"/>
            </w:tcBorders>
            <w:shd w:val="clear" w:color="auto" w:fill="auto"/>
            <w:noWrap/>
            <w:vAlign w:val="bottom"/>
          </w:tcPr>
          <w:p w14:paraId="6B4FE192" w14:textId="77777777" w:rsidR="006E444B" w:rsidRPr="00303537" w:rsidRDefault="006E444B" w:rsidP="006E444B">
            <w:pPr>
              <w:spacing w:after="0" w:line="240" w:lineRule="auto"/>
              <w:jc w:val="right"/>
              <w:rPr>
                <w:rFonts w:ascii="Times New Roman" w:hAnsi="Times New Roman" w:cs="Times New Roman"/>
                <w:sz w:val="18"/>
                <w:szCs w:val="18"/>
              </w:rPr>
            </w:pPr>
            <w:r w:rsidRPr="00303537">
              <w:rPr>
                <w:rFonts w:ascii="Times New Roman" w:hAnsi="Times New Roman" w:cs="Times New Roman"/>
                <w:sz w:val="18"/>
                <w:szCs w:val="18"/>
              </w:rPr>
              <w:t>58,9</w:t>
            </w:r>
          </w:p>
        </w:tc>
        <w:tc>
          <w:tcPr>
            <w:tcW w:w="1272" w:type="dxa"/>
            <w:tcBorders>
              <w:top w:val="nil"/>
              <w:left w:val="nil"/>
              <w:bottom w:val="single" w:sz="4" w:space="0" w:color="auto"/>
              <w:right w:val="single" w:sz="4" w:space="0" w:color="auto"/>
            </w:tcBorders>
            <w:shd w:val="clear" w:color="auto" w:fill="auto"/>
            <w:noWrap/>
            <w:vAlign w:val="bottom"/>
          </w:tcPr>
          <w:p w14:paraId="728D8463" w14:textId="77777777" w:rsidR="006E444B" w:rsidRPr="00303537" w:rsidRDefault="006E444B" w:rsidP="006E444B">
            <w:pPr>
              <w:spacing w:after="0" w:line="240" w:lineRule="auto"/>
              <w:jc w:val="right"/>
              <w:rPr>
                <w:rFonts w:ascii="Times New Roman" w:hAnsi="Times New Roman" w:cs="Times New Roman"/>
                <w:sz w:val="18"/>
                <w:szCs w:val="18"/>
              </w:rPr>
            </w:pPr>
            <w:r w:rsidRPr="00303537">
              <w:rPr>
                <w:rFonts w:ascii="Times New Roman" w:hAnsi="Times New Roman" w:cs="Times New Roman"/>
                <w:sz w:val="18"/>
                <w:szCs w:val="18"/>
              </w:rPr>
              <w:t>-</w:t>
            </w:r>
          </w:p>
        </w:tc>
      </w:tr>
      <w:tr w:rsidR="006E444B" w:rsidRPr="00303537" w14:paraId="48BE021B" w14:textId="77777777" w:rsidTr="006E444B">
        <w:trPr>
          <w:trHeight w:val="233"/>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7E3C9D16" w14:textId="77777777" w:rsidR="006E444B" w:rsidRPr="00303537" w:rsidRDefault="006E444B" w:rsidP="006E444B">
            <w:pPr>
              <w:spacing w:after="0" w:line="240" w:lineRule="auto"/>
              <w:rPr>
                <w:rFonts w:ascii="Times New Roman" w:hAnsi="Times New Roman" w:cs="Times New Roman"/>
                <w:bCs/>
                <w:sz w:val="18"/>
                <w:szCs w:val="18"/>
              </w:rPr>
            </w:pPr>
            <w:r w:rsidRPr="00303537">
              <w:rPr>
                <w:rFonts w:ascii="Times New Roman" w:hAnsi="Times New Roman" w:cs="Times New Roman"/>
                <w:bCs/>
                <w:sz w:val="18"/>
                <w:szCs w:val="18"/>
              </w:rPr>
              <w:t>Irlandia*</w:t>
            </w:r>
          </w:p>
        </w:tc>
        <w:tc>
          <w:tcPr>
            <w:tcW w:w="425" w:type="dxa"/>
            <w:tcBorders>
              <w:top w:val="single" w:sz="4" w:space="0" w:color="auto"/>
              <w:left w:val="nil"/>
              <w:bottom w:val="single" w:sz="4" w:space="0" w:color="auto"/>
              <w:right w:val="single" w:sz="4" w:space="0" w:color="auto"/>
            </w:tcBorders>
          </w:tcPr>
          <w:p w14:paraId="76636081" w14:textId="77777777" w:rsidR="006E444B" w:rsidRPr="00303537" w:rsidRDefault="006E444B" w:rsidP="006E444B">
            <w:pPr>
              <w:spacing w:after="0" w:line="240" w:lineRule="auto"/>
              <w:jc w:val="right"/>
              <w:rPr>
                <w:rFonts w:ascii="Times New Roman" w:hAnsi="Times New Roman" w:cs="Times New Roman"/>
                <w:sz w:val="18"/>
                <w:szCs w:val="18"/>
              </w:rPr>
            </w:pPr>
            <w:r w:rsidRPr="00303537">
              <w:rPr>
                <w:rFonts w:ascii="Times New Roman" w:hAnsi="Times New Roman" w:cs="Times New Roman"/>
                <w:bCs/>
                <w:sz w:val="18"/>
                <w:szCs w:val="18"/>
              </w:rPr>
              <w:t>L</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5D7A3D75" w14:textId="77777777" w:rsidR="006E444B" w:rsidRPr="00303537" w:rsidRDefault="006E444B" w:rsidP="006E444B">
            <w:pPr>
              <w:spacing w:after="0" w:line="240" w:lineRule="auto"/>
              <w:jc w:val="right"/>
              <w:rPr>
                <w:rFonts w:ascii="Times New Roman" w:hAnsi="Times New Roman" w:cs="Times New Roman"/>
                <w:sz w:val="18"/>
                <w:szCs w:val="18"/>
              </w:rPr>
            </w:pPr>
            <w:r w:rsidRPr="00303537">
              <w:rPr>
                <w:rFonts w:ascii="Times New Roman" w:hAnsi="Times New Roman" w:cs="Times New Roman"/>
                <w:sz w:val="18"/>
                <w:szCs w:val="18"/>
              </w:rPr>
              <w:t>4,2</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35949070" w14:textId="77777777" w:rsidR="006E444B" w:rsidRPr="00303537" w:rsidRDefault="006E444B" w:rsidP="006E444B">
            <w:pPr>
              <w:spacing w:after="0" w:line="240" w:lineRule="auto"/>
              <w:jc w:val="right"/>
              <w:rPr>
                <w:rFonts w:ascii="Times New Roman" w:hAnsi="Times New Roman" w:cs="Times New Roman"/>
                <w:sz w:val="18"/>
                <w:szCs w:val="18"/>
              </w:rPr>
            </w:pPr>
            <w:r w:rsidRPr="00303537">
              <w:rPr>
                <w:rFonts w:ascii="Times New Roman" w:hAnsi="Times New Roman" w:cs="Times New Roman"/>
                <w:sz w:val="18"/>
                <w:szCs w:val="18"/>
              </w:rPr>
              <w:t>88,3</w:t>
            </w:r>
          </w:p>
        </w:tc>
        <w:tc>
          <w:tcPr>
            <w:tcW w:w="1275" w:type="dxa"/>
            <w:tcBorders>
              <w:top w:val="nil"/>
              <w:left w:val="nil"/>
              <w:bottom w:val="single" w:sz="4" w:space="0" w:color="auto"/>
              <w:right w:val="single" w:sz="4" w:space="0" w:color="auto"/>
            </w:tcBorders>
            <w:shd w:val="clear" w:color="auto" w:fill="auto"/>
            <w:noWrap/>
            <w:vAlign w:val="bottom"/>
            <w:hideMark/>
          </w:tcPr>
          <w:p w14:paraId="1F75F7D9" w14:textId="77777777" w:rsidR="006E444B" w:rsidRPr="00303537" w:rsidRDefault="006E444B" w:rsidP="006E444B">
            <w:pPr>
              <w:spacing w:after="0" w:line="240" w:lineRule="auto"/>
              <w:jc w:val="right"/>
              <w:rPr>
                <w:rFonts w:ascii="Times New Roman" w:hAnsi="Times New Roman" w:cs="Times New Roman"/>
                <w:sz w:val="18"/>
                <w:szCs w:val="18"/>
              </w:rPr>
            </w:pPr>
            <w:r w:rsidRPr="00303537">
              <w:rPr>
                <w:rFonts w:ascii="Times New Roman" w:hAnsi="Times New Roman" w:cs="Times New Roman"/>
                <w:sz w:val="18"/>
                <w:szCs w:val="18"/>
              </w:rPr>
              <w:t>-</w:t>
            </w:r>
          </w:p>
        </w:tc>
        <w:tc>
          <w:tcPr>
            <w:tcW w:w="1272" w:type="dxa"/>
            <w:tcBorders>
              <w:top w:val="nil"/>
              <w:left w:val="nil"/>
              <w:bottom w:val="single" w:sz="4" w:space="0" w:color="auto"/>
              <w:right w:val="single" w:sz="4" w:space="0" w:color="auto"/>
            </w:tcBorders>
            <w:shd w:val="clear" w:color="auto" w:fill="auto"/>
            <w:noWrap/>
            <w:vAlign w:val="bottom"/>
            <w:hideMark/>
          </w:tcPr>
          <w:p w14:paraId="0BB20D89" w14:textId="77777777" w:rsidR="006E444B" w:rsidRPr="00303537" w:rsidRDefault="006E444B" w:rsidP="006E444B">
            <w:pPr>
              <w:spacing w:after="0" w:line="240" w:lineRule="auto"/>
              <w:jc w:val="right"/>
              <w:rPr>
                <w:rFonts w:ascii="Times New Roman" w:hAnsi="Times New Roman" w:cs="Times New Roman"/>
                <w:sz w:val="18"/>
                <w:szCs w:val="18"/>
              </w:rPr>
            </w:pPr>
            <w:r w:rsidRPr="00303537">
              <w:rPr>
                <w:rFonts w:ascii="Times New Roman" w:hAnsi="Times New Roman" w:cs="Times New Roman"/>
                <w:sz w:val="18"/>
                <w:szCs w:val="18"/>
              </w:rPr>
              <w:t>88,3</w:t>
            </w:r>
          </w:p>
        </w:tc>
      </w:tr>
      <w:tr w:rsidR="006E444B" w:rsidRPr="00303537" w14:paraId="64B89E59" w14:textId="77777777" w:rsidTr="006E444B">
        <w:trPr>
          <w:trHeight w:val="137"/>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3C63AEA2" w14:textId="77777777" w:rsidR="006E444B" w:rsidRPr="00303537" w:rsidRDefault="006E444B" w:rsidP="006E444B">
            <w:pPr>
              <w:spacing w:after="0" w:line="240" w:lineRule="auto"/>
              <w:rPr>
                <w:rFonts w:ascii="Times New Roman" w:hAnsi="Times New Roman" w:cs="Times New Roman"/>
                <w:bCs/>
                <w:sz w:val="18"/>
                <w:szCs w:val="18"/>
              </w:rPr>
            </w:pPr>
            <w:r w:rsidRPr="00303537">
              <w:rPr>
                <w:rFonts w:ascii="Times New Roman" w:hAnsi="Times New Roman" w:cs="Times New Roman"/>
                <w:bCs/>
                <w:sz w:val="18"/>
                <w:szCs w:val="18"/>
              </w:rPr>
              <w:t>Luksemburg</w:t>
            </w:r>
          </w:p>
        </w:tc>
        <w:tc>
          <w:tcPr>
            <w:tcW w:w="425" w:type="dxa"/>
            <w:tcBorders>
              <w:top w:val="single" w:sz="4" w:space="0" w:color="auto"/>
              <w:left w:val="nil"/>
              <w:bottom w:val="single" w:sz="4" w:space="0" w:color="auto"/>
              <w:right w:val="single" w:sz="4" w:space="0" w:color="auto"/>
            </w:tcBorders>
          </w:tcPr>
          <w:p w14:paraId="572F5B1C" w14:textId="77777777" w:rsidR="006E444B" w:rsidRPr="00303537" w:rsidRDefault="006E444B" w:rsidP="006E444B">
            <w:pPr>
              <w:spacing w:after="0" w:line="240" w:lineRule="auto"/>
              <w:jc w:val="right"/>
              <w:rPr>
                <w:rFonts w:ascii="Times New Roman" w:hAnsi="Times New Roman" w:cs="Times New Roman"/>
                <w:sz w:val="18"/>
                <w:szCs w:val="18"/>
              </w:rPr>
            </w:pPr>
            <w:r w:rsidRPr="00303537">
              <w:rPr>
                <w:rFonts w:ascii="Times New Roman" w:hAnsi="Times New Roman" w:cs="Times New Roman"/>
                <w:color w:val="000000"/>
                <w:sz w:val="18"/>
                <w:szCs w:val="18"/>
              </w:rPr>
              <w:t>L</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4EC72E58" w14:textId="77777777" w:rsidR="006E444B" w:rsidRPr="00303537" w:rsidRDefault="006E444B" w:rsidP="006E444B">
            <w:pPr>
              <w:spacing w:after="0" w:line="240" w:lineRule="auto"/>
              <w:jc w:val="right"/>
              <w:rPr>
                <w:rFonts w:ascii="Times New Roman" w:hAnsi="Times New Roman" w:cs="Times New Roman"/>
                <w:sz w:val="18"/>
                <w:szCs w:val="18"/>
              </w:rPr>
            </w:pPr>
            <w:r w:rsidRPr="00303537">
              <w:rPr>
                <w:rFonts w:ascii="Times New Roman" w:hAnsi="Times New Roman" w:cs="Times New Roman"/>
                <w:sz w:val="18"/>
                <w:szCs w:val="18"/>
              </w:rPr>
              <w:t>2,6</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4A49B265" w14:textId="77777777" w:rsidR="006E444B" w:rsidRPr="00303537" w:rsidRDefault="006E444B" w:rsidP="006E444B">
            <w:pPr>
              <w:spacing w:after="0" w:line="240" w:lineRule="auto"/>
              <w:jc w:val="right"/>
              <w:rPr>
                <w:rFonts w:ascii="Times New Roman" w:hAnsi="Times New Roman" w:cs="Times New Roman"/>
                <w:sz w:val="18"/>
                <w:szCs w:val="18"/>
              </w:rPr>
            </w:pPr>
            <w:r w:rsidRPr="00303537">
              <w:rPr>
                <w:rFonts w:ascii="Times New Roman" w:hAnsi="Times New Roman" w:cs="Times New Roman"/>
                <w:sz w:val="18"/>
                <w:szCs w:val="18"/>
              </w:rPr>
              <w:t>100,0</w:t>
            </w:r>
          </w:p>
        </w:tc>
        <w:tc>
          <w:tcPr>
            <w:tcW w:w="1275" w:type="dxa"/>
            <w:tcBorders>
              <w:top w:val="nil"/>
              <w:left w:val="nil"/>
              <w:bottom w:val="single" w:sz="4" w:space="0" w:color="auto"/>
              <w:right w:val="single" w:sz="4" w:space="0" w:color="auto"/>
            </w:tcBorders>
            <w:shd w:val="clear" w:color="auto" w:fill="auto"/>
            <w:noWrap/>
            <w:vAlign w:val="bottom"/>
            <w:hideMark/>
          </w:tcPr>
          <w:p w14:paraId="084DB106" w14:textId="77777777" w:rsidR="006E444B" w:rsidRPr="00303537" w:rsidRDefault="006E444B" w:rsidP="006E444B">
            <w:pPr>
              <w:spacing w:after="0" w:line="240" w:lineRule="auto"/>
              <w:jc w:val="right"/>
              <w:rPr>
                <w:rFonts w:ascii="Times New Roman" w:hAnsi="Times New Roman" w:cs="Times New Roman"/>
                <w:sz w:val="18"/>
                <w:szCs w:val="18"/>
              </w:rPr>
            </w:pPr>
            <w:r w:rsidRPr="00303537">
              <w:rPr>
                <w:rFonts w:ascii="Times New Roman" w:hAnsi="Times New Roman" w:cs="Times New Roman"/>
                <w:sz w:val="18"/>
                <w:szCs w:val="18"/>
              </w:rPr>
              <w:t>100,0</w:t>
            </w:r>
          </w:p>
        </w:tc>
        <w:tc>
          <w:tcPr>
            <w:tcW w:w="1272" w:type="dxa"/>
            <w:tcBorders>
              <w:top w:val="nil"/>
              <w:left w:val="nil"/>
              <w:bottom w:val="single" w:sz="4" w:space="0" w:color="auto"/>
              <w:right w:val="single" w:sz="4" w:space="0" w:color="auto"/>
            </w:tcBorders>
            <w:shd w:val="clear" w:color="auto" w:fill="auto"/>
            <w:noWrap/>
            <w:vAlign w:val="bottom"/>
            <w:hideMark/>
          </w:tcPr>
          <w:p w14:paraId="278CEEF9" w14:textId="77777777" w:rsidR="006E444B" w:rsidRPr="00303537" w:rsidRDefault="006E444B" w:rsidP="006E444B">
            <w:pPr>
              <w:spacing w:after="0" w:line="240" w:lineRule="auto"/>
              <w:jc w:val="right"/>
              <w:rPr>
                <w:rFonts w:ascii="Times New Roman" w:hAnsi="Times New Roman" w:cs="Times New Roman"/>
                <w:sz w:val="18"/>
                <w:szCs w:val="18"/>
              </w:rPr>
            </w:pPr>
            <w:r w:rsidRPr="00303537">
              <w:rPr>
                <w:rFonts w:ascii="Times New Roman" w:hAnsi="Times New Roman" w:cs="Times New Roman"/>
                <w:sz w:val="18"/>
                <w:szCs w:val="18"/>
              </w:rPr>
              <w:t>-</w:t>
            </w:r>
          </w:p>
        </w:tc>
      </w:tr>
      <w:tr w:rsidR="006E444B" w:rsidRPr="00303537" w14:paraId="48F537A4" w14:textId="77777777" w:rsidTr="006E444B">
        <w:trPr>
          <w:trHeight w:val="89"/>
        </w:trPr>
        <w:tc>
          <w:tcPr>
            <w:tcW w:w="155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199F98A5" w14:textId="77777777" w:rsidR="006E444B" w:rsidRPr="00303537" w:rsidRDefault="006E444B" w:rsidP="006E444B">
            <w:pPr>
              <w:spacing w:after="0" w:line="240" w:lineRule="auto"/>
              <w:rPr>
                <w:rFonts w:ascii="Times New Roman" w:hAnsi="Times New Roman" w:cs="Times New Roman"/>
                <w:bCs/>
                <w:sz w:val="18"/>
                <w:szCs w:val="18"/>
              </w:rPr>
            </w:pPr>
            <w:r w:rsidRPr="00303537">
              <w:rPr>
                <w:rFonts w:ascii="Times New Roman" w:hAnsi="Times New Roman" w:cs="Times New Roman"/>
                <w:bCs/>
                <w:sz w:val="18"/>
                <w:szCs w:val="18"/>
              </w:rPr>
              <w:t>Polska**</w:t>
            </w: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AFC364" w14:textId="77777777" w:rsidR="006E444B" w:rsidRPr="00303537" w:rsidRDefault="006E444B" w:rsidP="006E444B">
            <w:pPr>
              <w:spacing w:after="0" w:line="240" w:lineRule="auto"/>
              <w:jc w:val="right"/>
              <w:rPr>
                <w:rFonts w:ascii="Times New Roman" w:hAnsi="Times New Roman" w:cs="Times New Roman"/>
                <w:sz w:val="18"/>
                <w:szCs w:val="18"/>
              </w:rPr>
            </w:pPr>
            <w:r w:rsidRPr="00303537">
              <w:rPr>
                <w:rFonts w:ascii="Times New Roman" w:hAnsi="Times New Roman" w:cs="Times New Roman"/>
                <w:bCs/>
                <w:sz w:val="18"/>
                <w:szCs w:val="18"/>
              </w:rPr>
              <w:t>L</w:t>
            </w:r>
          </w:p>
        </w:tc>
        <w:tc>
          <w:tcPr>
            <w:tcW w:w="170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63E797D0" w14:textId="77777777" w:rsidR="006E444B" w:rsidRPr="00303537" w:rsidRDefault="006E444B" w:rsidP="006E444B">
            <w:pPr>
              <w:spacing w:after="0" w:line="240" w:lineRule="auto"/>
              <w:jc w:val="right"/>
              <w:rPr>
                <w:rFonts w:ascii="Times New Roman" w:hAnsi="Times New Roman" w:cs="Times New Roman"/>
                <w:sz w:val="18"/>
                <w:szCs w:val="18"/>
              </w:rPr>
            </w:pPr>
            <w:r w:rsidRPr="00303537">
              <w:rPr>
                <w:rFonts w:ascii="Times New Roman" w:hAnsi="Times New Roman" w:cs="Times New Roman"/>
                <w:sz w:val="18"/>
                <w:szCs w:val="18"/>
              </w:rPr>
              <w:t>4,8</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46B7E127" w14:textId="77777777" w:rsidR="006E444B" w:rsidRPr="00303537" w:rsidRDefault="006E444B" w:rsidP="006E444B">
            <w:pPr>
              <w:spacing w:after="0" w:line="240" w:lineRule="auto"/>
              <w:jc w:val="right"/>
              <w:rPr>
                <w:rFonts w:ascii="Times New Roman" w:hAnsi="Times New Roman" w:cs="Times New Roman"/>
                <w:sz w:val="18"/>
                <w:szCs w:val="18"/>
              </w:rPr>
            </w:pPr>
            <w:r w:rsidRPr="00303537">
              <w:rPr>
                <w:rFonts w:ascii="Times New Roman" w:hAnsi="Times New Roman" w:cs="Times New Roman"/>
                <w:sz w:val="18"/>
                <w:szCs w:val="18"/>
              </w:rPr>
              <w:t>29,5</w:t>
            </w:r>
          </w:p>
        </w:tc>
        <w:tc>
          <w:tcPr>
            <w:tcW w:w="127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17455FCD" w14:textId="77777777" w:rsidR="006E444B" w:rsidRPr="00303537" w:rsidRDefault="006E444B" w:rsidP="006E444B">
            <w:pPr>
              <w:spacing w:after="0" w:line="240" w:lineRule="auto"/>
              <w:jc w:val="right"/>
              <w:rPr>
                <w:rFonts w:ascii="Times New Roman" w:hAnsi="Times New Roman" w:cs="Times New Roman"/>
                <w:sz w:val="18"/>
                <w:szCs w:val="18"/>
              </w:rPr>
            </w:pPr>
            <w:r w:rsidRPr="00303537">
              <w:rPr>
                <w:rFonts w:ascii="Times New Roman" w:hAnsi="Times New Roman" w:cs="Times New Roman"/>
                <w:sz w:val="18"/>
                <w:szCs w:val="18"/>
              </w:rPr>
              <w:t>29,5</w:t>
            </w:r>
          </w:p>
        </w:tc>
        <w:tc>
          <w:tcPr>
            <w:tcW w:w="127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5B78EBA6" w14:textId="77777777" w:rsidR="006E444B" w:rsidRPr="00303537" w:rsidRDefault="006E444B" w:rsidP="006E444B">
            <w:pPr>
              <w:spacing w:after="0" w:line="240" w:lineRule="auto"/>
              <w:jc w:val="right"/>
              <w:rPr>
                <w:rFonts w:ascii="Times New Roman" w:hAnsi="Times New Roman" w:cs="Times New Roman"/>
                <w:sz w:val="18"/>
                <w:szCs w:val="18"/>
              </w:rPr>
            </w:pPr>
            <w:r w:rsidRPr="00303537">
              <w:rPr>
                <w:rFonts w:ascii="Times New Roman" w:hAnsi="Times New Roman" w:cs="Times New Roman"/>
                <w:sz w:val="18"/>
                <w:szCs w:val="18"/>
              </w:rPr>
              <w:t>-</w:t>
            </w:r>
          </w:p>
        </w:tc>
      </w:tr>
      <w:tr w:rsidR="006E444B" w:rsidRPr="00303537" w14:paraId="31042C49" w14:textId="77777777" w:rsidTr="006E444B">
        <w:trPr>
          <w:trHeight w:val="193"/>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645D7B" w14:textId="77777777" w:rsidR="006E444B" w:rsidRPr="00303537" w:rsidRDefault="006E444B" w:rsidP="006E444B">
            <w:pPr>
              <w:spacing w:after="0" w:line="240" w:lineRule="auto"/>
              <w:rPr>
                <w:rFonts w:ascii="Times New Roman" w:hAnsi="Times New Roman" w:cs="Times New Roman"/>
                <w:bCs/>
                <w:sz w:val="18"/>
                <w:szCs w:val="18"/>
              </w:rPr>
            </w:pPr>
            <w:r w:rsidRPr="00303537">
              <w:rPr>
                <w:rFonts w:ascii="Times New Roman" w:hAnsi="Times New Roman" w:cs="Times New Roman"/>
                <w:bCs/>
                <w:sz w:val="18"/>
                <w:szCs w:val="18"/>
              </w:rPr>
              <w:t>Portugalia*</w:t>
            </w:r>
          </w:p>
        </w:tc>
        <w:tc>
          <w:tcPr>
            <w:tcW w:w="425" w:type="dxa"/>
            <w:tcBorders>
              <w:top w:val="single" w:sz="4" w:space="0" w:color="auto"/>
              <w:left w:val="nil"/>
              <w:bottom w:val="single" w:sz="4" w:space="0" w:color="auto"/>
              <w:right w:val="single" w:sz="4" w:space="0" w:color="auto"/>
            </w:tcBorders>
          </w:tcPr>
          <w:p w14:paraId="5F62F56C" w14:textId="77777777" w:rsidR="006E444B" w:rsidRPr="00303537" w:rsidRDefault="006E444B" w:rsidP="006E444B">
            <w:pPr>
              <w:spacing w:after="0" w:line="240" w:lineRule="auto"/>
              <w:jc w:val="right"/>
              <w:rPr>
                <w:rFonts w:ascii="Times New Roman" w:hAnsi="Times New Roman" w:cs="Times New Roman"/>
                <w:sz w:val="18"/>
                <w:szCs w:val="18"/>
              </w:rPr>
            </w:pPr>
            <w:r w:rsidRPr="00303537">
              <w:rPr>
                <w:rFonts w:ascii="Times New Roman" w:hAnsi="Times New Roman" w:cs="Times New Roman"/>
                <w:bCs/>
                <w:sz w:val="18"/>
                <w:szCs w:val="18"/>
              </w:rPr>
              <w:t>L</w:t>
            </w:r>
          </w:p>
        </w:tc>
        <w:tc>
          <w:tcPr>
            <w:tcW w:w="17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6E23D9" w14:textId="77777777" w:rsidR="006E444B" w:rsidRPr="00303537" w:rsidRDefault="006E444B" w:rsidP="006E444B">
            <w:pPr>
              <w:spacing w:after="0" w:line="240" w:lineRule="auto"/>
              <w:jc w:val="right"/>
              <w:rPr>
                <w:rFonts w:ascii="Times New Roman" w:hAnsi="Times New Roman" w:cs="Times New Roman"/>
                <w:sz w:val="18"/>
                <w:szCs w:val="18"/>
              </w:rPr>
            </w:pPr>
            <w:r w:rsidRPr="00303537">
              <w:rPr>
                <w:rFonts w:ascii="Times New Roman" w:hAnsi="Times New Roman" w:cs="Times New Roman"/>
                <w:sz w:val="18"/>
                <w:szCs w:val="18"/>
              </w:rPr>
              <w:t>2,1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623718" w14:textId="77777777" w:rsidR="006E444B" w:rsidRPr="00303537" w:rsidRDefault="006E444B" w:rsidP="006E444B">
            <w:pPr>
              <w:spacing w:after="0" w:line="240" w:lineRule="auto"/>
              <w:jc w:val="right"/>
              <w:rPr>
                <w:rFonts w:ascii="Times New Roman" w:hAnsi="Times New Roman" w:cs="Times New Roman"/>
                <w:sz w:val="18"/>
                <w:szCs w:val="18"/>
              </w:rPr>
            </w:pPr>
            <w:r w:rsidRPr="00303537">
              <w:rPr>
                <w:rFonts w:ascii="Times New Roman" w:hAnsi="Times New Roman" w:cs="Times New Roman"/>
                <w:sz w:val="18"/>
                <w:szCs w:val="18"/>
              </w:rPr>
              <w:t>16,1</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0E83F8E" w14:textId="77777777" w:rsidR="006E444B" w:rsidRPr="00303537" w:rsidRDefault="006E444B" w:rsidP="006E444B">
            <w:pPr>
              <w:spacing w:after="0" w:line="240" w:lineRule="auto"/>
              <w:jc w:val="right"/>
              <w:rPr>
                <w:rFonts w:ascii="Times New Roman" w:hAnsi="Times New Roman" w:cs="Times New Roman"/>
                <w:sz w:val="18"/>
                <w:szCs w:val="18"/>
              </w:rPr>
            </w:pPr>
            <w:r w:rsidRPr="00303537">
              <w:rPr>
                <w:rFonts w:ascii="Times New Roman" w:hAnsi="Times New Roman" w:cs="Times New Roman"/>
                <w:sz w:val="18"/>
                <w:szCs w:val="18"/>
              </w:rPr>
              <w:t>-</w:t>
            </w:r>
          </w:p>
        </w:tc>
        <w:tc>
          <w:tcPr>
            <w:tcW w:w="1272" w:type="dxa"/>
            <w:tcBorders>
              <w:top w:val="single" w:sz="4" w:space="0" w:color="auto"/>
              <w:left w:val="nil"/>
              <w:bottom w:val="single" w:sz="4" w:space="0" w:color="auto"/>
              <w:right w:val="single" w:sz="4" w:space="0" w:color="auto"/>
            </w:tcBorders>
            <w:shd w:val="clear" w:color="auto" w:fill="auto"/>
            <w:noWrap/>
            <w:vAlign w:val="bottom"/>
            <w:hideMark/>
          </w:tcPr>
          <w:p w14:paraId="68DAE806" w14:textId="77777777" w:rsidR="006E444B" w:rsidRPr="00303537" w:rsidRDefault="006E444B" w:rsidP="006E444B">
            <w:pPr>
              <w:spacing w:after="0" w:line="240" w:lineRule="auto"/>
              <w:jc w:val="right"/>
              <w:rPr>
                <w:rFonts w:ascii="Times New Roman" w:hAnsi="Times New Roman" w:cs="Times New Roman"/>
                <w:sz w:val="18"/>
                <w:szCs w:val="18"/>
              </w:rPr>
            </w:pPr>
            <w:r w:rsidRPr="00303537">
              <w:rPr>
                <w:rFonts w:ascii="Times New Roman" w:hAnsi="Times New Roman" w:cs="Times New Roman"/>
                <w:sz w:val="18"/>
                <w:szCs w:val="18"/>
              </w:rPr>
              <w:t>16,1</w:t>
            </w:r>
          </w:p>
        </w:tc>
      </w:tr>
      <w:tr w:rsidR="006E444B" w:rsidRPr="00303537" w14:paraId="6648273A" w14:textId="77777777" w:rsidTr="006E444B">
        <w:trPr>
          <w:trHeight w:val="28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0823C65D" w14:textId="77777777" w:rsidR="006E444B" w:rsidRPr="00303537" w:rsidRDefault="006E444B" w:rsidP="006E444B">
            <w:pPr>
              <w:spacing w:after="0" w:line="240" w:lineRule="auto"/>
              <w:rPr>
                <w:rFonts w:ascii="Times New Roman" w:hAnsi="Times New Roman" w:cs="Times New Roman"/>
                <w:bCs/>
                <w:sz w:val="18"/>
                <w:szCs w:val="18"/>
              </w:rPr>
            </w:pPr>
            <w:r w:rsidRPr="00303537">
              <w:rPr>
                <w:rFonts w:ascii="Times New Roman" w:hAnsi="Times New Roman" w:cs="Times New Roman"/>
                <w:bCs/>
                <w:sz w:val="18"/>
                <w:szCs w:val="18"/>
              </w:rPr>
              <w:t>Republika Czech</w:t>
            </w:r>
          </w:p>
        </w:tc>
        <w:tc>
          <w:tcPr>
            <w:tcW w:w="425" w:type="dxa"/>
            <w:tcBorders>
              <w:top w:val="single" w:sz="4" w:space="0" w:color="auto"/>
              <w:left w:val="nil"/>
              <w:bottom w:val="single" w:sz="4" w:space="0" w:color="auto"/>
              <w:right w:val="single" w:sz="4" w:space="0" w:color="auto"/>
            </w:tcBorders>
          </w:tcPr>
          <w:p w14:paraId="5F7D8918" w14:textId="77777777" w:rsidR="006E444B" w:rsidRPr="00303537" w:rsidRDefault="006E444B" w:rsidP="006E444B">
            <w:pPr>
              <w:spacing w:after="0" w:line="240" w:lineRule="auto"/>
              <w:jc w:val="right"/>
              <w:rPr>
                <w:rFonts w:ascii="Times New Roman" w:hAnsi="Times New Roman" w:cs="Times New Roman"/>
                <w:sz w:val="18"/>
                <w:szCs w:val="18"/>
              </w:rPr>
            </w:pPr>
            <w:r w:rsidRPr="00303537">
              <w:rPr>
                <w:rFonts w:ascii="Times New Roman" w:hAnsi="Times New Roman" w:cs="Times New Roman"/>
                <w:color w:val="000000"/>
                <w:sz w:val="18"/>
                <w:szCs w:val="18"/>
              </w:rPr>
              <w:t>L</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E01371B" w14:textId="77777777" w:rsidR="006E444B" w:rsidRPr="00303537" w:rsidRDefault="006E444B" w:rsidP="006E444B">
            <w:pPr>
              <w:spacing w:after="0" w:line="240" w:lineRule="auto"/>
              <w:jc w:val="right"/>
              <w:rPr>
                <w:rFonts w:ascii="Times New Roman" w:hAnsi="Times New Roman" w:cs="Times New Roman"/>
                <w:sz w:val="18"/>
                <w:szCs w:val="18"/>
              </w:rPr>
            </w:pPr>
            <w:r w:rsidRPr="00303537">
              <w:rPr>
                <w:rFonts w:ascii="Times New Roman" w:hAnsi="Times New Roman" w:cs="Times New Roman"/>
                <w:sz w:val="18"/>
                <w:szCs w:val="18"/>
              </w:rPr>
              <w:t>3,6</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3FABFB66" w14:textId="77777777" w:rsidR="006E444B" w:rsidRPr="00303537" w:rsidRDefault="006E444B" w:rsidP="006E444B">
            <w:pPr>
              <w:spacing w:after="0" w:line="240" w:lineRule="auto"/>
              <w:jc w:val="right"/>
              <w:rPr>
                <w:rFonts w:ascii="Times New Roman" w:hAnsi="Times New Roman" w:cs="Times New Roman"/>
                <w:sz w:val="18"/>
                <w:szCs w:val="18"/>
              </w:rPr>
            </w:pPr>
            <w:r w:rsidRPr="00303537">
              <w:rPr>
                <w:rFonts w:ascii="Times New Roman" w:hAnsi="Times New Roman" w:cs="Times New Roman"/>
                <w:sz w:val="18"/>
                <w:szCs w:val="18"/>
              </w:rPr>
              <w:t>100,0</w:t>
            </w:r>
          </w:p>
        </w:tc>
        <w:tc>
          <w:tcPr>
            <w:tcW w:w="1275" w:type="dxa"/>
            <w:tcBorders>
              <w:top w:val="nil"/>
              <w:left w:val="nil"/>
              <w:bottom w:val="single" w:sz="4" w:space="0" w:color="auto"/>
              <w:right w:val="single" w:sz="4" w:space="0" w:color="auto"/>
            </w:tcBorders>
            <w:shd w:val="clear" w:color="auto" w:fill="auto"/>
            <w:noWrap/>
            <w:vAlign w:val="bottom"/>
            <w:hideMark/>
          </w:tcPr>
          <w:p w14:paraId="43D843CF" w14:textId="77777777" w:rsidR="006E444B" w:rsidRPr="00303537" w:rsidRDefault="006E444B" w:rsidP="006E444B">
            <w:pPr>
              <w:spacing w:after="0" w:line="240" w:lineRule="auto"/>
              <w:jc w:val="right"/>
              <w:rPr>
                <w:rFonts w:ascii="Times New Roman" w:hAnsi="Times New Roman" w:cs="Times New Roman"/>
                <w:sz w:val="18"/>
                <w:szCs w:val="18"/>
              </w:rPr>
            </w:pPr>
            <w:r w:rsidRPr="00303537">
              <w:rPr>
                <w:rFonts w:ascii="Times New Roman" w:hAnsi="Times New Roman" w:cs="Times New Roman"/>
                <w:sz w:val="18"/>
                <w:szCs w:val="18"/>
              </w:rPr>
              <w:t>100,0</w:t>
            </w:r>
          </w:p>
        </w:tc>
        <w:tc>
          <w:tcPr>
            <w:tcW w:w="1272" w:type="dxa"/>
            <w:tcBorders>
              <w:top w:val="nil"/>
              <w:left w:val="nil"/>
              <w:bottom w:val="single" w:sz="4" w:space="0" w:color="auto"/>
              <w:right w:val="single" w:sz="4" w:space="0" w:color="auto"/>
            </w:tcBorders>
            <w:shd w:val="clear" w:color="auto" w:fill="auto"/>
            <w:noWrap/>
            <w:vAlign w:val="bottom"/>
            <w:hideMark/>
          </w:tcPr>
          <w:p w14:paraId="5AAE282D" w14:textId="77777777" w:rsidR="006E444B" w:rsidRPr="00303537" w:rsidRDefault="006E444B" w:rsidP="006E444B">
            <w:pPr>
              <w:spacing w:after="0" w:line="240" w:lineRule="auto"/>
              <w:jc w:val="right"/>
              <w:rPr>
                <w:rFonts w:ascii="Times New Roman" w:hAnsi="Times New Roman" w:cs="Times New Roman"/>
                <w:sz w:val="18"/>
                <w:szCs w:val="18"/>
              </w:rPr>
            </w:pPr>
            <w:r w:rsidRPr="00303537">
              <w:rPr>
                <w:rFonts w:ascii="Times New Roman" w:hAnsi="Times New Roman" w:cs="Times New Roman"/>
                <w:sz w:val="18"/>
                <w:szCs w:val="18"/>
              </w:rPr>
              <w:t>-</w:t>
            </w:r>
          </w:p>
        </w:tc>
      </w:tr>
      <w:tr w:rsidR="006E444B" w:rsidRPr="00303537" w14:paraId="5E2BF77C" w14:textId="77777777" w:rsidTr="006E444B">
        <w:trPr>
          <w:trHeight w:val="28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7915D6F3" w14:textId="77777777" w:rsidR="006E444B" w:rsidRPr="00303537" w:rsidRDefault="006E444B" w:rsidP="006E444B">
            <w:pPr>
              <w:spacing w:after="0" w:line="240" w:lineRule="auto"/>
              <w:rPr>
                <w:rFonts w:ascii="Times New Roman" w:hAnsi="Times New Roman" w:cs="Times New Roman"/>
                <w:bCs/>
                <w:color w:val="000000"/>
                <w:sz w:val="18"/>
                <w:szCs w:val="18"/>
              </w:rPr>
            </w:pPr>
            <w:r w:rsidRPr="00303537">
              <w:rPr>
                <w:rFonts w:ascii="Times New Roman" w:hAnsi="Times New Roman" w:cs="Times New Roman"/>
                <w:bCs/>
                <w:color w:val="000000"/>
                <w:sz w:val="18"/>
                <w:szCs w:val="18"/>
              </w:rPr>
              <w:t>Słowenia</w:t>
            </w:r>
          </w:p>
        </w:tc>
        <w:tc>
          <w:tcPr>
            <w:tcW w:w="425" w:type="dxa"/>
            <w:tcBorders>
              <w:top w:val="single" w:sz="4" w:space="0" w:color="auto"/>
              <w:left w:val="nil"/>
              <w:bottom w:val="single" w:sz="4" w:space="0" w:color="auto"/>
              <w:right w:val="single" w:sz="4" w:space="0" w:color="auto"/>
            </w:tcBorders>
          </w:tcPr>
          <w:p w14:paraId="55E42448" w14:textId="77777777" w:rsidR="006E444B" w:rsidRPr="00303537" w:rsidRDefault="006E444B" w:rsidP="006E444B">
            <w:pPr>
              <w:spacing w:after="0" w:line="240" w:lineRule="auto"/>
              <w:jc w:val="right"/>
              <w:rPr>
                <w:rFonts w:ascii="Times New Roman" w:hAnsi="Times New Roman" w:cs="Times New Roman"/>
                <w:sz w:val="18"/>
                <w:szCs w:val="18"/>
              </w:rPr>
            </w:pPr>
            <w:r w:rsidRPr="00303537">
              <w:rPr>
                <w:rFonts w:ascii="Times New Roman" w:hAnsi="Times New Roman" w:cs="Times New Roman"/>
                <w:color w:val="000000"/>
                <w:sz w:val="18"/>
                <w:szCs w:val="18"/>
              </w:rPr>
              <w:t>L</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2C50CFAD" w14:textId="77777777" w:rsidR="006E444B" w:rsidRPr="00303537" w:rsidRDefault="006E444B" w:rsidP="006E444B">
            <w:pPr>
              <w:spacing w:after="0" w:line="240" w:lineRule="auto"/>
              <w:jc w:val="right"/>
              <w:rPr>
                <w:rFonts w:ascii="Times New Roman" w:hAnsi="Times New Roman" w:cs="Times New Roman"/>
                <w:sz w:val="18"/>
                <w:szCs w:val="18"/>
              </w:rPr>
            </w:pPr>
            <w:r w:rsidRPr="00303537">
              <w:rPr>
                <w:rFonts w:ascii="Times New Roman" w:hAnsi="Times New Roman" w:cs="Times New Roman"/>
                <w:sz w:val="18"/>
                <w:szCs w:val="18"/>
              </w:rPr>
              <w:t>3,9</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333BDA71" w14:textId="77777777" w:rsidR="006E444B" w:rsidRPr="00303537" w:rsidRDefault="006E444B" w:rsidP="006E444B">
            <w:pPr>
              <w:spacing w:after="0" w:line="240" w:lineRule="auto"/>
              <w:jc w:val="right"/>
              <w:rPr>
                <w:rFonts w:ascii="Times New Roman" w:hAnsi="Times New Roman" w:cs="Times New Roman"/>
                <w:sz w:val="18"/>
                <w:szCs w:val="18"/>
              </w:rPr>
            </w:pPr>
            <w:r w:rsidRPr="00303537">
              <w:rPr>
                <w:rFonts w:ascii="Times New Roman" w:hAnsi="Times New Roman" w:cs="Times New Roman"/>
                <w:sz w:val="18"/>
                <w:szCs w:val="18"/>
              </w:rPr>
              <w:t>100,0</w:t>
            </w:r>
          </w:p>
        </w:tc>
        <w:tc>
          <w:tcPr>
            <w:tcW w:w="1275" w:type="dxa"/>
            <w:tcBorders>
              <w:top w:val="nil"/>
              <w:left w:val="nil"/>
              <w:bottom w:val="single" w:sz="4" w:space="0" w:color="auto"/>
              <w:right w:val="single" w:sz="4" w:space="0" w:color="auto"/>
            </w:tcBorders>
            <w:shd w:val="clear" w:color="auto" w:fill="auto"/>
            <w:noWrap/>
            <w:vAlign w:val="bottom"/>
            <w:hideMark/>
          </w:tcPr>
          <w:p w14:paraId="1A37FC8A" w14:textId="77777777" w:rsidR="006E444B" w:rsidRPr="00303537" w:rsidRDefault="006E444B" w:rsidP="006E444B">
            <w:pPr>
              <w:spacing w:after="0" w:line="240" w:lineRule="auto"/>
              <w:jc w:val="right"/>
              <w:rPr>
                <w:rFonts w:ascii="Times New Roman" w:hAnsi="Times New Roman" w:cs="Times New Roman"/>
                <w:sz w:val="18"/>
                <w:szCs w:val="18"/>
              </w:rPr>
            </w:pPr>
            <w:r w:rsidRPr="00303537">
              <w:rPr>
                <w:rFonts w:ascii="Times New Roman" w:hAnsi="Times New Roman" w:cs="Times New Roman"/>
                <w:sz w:val="18"/>
                <w:szCs w:val="18"/>
              </w:rPr>
              <w:t>100,0</w:t>
            </w:r>
          </w:p>
        </w:tc>
        <w:tc>
          <w:tcPr>
            <w:tcW w:w="1272" w:type="dxa"/>
            <w:tcBorders>
              <w:top w:val="nil"/>
              <w:left w:val="nil"/>
              <w:bottom w:val="single" w:sz="4" w:space="0" w:color="auto"/>
              <w:right w:val="single" w:sz="4" w:space="0" w:color="auto"/>
            </w:tcBorders>
            <w:shd w:val="clear" w:color="auto" w:fill="auto"/>
            <w:noWrap/>
            <w:vAlign w:val="bottom"/>
            <w:hideMark/>
          </w:tcPr>
          <w:p w14:paraId="70E00BA7" w14:textId="77777777" w:rsidR="006E444B" w:rsidRPr="00303537" w:rsidRDefault="006E444B" w:rsidP="006E444B">
            <w:pPr>
              <w:spacing w:after="0" w:line="240" w:lineRule="auto"/>
              <w:jc w:val="right"/>
              <w:rPr>
                <w:rFonts w:ascii="Times New Roman" w:hAnsi="Times New Roman" w:cs="Times New Roman"/>
                <w:sz w:val="18"/>
                <w:szCs w:val="18"/>
              </w:rPr>
            </w:pPr>
            <w:r w:rsidRPr="00303537">
              <w:rPr>
                <w:rFonts w:ascii="Times New Roman" w:hAnsi="Times New Roman" w:cs="Times New Roman"/>
                <w:sz w:val="18"/>
                <w:szCs w:val="18"/>
              </w:rPr>
              <w:t>-</w:t>
            </w:r>
          </w:p>
        </w:tc>
      </w:tr>
      <w:tr w:rsidR="006E444B" w:rsidRPr="00303537" w14:paraId="7F2F889D" w14:textId="77777777" w:rsidTr="006E444B">
        <w:trPr>
          <w:trHeight w:val="28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57C22697" w14:textId="77777777" w:rsidR="006E444B" w:rsidRPr="00303537" w:rsidRDefault="006E444B" w:rsidP="006E444B">
            <w:pPr>
              <w:spacing w:after="0" w:line="240" w:lineRule="auto"/>
              <w:rPr>
                <w:rFonts w:ascii="Times New Roman" w:hAnsi="Times New Roman" w:cs="Times New Roman"/>
                <w:bCs/>
                <w:sz w:val="18"/>
                <w:szCs w:val="18"/>
              </w:rPr>
            </w:pPr>
            <w:r w:rsidRPr="00303537">
              <w:rPr>
                <w:rFonts w:ascii="Times New Roman" w:hAnsi="Times New Roman" w:cs="Times New Roman"/>
                <w:bCs/>
                <w:sz w:val="18"/>
                <w:szCs w:val="18"/>
              </w:rPr>
              <w:t>Szwecja</w:t>
            </w:r>
          </w:p>
        </w:tc>
        <w:tc>
          <w:tcPr>
            <w:tcW w:w="425" w:type="dxa"/>
            <w:tcBorders>
              <w:top w:val="single" w:sz="4" w:space="0" w:color="auto"/>
              <w:left w:val="nil"/>
              <w:bottom w:val="single" w:sz="4" w:space="0" w:color="auto"/>
              <w:right w:val="single" w:sz="4" w:space="0" w:color="auto"/>
            </w:tcBorders>
          </w:tcPr>
          <w:p w14:paraId="4E4F40D4" w14:textId="77777777" w:rsidR="006E444B" w:rsidRPr="00303537" w:rsidRDefault="006E444B" w:rsidP="006E444B">
            <w:pPr>
              <w:spacing w:after="0" w:line="240" w:lineRule="auto"/>
              <w:jc w:val="right"/>
              <w:rPr>
                <w:rFonts w:ascii="Times New Roman" w:hAnsi="Times New Roman" w:cs="Times New Roman"/>
                <w:sz w:val="18"/>
                <w:szCs w:val="18"/>
              </w:rPr>
            </w:pPr>
            <w:r w:rsidRPr="00303537">
              <w:rPr>
                <w:rFonts w:ascii="Times New Roman" w:hAnsi="Times New Roman" w:cs="Times New Roman"/>
                <w:color w:val="000000"/>
                <w:sz w:val="18"/>
                <w:szCs w:val="18"/>
              </w:rPr>
              <w:t>L</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5176D3EA" w14:textId="77777777" w:rsidR="006E444B" w:rsidRPr="00303537" w:rsidRDefault="006E444B" w:rsidP="006E444B">
            <w:pPr>
              <w:spacing w:after="0" w:line="240" w:lineRule="auto"/>
              <w:jc w:val="right"/>
              <w:rPr>
                <w:rFonts w:ascii="Times New Roman" w:hAnsi="Times New Roman" w:cs="Times New Roman"/>
                <w:sz w:val="18"/>
                <w:szCs w:val="18"/>
              </w:rPr>
            </w:pPr>
            <w:r w:rsidRPr="00303537">
              <w:rPr>
                <w:rFonts w:ascii="Times New Roman" w:hAnsi="Times New Roman" w:cs="Times New Roman"/>
                <w:sz w:val="18"/>
                <w:szCs w:val="18"/>
              </w:rPr>
              <w:t>6,0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56AC9C1C" w14:textId="77777777" w:rsidR="006E444B" w:rsidRPr="00303537" w:rsidRDefault="006E444B" w:rsidP="006E444B">
            <w:pPr>
              <w:spacing w:after="0" w:line="240" w:lineRule="auto"/>
              <w:jc w:val="right"/>
              <w:rPr>
                <w:rFonts w:ascii="Times New Roman" w:hAnsi="Times New Roman" w:cs="Times New Roman"/>
                <w:sz w:val="18"/>
                <w:szCs w:val="18"/>
              </w:rPr>
            </w:pPr>
            <w:r w:rsidRPr="00303537">
              <w:rPr>
                <w:rFonts w:ascii="Times New Roman" w:hAnsi="Times New Roman" w:cs="Times New Roman"/>
                <w:sz w:val="18"/>
                <w:szCs w:val="18"/>
              </w:rPr>
              <w:t>25,9</w:t>
            </w:r>
          </w:p>
        </w:tc>
        <w:tc>
          <w:tcPr>
            <w:tcW w:w="1275" w:type="dxa"/>
            <w:tcBorders>
              <w:top w:val="nil"/>
              <w:left w:val="nil"/>
              <w:bottom w:val="single" w:sz="4" w:space="0" w:color="auto"/>
              <w:right w:val="single" w:sz="4" w:space="0" w:color="auto"/>
            </w:tcBorders>
            <w:shd w:val="clear" w:color="auto" w:fill="auto"/>
            <w:noWrap/>
            <w:vAlign w:val="bottom"/>
            <w:hideMark/>
          </w:tcPr>
          <w:p w14:paraId="36EDD1C9" w14:textId="77777777" w:rsidR="006E444B" w:rsidRPr="00303537" w:rsidRDefault="006E444B" w:rsidP="006E444B">
            <w:pPr>
              <w:spacing w:after="0" w:line="240" w:lineRule="auto"/>
              <w:jc w:val="right"/>
              <w:rPr>
                <w:rFonts w:ascii="Times New Roman" w:hAnsi="Times New Roman" w:cs="Times New Roman"/>
                <w:sz w:val="18"/>
                <w:szCs w:val="18"/>
              </w:rPr>
            </w:pPr>
            <w:r w:rsidRPr="00303537">
              <w:rPr>
                <w:rFonts w:ascii="Times New Roman" w:hAnsi="Times New Roman" w:cs="Times New Roman"/>
                <w:sz w:val="18"/>
                <w:szCs w:val="18"/>
              </w:rPr>
              <w:t>-</w:t>
            </w:r>
          </w:p>
        </w:tc>
        <w:tc>
          <w:tcPr>
            <w:tcW w:w="1272" w:type="dxa"/>
            <w:tcBorders>
              <w:top w:val="nil"/>
              <w:left w:val="nil"/>
              <w:bottom w:val="single" w:sz="4" w:space="0" w:color="auto"/>
              <w:right w:val="single" w:sz="4" w:space="0" w:color="auto"/>
            </w:tcBorders>
            <w:shd w:val="clear" w:color="auto" w:fill="auto"/>
            <w:noWrap/>
            <w:vAlign w:val="bottom"/>
            <w:hideMark/>
          </w:tcPr>
          <w:p w14:paraId="5C95F046" w14:textId="77777777" w:rsidR="006E444B" w:rsidRPr="00303537" w:rsidRDefault="006E444B" w:rsidP="006E444B">
            <w:pPr>
              <w:spacing w:after="0" w:line="240" w:lineRule="auto"/>
              <w:jc w:val="right"/>
              <w:rPr>
                <w:rFonts w:ascii="Times New Roman" w:hAnsi="Times New Roman" w:cs="Times New Roman"/>
                <w:sz w:val="18"/>
                <w:szCs w:val="18"/>
              </w:rPr>
            </w:pPr>
            <w:r w:rsidRPr="00303537">
              <w:rPr>
                <w:rFonts w:ascii="Times New Roman" w:hAnsi="Times New Roman" w:cs="Times New Roman"/>
                <w:sz w:val="18"/>
                <w:szCs w:val="18"/>
              </w:rPr>
              <w:t>25,9</w:t>
            </w:r>
          </w:p>
        </w:tc>
      </w:tr>
      <w:tr w:rsidR="006E444B" w:rsidRPr="00303537" w14:paraId="6A2EB9AE" w14:textId="77777777" w:rsidTr="006E444B">
        <w:trPr>
          <w:trHeight w:val="28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5D98F169" w14:textId="77777777" w:rsidR="006E444B" w:rsidRPr="00303537" w:rsidRDefault="006E444B" w:rsidP="006E444B">
            <w:pPr>
              <w:spacing w:after="0" w:line="240" w:lineRule="auto"/>
              <w:rPr>
                <w:rFonts w:ascii="Times New Roman" w:hAnsi="Times New Roman" w:cs="Times New Roman"/>
                <w:bCs/>
                <w:sz w:val="18"/>
                <w:szCs w:val="18"/>
              </w:rPr>
            </w:pPr>
            <w:r w:rsidRPr="00303537">
              <w:rPr>
                <w:rFonts w:ascii="Times New Roman" w:hAnsi="Times New Roman" w:cs="Times New Roman"/>
                <w:bCs/>
                <w:sz w:val="18"/>
                <w:szCs w:val="18"/>
              </w:rPr>
              <w:t>Węgry</w:t>
            </w:r>
          </w:p>
        </w:tc>
        <w:tc>
          <w:tcPr>
            <w:tcW w:w="425" w:type="dxa"/>
            <w:tcBorders>
              <w:top w:val="single" w:sz="4" w:space="0" w:color="auto"/>
              <w:left w:val="nil"/>
              <w:bottom w:val="single" w:sz="4" w:space="0" w:color="auto"/>
              <w:right w:val="single" w:sz="4" w:space="0" w:color="auto"/>
            </w:tcBorders>
          </w:tcPr>
          <w:p w14:paraId="4F722515" w14:textId="77777777" w:rsidR="006E444B" w:rsidRPr="00303537" w:rsidRDefault="006E444B" w:rsidP="006E444B">
            <w:pPr>
              <w:spacing w:after="0" w:line="240" w:lineRule="auto"/>
              <w:jc w:val="right"/>
              <w:rPr>
                <w:rFonts w:ascii="Times New Roman" w:hAnsi="Times New Roman" w:cs="Times New Roman"/>
                <w:sz w:val="18"/>
                <w:szCs w:val="18"/>
              </w:rPr>
            </w:pPr>
            <w:r w:rsidRPr="00303537">
              <w:rPr>
                <w:rFonts w:ascii="Times New Roman" w:hAnsi="Times New Roman" w:cs="Times New Roman"/>
                <w:color w:val="000000"/>
                <w:sz w:val="18"/>
                <w:szCs w:val="18"/>
              </w:rPr>
              <w:t>L</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9056B98" w14:textId="77777777" w:rsidR="006E444B" w:rsidRPr="00303537" w:rsidRDefault="006E444B" w:rsidP="006E444B">
            <w:pPr>
              <w:spacing w:after="0" w:line="240" w:lineRule="auto"/>
              <w:jc w:val="right"/>
              <w:rPr>
                <w:rFonts w:ascii="Times New Roman" w:hAnsi="Times New Roman" w:cs="Times New Roman"/>
                <w:sz w:val="18"/>
                <w:szCs w:val="18"/>
              </w:rPr>
            </w:pPr>
            <w:r w:rsidRPr="00303537">
              <w:rPr>
                <w:rFonts w:ascii="Times New Roman" w:hAnsi="Times New Roman" w:cs="Times New Roman"/>
                <w:sz w:val="18"/>
                <w:szCs w:val="18"/>
              </w:rPr>
              <w:t>4,9</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0FFDA5AD" w14:textId="77777777" w:rsidR="006E444B" w:rsidRPr="00303537" w:rsidRDefault="006E444B" w:rsidP="006E444B">
            <w:pPr>
              <w:spacing w:after="0" w:line="240" w:lineRule="auto"/>
              <w:jc w:val="right"/>
              <w:rPr>
                <w:rFonts w:ascii="Times New Roman" w:hAnsi="Times New Roman" w:cs="Times New Roman"/>
                <w:sz w:val="18"/>
                <w:szCs w:val="18"/>
              </w:rPr>
            </w:pPr>
            <w:r w:rsidRPr="00303537">
              <w:rPr>
                <w:rFonts w:ascii="Times New Roman" w:hAnsi="Times New Roman" w:cs="Times New Roman"/>
                <w:sz w:val="18"/>
                <w:szCs w:val="18"/>
              </w:rPr>
              <w:t>87,3</w:t>
            </w:r>
          </w:p>
        </w:tc>
        <w:tc>
          <w:tcPr>
            <w:tcW w:w="1275" w:type="dxa"/>
            <w:tcBorders>
              <w:top w:val="nil"/>
              <w:left w:val="nil"/>
              <w:bottom w:val="single" w:sz="4" w:space="0" w:color="auto"/>
              <w:right w:val="single" w:sz="4" w:space="0" w:color="auto"/>
            </w:tcBorders>
            <w:shd w:val="clear" w:color="auto" w:fill="auto"/>
            <w:noWrap/>
            <w:vAlign w:val="bottom"/>
            <w:hideMark/>
          </w:tcPr>
          <w:p w14:paraId="10C99034" w14:textId="77777777" w:rsidR="006E444B" w:rsidRPr="00303537" w:rsidRDefault="006E444B" w:rsidP="006E444B">
            <w:pPr>
              <w:spacing w:after="0" w:line="240" w:lineRule="auto"/>
              <w:jc w:val="right"/>
              <w:rPr>
                <w:rFonts w:ascii="Times New Roman" w:hAnsi="Times New Roman" w:cs="Times New Roman"/>
                <w:sz w:val="18"/>
                <w:szCs w:val="18"/>
              </w:rPr>
            </w:pPr>
            <w:r w:rsidRPr="00303537">
              <w:rPr>
                <w:rFonts w:ascii="Times New Roman" w:hAnsi="Times New Roman" w:cs="Times New Roman"/>
                <w:sz w:val="18"/>
                <w:szCs w:val="18"/>
              </w:rPr>
              <w:t>57,7</w:t>
            </w:r>
          </w:p>
        </w:tc>
        <w:tc>
          <w:tcPr>
            <w:tcW w:w="1272" w:type="dxa"/>
            <w:tcBorders>
              <w:top w:val="nil"/>
              <w:left w:val="nil"/>
              <w:bottom w:val="single" w:sz="4" w:space="0" w:color="auto"/>
              <w:right w:val="single" w:sz="4" w:space="0" w:color="auto"/>
            </w:tcBorders>
            <w:shd w:val="clear" w:color="auto" w:fill="auto"/>
            <w:noWrap/>
            <w:vAlign w:val="bottom"/>
            <w:hideMark/>
          </w:tcPr>
          <w:p w14:paraId="1FADD0C4" w14:textId="77777777" w:rsidR="006E444B" w:rsidRPr="00303537" w:rsidRDefault="006E444B" w:rsidP="006E444B">
            <w:pPr>
              <w:spacing w:after="0" w:line="240" w:lineRule="auto"/>
              <w:jc w:val="right"/>
              <w:rPr>
                <w:rFonts w:ascii="Times New Roman" w:hAnsi="Times New Roman" w:cs="Times New Roman"/>
                <w:sz w:val="18"/>
                <w:szCs w:val="18"/>
              </w:rPr>
            </w:pPr>
            <w:r w:rsidRPr="00303537">
              <w:rPr>
                <w:rFonts w:ascii="Times New Roman" w:hAnsi="Times New Roman" w:cs="Times New Roman"/>
                <w:sz w:val="18"/>
                <w:szCs w:val="18"/>
              </w:rPr>
              <w:t>29,6</w:t>
            </w:r>
          </w:p>
        </w:tc>
      </w:tr>
      <w:tr w:rsidR="006E444B" w:rsidRPr="00303537" w14:paraId="2CC39713" w14:textId="77777777" w:rsidTr="006E444B">
        <w:trPr>
          <w:trHeight w:val="213"/>
        </w:trPr>
        <w:tc>
          <w:tcPr>
            <w:tcW w:w="1555" w:type="dxa"/>
            <w:vMerge w:val="restart"/>
            <w:tcBorders>
              <w:top w:val="single" w:sz="4" w:space="0" w:color="auto"/>
              <w:left w:val="single" w:sz="4" w:space="0" w:color="auto"/>
              <w:right w:val="single" w:sz="4" w:space="0" w:color="auto"/>
            </w:tcBorders>
            <w:shd w:val="clear" w:color="auto" w:fill="auto"/>
            <w:noWrap/>
            <w:vAlign w:val="bottom"/>
            <w:hideMark/>
          </w:tcPr>
          <w:p w14:paraId="1D96372F" w14:textId="77777777" w:rsidR="006E444B" w:rsidRPr="00303537" w:rsidRDefault="006E444B" w:rsidP="006E444B">
            <w:pPr>
              <w:spacing w:after="0" w:line="240" w:lineRule="auto"/>
              <w:rPr>
                <w:rFonts w:ascii="Times New Roman" w:hAnsi="Times New Roman" w:cs="Times New Roman"/>
                <w:color w:val="000000"/>
                <w:sz w:val="18"/>
                <w:szCs w:val="18"/>
              </w:rPr>
            </w:pPr>
            <w:r w:rsidRPr="00303537">
              <w:rPr>
                <w:rFonts w:ascii="Times New Roman" w:hAnsi="Times New Roman" w:cs="Times New Roman"/>
                <w:color w:val="000000"/>
                <w:sz w:val="18"/>
                <w:szCs w:val="18"/>
              </w:rPr>
              <w:t>Włochy*</w:t>
            </w:r>
          </w:p>
        </w:tc>
        <w:tc>
          <w:tcPr>
            <w:tcW w:w="425" w:type="dxa"/>
            <w:tcBorders>
              <w:top w:val="single" w:sz="4" w:space="0" w:color="auto"/>
              <w:left w:val="nil"/>
              <w:bottom w:val="single" w:sz="4" w:space="0" w:color="auto"/>
              <w:right w:val="single" w:sz="4" w:space="0" w:color="auto"/>
            </w:tcBorders>
            <w:vAlign w:val="bottom"/>
          </w:tcPr>
          <w:p w14:paraId="26CFB9ED" w14:textId="77777777" w:rsidR="006E444B" w:rsidRPr="00303537" w:rsidRDefault="006E444B" w:rsidP="006E444B">
            <w:pPr>
              <w:spacing w:after="0" w:line="240" w:lineRule="auto"/>
              <w:jc w:val="right"/>
              <w:rPr>
                <w:rFonts w:ascii="Times New Roman" w:hAnsi="Times New Roman" w:cs="Times New Roman"/>
                <w:color w:val="000000"/>
                <w:sz w:val="18"/>
                <w:szCs w:val="18"/>
              </w:rPr>
            </w:pPr>
            <w:r w:rsidRPr="00303537">
              <w:rPr>
                <w:rFonts w:ascii="Times New Roman" w:hAnsi="Times New Roman" w:cs="Times New Roman"/>
                <w:color w:val="000000"/>
                <w:sz w:val="18"/>
                <w:szCs w:val="18"/>
              </w:rPr>
              <w:t>R</w:t>
            </w:r>
          </w:p>
        </w:tc>
        <w:tc>
          <w:tcPr>
            <w:tcW w:w="17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1C8740" w14:textId="77777777" w:rsidR="006E444B" w:rsidRPr="00303537" w:rsidRDefault="006E444B" w:rsidP="006E444B">
            <w:pPr>
              <w:spacing w:after="0" w:line="240" w:lineRule="auto"/>
              <w:jc w:val="right"/>
              <w:rPr>
                <w:rFonts w:ascii="Times New Roman" w:hAnsi="Times New Roman" w:cs="Times New Roman"/>
                <w:sz w:val="18"/>
                <w:szCs w:val="18"/>
              </w:rPr>
            </w:pPr>
            <w:r w:rsidRPr="00303537">
              <w:rPr>
                <w:rFonts w:ascii="Times New Roman" w:hAnsi="Times New Roman" w:cs="Times New Roman"/>
                <w:sz w:val="18"/>
                <w:szCs w:val="18"/>
              </w:rPr>
              <w:t>5,1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7D670A" w14:textId="77777777" w:rsidR="006E444B" w:rsidRPr="00303537" w:rsidRDefault="006E444B" w:rsidP="006E444B">
            <w:pPr>
              <w:spacing w:after="0" w:line="240" w:lineRule="auto"/>
              <w:jc w:val="right"/>
              <w:rPr>
                <w:rFonts w:ascii="Times New Roman" w:hAnsi="Times New Roman" w:cs="Times New Roman"/>
                <w:sz w:val="18"/>
                <w:szCs w:val="18"/>
              </w:rPr>
            </w:pPr>
            <w:r w:rsidRPr="00303537">
              <w:rPr>
                <w:rFonts w:ascii="Times New Roman" w:hAnsi="Times New Roman" w:cs="Times New Roman"/>
                <w:sz w:val="18"/>
                <w:szCs w:val="18"/>
              </w:rPr>
              <w:t>29,8</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CE6945D" w14:textId="77777777" w:rsidR="006E444B" w:rsidRPr="00303537" w:rsidRDefault="006E444B" w:rsidP="006E444B">
            <w:pPr>
              <w:spacing w:after="0" w:line="240" w:lineRule="auto"/>
              <w:jc w:val="right"/>
              <w:rPr>
                <w:rFonts w:ascii="Times New Roman" w:hAnsi="Times New Roman" w:cs="Times New Roman"/>
                <w:sz w:val="18"/>
                <w:szCs w:val="18"/>
              </w:rPr>
            </w:pPr>
            <w:r w:rsidRPr="00303537">
              <w:rPr>
                <w:rFonts w:ascii="Times New Roman" w:hAnsi="Times New Roman" w:cs="Times New Roman"/>
                <w:sz w:val="18"/>
                <w:szCs w:val="18"/>
              </w:rPr>
              <w:t>9,6</w:t>
            </w:r>
          </w:p>
        </w:tc>
        <w:tc>
          <w:tcPr>
            <w:tcW w:w="1272" w:type="dxa"/>
            <w:tcBorders>
              <w:top w:val="single" w:sz="4" w:space="0" w:color="auto"/>
              <w:left w:val="nil"/>
              <w:bottom w:val="single" w:sz="4" w:space="0" w:color="auto"/>
              <w:right w:val="single" w:sz="4" w:space="0" w:color="auto"/>
            </w:tcBorders>
            <w:shd w:val="clear" w:color="auto" w:fill="auto"/>
            <w:noWrap/>
            <w:vAlign w:val="bottom"/>
            <w:hideMark/>
          </w:tcPr>
          <w:p w14:paraId="34D6BAA8" w14:textId="77777777" w:rsidR="006E444B" w:rsidRPr="00303537" w:rsidRDefault="006E444B" w:rsidP="006E444B">
            <w:pPr>
              <w:spacing w:after="0" w:line="240" w:lineRule="auto"/>
              <w:jc w:val="right"/>
              <w:rPr>
                <w:rFonts w:ascii="Times New Roman" w:hAnsi="Times New Roman" w:cs="Times New Roman"/>
                <w:sz w:val="18"/>
                <w:szCs w:val="18"/>
              </w:rPr>
            </w:pPr>
            <w:r w:rsidRPr="00303537">
              <w:rPr>
                <w:rFonts w:ascii="Times New Roman" w:hAnsi="Times New Roman" w:cs="Times New Roman"/>
                <w:sz w:val="18"/>
                <w:szCs w:val="18"/>
              </w:rPr>
              <w:t>20,2</w:t>
            </w:r>
          </w:p>
        </w:tc>
      </w:tr>
      <w:tr w:rsidR="006E444B" w:rsidRPr="00303537" w14:paraId="7F30528A" w14:textId="77777777" w:rsidTr="006E444B">
        <w:trPr>
          <w:trHeight w:val="131"/>
        </w:trPr>
        <w:tc>
          <w:tcPr>
            <w:tcW w:w="1555" w:type="dxa"/>
            <w:vMerge/>
            <w:tcBorders>
              <w:left w:val="single" w:sz="4" w:space="0" w:color="auto"/>
              <w:bottom w:val="single" w:sz="4" w:space="0" w:color="auto"/>
              <w:right w:val="single" w:sz="4" w:space="0" w:color="auto"/>
            </w:tcBorders>
            <w:shd w:val="clear" w:color="auto" w:fill="auto"/>
            <w:noWrap/>
            <w:vAlign w:val="bottom"/>
          </w:tcPr>
          <w:p w14:paraId="668777C9" w14:textId="77777777" w:rsidR="006E444B" w:rsidRPr="00303537" w:rsidRDefault="006E444B" w:rsidP="006E444B">
            <w:pPr>
              <w:spacing w:after="0" w:line="240" w:lineRule="auto"/>
              <w:jc w:val="right"/>
              <w:rPr>
                <w:rFonts w:ascii="Times New Roman" w:hAnsi="Times New Roman" w:cs="Times New Roman"/>
                <w:color w:val="000000"/>
                <w:sz w:val="18"/>
                <w:szCs w:val="18"/>
              </w:rPr>
            </w:pPr>
          </w:p>
        </w:tc>
        <w:tc>
          <w:tcPr>
            <w:tcW w:w="425" w:type="dxa"/>
            <w:tcBorders>
              <w:top w:val="single" w:sz="4" w:space="0" w:color="auto"/>
              <w:left w:val="nil"/>
              <w:bottom w:val="single" w:sz="4" w:space="0" w:color="auto"/>
              <w:right w:val="single" w:sz="4" w:space="0" w:color="auto"/>
            </w:tcBorders>
            <w:vAlign w:val="bottom"/>
          </w:tcPr>
          <w:p w14:paraId="760B4996" w14:textId="77777777" w:rsidR="006E444B" w:rsidRPr="00303537" w:rsidRDefault="006E444B" w:rsidP="006E444B">
            <w:pPr>
              <w:spacing w:after="0" w:line="240" w:lineRule="auto"/>
              <w:jc w:val="right"/>
              <w:rPr>
                <w:rFonts w:ascii="Times New Roman" w:hAnsi="Times New Roman" w:cs="Times New Roman"/>
                <w:color w:val="000000"/>
                <w:sz w:val="18"/>
                <w:szCs w:val="18"/>
              </w:rPr>
            </w:pPr>
            <w:r w:rsidRPr="00303537">
              <w:rPr>
                <w:rFonts w:ascii="Times New Roman" w:hAnsi="Times New Roman" w:cs="Times New Roman"/>
                <w:color w:val="000000"/>
                <w:sz w:val="18"/>
                <w:szCs w:val="18"/>
              </w:rPr>
              <w:t>L</w:t>
            </w:r>
          </w:p>
        </w:tc>
        <w:tc>
          <w:tcPr>
            <w:tcW w:w="17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12EB17" w14:textId="77777777" w:rsidR="006E444B" w:rsidRPr="00303537" w:rsidRDefault="006E444B" w:rsidP="006E444B">
            <w:pPr>
              <w:spacing w:after="0" w:line="240" w:lineRule="auto"/>
              <w:jc w:val="right"/>
              <w:rPr>
                <w:rFonts w:ascii="Times New Roman" w:hAnsi="Times New Roman" w:cs="Times New Roman"/>
                <w:sz w:val="18"/>
                <w:szCs w:val="18"/>
              </w:rPr>
            </w:pPr>
            <w:r w:rsidRPr="00303537">
              <w:rPr>
                <w:rFonts w:ascii="Times New Roman" w:hAnsi="Times New Roman" w:cs="Times New Roman"/>
                <w:sz w:val="18"/>
                <w:szCs w:val="18"/>
              </w:rPr>
              <w:t>2,4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D1A4E7" w14:textId="77777777" w:rsidR="006E444B" w:rsidRPr="00303537" w:rsidRDefault="006E444B" w:rsidP="006E444B">
            <w:pPr>
              <w:spacing w:after="0" w:line="240" w:lineRule="auto"/>
              <w:jc w:val="right"/>
              <w:rPr>
                <w:rFonts w:ascii="Times New Roman" w:hAnsi="Times New Roman" w:cs="Times New Roman"/>
                <w:sz w:val="18"/>
                <w:szCs w:val="18"/>
              </w:rPr>
            </w:pPr>
            <w:r w:rsidRPr="00303537">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auto" w:fill="auto"/>
            <w:noWrap/>
            <w:vAlign w:val="bottom"/>
          </w:tcPr>
          <w:p w14:paraId="2FAFF9B3" w14:textId="77777777" w:rsidR="006E444B" w:rsidRPr="00303537" w:rsidRDefault="006E444B" w:rsidP="006E444B">
            <w:pPr>
              <w:spacing w:after="0" w:line="240" w:lineRule="auto"/>
              <w:jc w:val="right"/>
              <w:rPr>
                <w:rFonts w:ascii="Times New Roman" w:hAnsi="Times New Roman" w:cs="Times New Roman"/>
                <w:sz w:val="18"/>
                <w:szCs w:val="18"/>
              </w:rPr>
            </w:pPr>
            <w:r w:rsidRPr="00303537">
              <w:rPr>
                <w:rFonts w:ascii="Times New Roman" w:hAnsi="Times New Roman" w:cs="Times New Roman"/>
                <w:sz w:val="18"/>
                <w:szCs w:val="18"/>
              </w:rPr>
              <w:t>-</w:t>
            </w:r>
          </w:p>
        </w:tc>
        <w:tc>
          <w:tcPr>
            <w:tcW w:w="1272" w:type="dxa"/>
            <w:tcBorders>
              <w:top w:val="single" w:sz="4" w:space="0" w:color="auto"/>
              <w:left w:val="nil"/>
              <w:bottom w:val="single" w:sz="4" w:space="0" w:color="auto"/>
              <w:right w:val="single" w:sz="4" w:space="0" w:color="auto"/>
            </w:tcBorders>
            <w:shd w:val="clear" w:color="auto" w:fill="auto"/>
            <w:noWrap/>
            <w:vAlign w:val="bottom"/>
          </w:tcPr>
          <w:p w14:paraId="0D0B2252" w14:textId="77777777" w:rsidR="006E444B" w:rsidRPr="00303537" w:rsidRDefault="006E444B" w:rsidP="006E444B">
            <w:pPr>
              <w:spacing w:after="0" w:line="240" w:lineRule="auto"/>
              <w:jc w:val="right"/>
              <w:rPr>
                <w:rFonts w:ascii="Times New Roman" w:hAnsi="Times New Roman" w:cs="Times New Roman"/>
                <w:sz w:val="18"/>
                <w:szCs w:val="18"/>
              </w:rPr>
            </w:pPr>
            <w:r w:rsidRPr="00303537">
              <w:rPr>
                <w:rFonts w:ascii="Times New Roman" w:hAnsi="Times New Roman" w:cs="Times New Roman"/>
                <w:sz w:val="18"/>
                <w:szCs w:val="18"/>
              </w:rPr>
              <w:t>62,0</w:t>
            </w:r>
          </w:p>
        </w:tc>
      </w:tr>
    </w:tbl>
    <w:p w14:paraId="7BDB8585" w14:textId="77777777" w:rsidR="00C72640" w:rsidRDefault="00C72640" w:rsidP="00C618BE">
      <w:pPr>
        <w:jc w:val="both"/>
        <w:rPr>
          <w:rFonts w:ascii="Times New Roman" w:hAnsi="Times New Roman" w:cs="Times New Roman"/>
          <w:sz w:val="20"/>
          <w:szCs w:val="20"/>
        </w:rPr>
      </w:pPr>
    </w:p>
    <w:p w14:paraId="2F9E363B" w14:textId="77777777" w:rsidR="00C72640" w:rsidRDefault="00C72640" w:rsidP="00C618BE">
      <w:pPr>
        <w:jc w:val="both"/>
        <w:rPr>
          <w:rFonts w:ascii="Times New Roman" w:hAnsi="Times New Roman" w:cs="Times New Roman"/>
          <w:sz w:val="20"/>
          <w:szCs w:val="20"/>
        </w:rPr>
      </w:pPr>
    </w:p>
    <w:p w14:paraId="63933319" w14:textId="77777777" w:rsidR="00C72640" w:rsidRDefault="00C72640" w:rsidP="00C618BE">
      <w:pPr>
        <w:jc w:val="both"/>
        <w:rPr>
          <w:rFonts w:ascii="Times New Roman" w:hAnsi="Times New Roman" w:cs="Times New Roman"/>
          <w:sz w:val="20"/>
          <w:szCs w:val="20"/>
        </w:rPr>
      </w:pPr>
    </w:p>
    <w:p w14:paraId="211C32BB" w14:textId="77777777" w:rsidR="00C72640" w:rsidRDefault="00C72640" w:rsidP="00C618BE">
      <w:pPr>
        <w:jc w:val="both"/>
        <w:rPr>
          <w:rFonts w:ascii="Times New Roman" w:hAnsi="Times New Roman" w:cs="Times New Roman"/>
          <w:sz w:val="20"/>
          <w:szCs w:val="20"/>
        </w:rPr>
      </w:pPr>
    </w:p>
    <w:p w14:paraId="51D2F1F2" w14:textId="77777777" w:rsidR="00C72640" w:rsidRDefault="00C72640" w:rsidP="00C618BE">
      <w:pPr>
        <w:jc w:val="both"/>
        <w:rPr>
          <w:rFonts w:ascii="Times New Roman" w:hAnsi="Times New Roman" w:cs="Times New Roman"/>
          <w:sz w:val="20"/>
          <w:szCs w:val="20"/>
        </w:rPr>
      </w:pPr>
    </w:p>
    <w:p w14:paraId="2498ABBB" w14:textId="77777777" w:rsidR="00C72640" w:rsidRDefault="00C72640" w:rsidP="00C618BE">
      <w:pPr>
        <w:jc w:val="both"/>
        <w:rPr>
          <w:rFonts w:ascii="Times New Roman" w:hAnsi="Times New Roman" w:cs="Times New Roman"/>
          <w:sz w:val="20"/>
          <w:szCs w:val="20"/>
        </w:rPr>
      </w:pPr>
    </w:p>
    <w:p w14:paraId="1000DE1B" w14:textId="77777777" w:rsidR="00C72640" w:rsidRDefault="00C72640" w:rsidP="00C618BE">
      <w:pPr>
        <w:jc w:val="both"/>
        <w:rPr>
          <w:rFonts w:ascii="Times New Roman" w:hAnsi="Times New Roman" w:cs="Times New Roman"/>
          <w:sz w:val="20"/>
          <w:szCs w:val="20"/>
        </w:rPr>
      </w:pPr>
    </w:p>
    <w:p w14:paraId="0C557BFE" w14:textId="77777777" w:rsidR="00C72640" w:rsidRDefault="00C72640" w:rsidP="00C618BE">
      <w:pPr>
        <w:jc w:val="both"/>
        <w:rPr>
          <w:rFonts w:ascii="Times New Roman" w:hAnsi="Times New Roman" w:cs="Times New Roman"/>
          <w:sz w:val="20"/>
          <w:szCs w:val="20"/>
        </w:rPr>
      </w:pPr>
    </w:p>
    <w:p w14:paraId="46826C01" w14:textId="77777777" w:rsidR="00C72640" w:rsidRDefault="00C72640" w:rsidP="00C618BE">
      <w:pPr>
        <w:jc w:val="both"/>
        <w:rPr>
          <w:rFonts w:ascii="Times New Roman" w:hAnsi="Times New Roman" w:cs="Times New Roman"/>
          <w:sz w:val="20"/>
          <w:szCs w:val="20"/>
        </w:rPr>
      </w:pPr>
    </w:p>
    <w:p w14:paraId="14764D10" w14:textId="77777777" w:rsidR="00C72640" w:rsidRDefault="00C72640" w:rsidP="00C618BE">
      <w:pPr>
        <w:jc w:val="both"/>
        <w:rPr>
          <w:rFonts w:ascii="Times New Roman" w:hAnsi="Times New Roman" w:cs="Times New Roman"/>
          <w:sz w:val="20"/>
          <w:szCs w:val="20"/>
        </w:rPr>
      </w:pPr>
    </w:p>
    <w:p w14:paraId="19772B78" w14:textId="77777777" w:rsidR="00C72640" w:rsidRDefault="00C72640" w:rsidP="00C618BE">
      <w:pPr>
        <w:jc w:val="both"/>
        <w:rPr>
          <w:rFonts w:ascii="Times New Roman" w:hAnsi="Times New Roman" w:cs="Times New Roman"/>
          <w:sz w:val="20"/>
          <w:szCs w:val="20"/>
        </w:rPr>
      </w:pPr>
    </w:p>
    <w:p w14:paraId="0BCB471B" w14:textId="77777777" w:rsidR="00C72640" w:rsidRDefault="00C72640" w:rsidP="00C618BE">
      <w:pPr>
        <w:jc w:val="both"/>
        <w:rPr>
          <w:rFonts w:ascii="Times New Roman" w:hAnsi="Times New Roman" w:cs="Times New Roman"/>
          <w:sz w:val="20"/>
          <w:szCs w:val="20"/>
        </w:rPr>
      </w:pPr>
    </w:p>
    <w:p w14:paraId="1073863E" w14:textId="77777777" w:rsidR="00C72640" w:rsidRDefault="00C72640" w:rsidP="00C618BE">
      <w:pPr>
        <w:jc w:val="both"/>
        <w:rPr>
          <w:rFonts w:ascii="Times New Roman" w:hAnsi="Times New Roman" w:cs="Times New Roman"/>
          <w:sz w:val="20"/>
          <w:szCs w:val="20"/>
        </w:rPr>
      </w:pPr>
    </w:p>
    <w:p w14:paraId="3AF1AB2D" w14:textId="77777777" w:rsidR="00C72640" w:rsidRDefault="00C72640" w:rsidP="00C618BE">
      <w:pPr>
        <w:jc w:val="both"/>
        <w:rPr>
          <w:rFonts w:ascii="Times New Roman" w:hAnsi="Times New Roman" w:cs="Times New Roman"/>
          <w:sz w:val="20"/>
          <w:szCs w:val="20"/>
        </w:rPr>
      </w:pPr>
    </w:p>
    <w:p w14:paraId="6440AF18" w14:textId="77777777" w:rsidR="00967DE6" w:rsidRPr="00605589" w:rsidRDefault="00967DE6" w:rsidP="00605589">
      <w:pPr>
        <w:spacing w:after="0" w:line="240" w:lineRule="auto"/>
        <w:jc w:val="both"/>
        <w:rPr>
          <w:rFonts w:ascii="Times New Roman" w:eastAsia="Calibri" w:hAnsi="Times New Roman" w:cs="Times New Roman"/>
          <w:sz w:val="18"/>
          <w:szCs w:val="18"/>
        </w:rPr>
      </w:pPr>
      <w:r w:rsidRPr="00605589">
        <w:rPr>
          <w:rFonts w:ascii="Times New Roman" w:eastAsia="Calibri" w:hAnsi="Times New Roman" w:cs="Times New Roman"/>
          <w:sz w:val="18"/>
          <w:szCs w:val="18"/>
        </w:rPr>
        <w:t>* za rok 2006; *</w:t>
      </w:r>
      <w:r w:rsidR="00C72640">
        <w:rPr>
          <w:rFonts w:ascii="Times New Roman" w:eastAsia="Calibri" w:hAnsi="Times New Roman" w:cs="Times New Roman"/>
          <w:sz w:val="18"/>
          <w:szCs w:val="18"/>
        </w:rPr>
        <w:t>* za rok 2004</w:t>
      </w:r>
    </w:p>
    <w:p w14:paraId="208A0C14" w14:textId="77777777" w:rsidR="00BA1691" w:rsidRPr="00605589" w:rsidRDefault="00967DE6" w:rsidP="00605589">
      <w:pPr>
        <w:spacing w:after="0" w:line="240" w:lineRule="auto"/>
        <w:jc w:val="both"/>
        <w:rPr>
          <w:rFonts w:ascii="Times New Roman" w:hAnsi="Times New Roman" w:cs="Times New Roman"/>
          <w:sz w:val="18"/>
          <w:szCs w:val="18"/>
        </w:rPr>
      </w:pPr>
      <w:r w:rsidRPr="00605589">
        <w:rPr>
          <w:rFonts w:ascii="Times New Roman" w:eastAsia="Calibri" w:hAnsi="Times New Roman" w:cs="Times New Roman"/>
          <w:sz w:val="18"/>
          <w:szCs w:val="18"/>
        </w:rPr>
        <w:t xml:space="preserve">Źródło: </w:t>
      </w:r>
      <w:r w:rsidR="006A34B5" w:rsidRPr="00605589">
        <w:rPr>
          <w:rFonts w:ascii="Times New Roman" w:eastAsia="Calibri" w:hAnsi="Times New Roman" w:cs="Times New Roman"/>
          <w:sz w:val="18"/>
          <w:szCs w:val="18"/>
        </w:rPr>
        <w:t>[</w:t>
      </w:r>
      <w:r w:rsidRPr="00605589">
        <w:rPr>
          <w:rFonts w:ascii="Times New Roman" w:eastAsia="Calibri" w:hAnsi="Times New Roman" w:cs="Times New Roman"/>
          <w:sz w:val="18"/>
          <w:szCs w:val="18"/>
        </w:rPr>
        <w:t>H. Blöchliger</w:t>
      </w:r>
      <w:r w:rsidR="00BA3394">
        <w:rPr>
          <w:rFonts w:ascii="Times New Roman" w:eastAsia="Calibri" w:hAnsi="Times New Roman" w:cs="Times New Roman"/>
          <w:sz w:val="18"/>
          <w:szCs w:val="18"/>
        </w:rPr>
        <w:t>,</w:t>
      </w:r>
      <w:r w:rsidR="006A34B5" w:rsidRPr="00605589">
        <w:rPr>
          <w:rFonts w:ascii="Times New Roman" w:eastAsia="Calibri" w:hAnsi="Times New Roman" w:cs="Times New Roman"/>
          <w:sz w:val="18"/>
          <w:szCs w:val="18"/>
        </w:rPr>
        <w:t xml:space="preserve"> 2006, s. 24]</w:t>
      </w:r>
      <w:r w:rsidR="00BA1691" w:rsidRPr="00605589">
        <w:rPr>
          <w:rFonts w:ascii="Times New Roman" w:hAnsi="Times New Roman" w:cs="Times New Roman"/>
          <w:sz w:val="18"/>
          <w:szCs w:val="18"/>
        </w:rPr>
        <w:t>.</w:t>
      </w:r>
    </w:p>
    <w:p w14:paraId="1ACAA935" w14:textId="77777777" w:rsidR="00683C72" w:rsidRDefault="00683C72" w:rsidP="006E444B">
      <w:pPr>
        <w:spacing w:after="0" w:line="360" w:lineRule="auto"/>
        <w:ind w:firstLine="284"/>
        <w:jc w:val="both"/>
        <w:rPr>
          <w:rFonts w:ascii="Times New Roman" w:hAnsi="Times New Roman" w:cs="Times New Roman"/>
          <w:sz w:val="24"/>
          <w:szCs w:val="24"/>
        </w:rPr>
      </w:pPr>
    </w:p>
    <w:p w14:paraId="6AFE255E" w14:textId="77777777" w:rsidR="006E444B" w:rsidRDefault="006E444B" w:rsidP="006E444B">
      <w:pPr>
        <w:spacing w:after="0" w:line="36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Wśród krajów, dla których dostępne są dane, poziom dochodów transferowych jest istotnie zróżnicowany - od bardzo wysokiego w Irlandii, czy Grecji, do bardzo niskiego – w Szwecji, czy Finlandii. W części z nich w zdecydowanej większości mają one charakter celowy (np. obejmujący 100% w Luksemburgu, Republice Czech i Słowenii). W Polsce dochody z tytułu dotacji celowych w ostatnich latach kształtowały się na poziomie zbliżonym do 13% dochodów ogółem, stanowiąc blisko 1/3 dochodów transferowych. Zaprezentowane transfery uzupełniają dochody własne, a ich udział potwierdza podział krajów ze względu na stopień samodzielności dochodowej funkcjonującego w nich </w:t>
      </w:r>
      <w:r w:rsidR="0086229F">
        <w:rPr>
          <w:rFonts w:ascii="Times New Roman" w:hAnsi="Times New Roman" w:cs="Times New Roman"/>
          <w:sz w:val="24"/>
          <w:szCs w:val="24"/>
        </w:rPr>
        <w:t>JST</w:t>
      </w:r>
      <w:r>
        <w:rPr>
          <w:rFonts w:ascii="Times New Roman" w:hAnsi="Times New Roman" w:cs="Times New Roman"/>
          <w:sz w:val="24"/>
          <w:szCs w:val="24"/>
        </w:rPr>
        <w:t>.</w:t>
      </w:r>
    </w:p>
    <w:p w14:paraId="32EC79A4" w14:textId="77777777" w:rsidR="006E444B" w:rsidRDefault="006E444B">
      <w:pPr>
        <w:rPr>
          <w:rFonts w:ascii="Times New Roman" w:hAnsi="Times New Roman" w:cs="Times New Roman"/>
          <w:b/>
          <w:sz w:val="24"/>
          <w:szCs w:val="24"/>
        </w:rPr>
      </w:pPr>
    </w:p>
    <w:p w14:paraId="35035109" w14:textId="77777777" w:rsidR="00AE0C27" w:rsidRPr="00AE0C27" w:rsidRDefault="00AE0C27">
      <w:pPr>
        <w:rPr>
          <w:rFonts w:ascii="Times New Roman" w:hAnsi="Times New Roman" w:cs="Times New Roman"/>
          <w:b/>
          <w:sz w:val="24"/>
          <w:szCs w:val="24"/>
        </w:rPr>
      </w:pPr>
      <w:r w:rsidRPr="00AE0C27">
        <w:rPr>
          <w:rFonts w:ascii="Times New Roman" w:hAnsi="Times New Roman" w:cs="Times New Roman"/>
          <w:b/>
          <w:sz w:val="24"/>
          <w:szCs w:val="24"/>
        </w:rPr>
        <w:t>Podsumowanie</w:t>
      </w:r>
    </w:p>
    <w:p w14:paraId="5B48928C" w14:textId="42232E40" w:rsidR="00AE0C27" w:rsidRPr="00B769A1" w:rsidRDefault="001D00B6" w:rsidP="00233C8F">
      <w:pPr>
        <w:spacing w:after="0" w:line="360" w:lineRule="auto"/>
        <w:ind w:firstLine="284"/>
        <w:jc w:val="both"/>
        <w:rPr>
          <w:rFonts w:ascii="Times New Roman" w:hAnsi="Times New Roman" w:cs="Times New Roman"/>
          <w:sz w:val="24"/>
          <w:szCs w:val="24"/>
        </w:rPr>
      </w:pPr>
      <w:r w:rsidRPr="00605589">
        <w:rPr>
          <w:rFonts w:ascii="Times New Roman" w:hAnsi="Times New Roman" w:cs="Times New Roman"/>
          <w:sz w:val="24"/>
          <w:szCs w:val="24"/>
        </w:rPr>
        <w:t xml:space="preserve">Przeprowadzona analiza </w:t>
      </w:r>
      <w:r w:rsidR="00605589" w:rsidRPr="00605589">
        <w:rPr>
          <w:rFonts w:ascii="Times New Roman" w:hAnsi="Times New Roman" w:cs="Times New Roman"/>
          <w:sz w:val="24"/>
          <w:szCs w:val="24"/>
        </w:rPr>
        <w:t xml:space="preserve">pozwala na wyodrębnienie wśród krajów UE, tych w których </w:t>
      </w:r>
      <w:r w:rsidR="0086229F">
        <w:rPr>
          <w:rFonts w:ascii="Times New Roman" w:hAnsi="Times New Roman" w:cs="Times New Roman"/>
          <w:sz w:val="24"/>
          <w:szCs w:val="24"/>
        </w:rPr>
        <w:t>JST</w:t>
      </w:r>
      <w:r w:rsidR="00605589" w:rsidRPr="00605589">
        <w:rPr>
          <w:rFonts w:ascii="Times New Roman" w:hAnsi="Times New Roman" w:cs="Times New Roman"/>
          <w:sz w:val="24"/>
          <w:szCs w:val="24"/>
        </w:rPr>
        <w:t xml:space="preserve"> charakteryzuj</w:t>
      </w:r>
      <w:r w:rsidR="0086229F">
        <w:rPr>
          <w:rFonts w:ascii="Times New Roman" w:hAnsi="Times New Roman" w:cs="Times New Roman"/>
          <w:sz w:val="24"/>
          <w:szCs w:val="24"/>
        </w:rPr>
        <w:t>ą</w:t>
      </w:r>
      <w:r w:rsidR="00605589" w:rsidRPr="00605589">
        <w:rPr>
          <w:rFonts w:ascii="Times New Roman" w:hAnsi="Times New Roman" w:cs="Times New Roman"/>
          <w:sz w:val="24"/>
          <w:szCs w:val="24"/>
        </w:rPr>
        <w:t xml:space="preserve"> się znacznym </w:t>
      </w:r>
      <w:r w:rsidRPr="00605589">
        <w:rPr>
          <w:rFonts w:ascii="Times New Roman" w:hAnsi="Times New Roman" w:cs="Times New Roman"/>
          <w:sz w:val="24"/>
          <w:szCs w:val="24"/>
        </w:rPr>
        <w:t>poziom</w:t>
      </w:r>
      <w:r w:rsidR="00605589" w:rsidRPr="00605589">
        <w:rPr>
          <w:rFonts w:ascii="Times New Roman" w:hAnsi="Times New Roman" w:cs="Times New Roman"/>
          <w:sz w:val="24"/>
          <w:szCs w:val="24"/>
        </w:rPr>
        <w:t>em</w:t>
      </w:r>
      <w:r w:rsidRPr="00605589">
        <w:rPr>
          <w:rFonts w:ascii="Times New Roman" w:hAnsi="Times New Roman" w:cs="Times New Roman"/>
          <w:sz w:val="24"/>
          <w:szCs w:val="24"/>
        </w:rPr>
        <w:t xml:space="preserve"> samodzielności dochodowej. Uwzględniając poziom wyposażenia </w:t>
      </w:r>
      <w:r w:rsidR="00683C72">
        <w:rPr>
          <w:rFonts w:ascii="Times New Roman" w:hAnsi="Times New Roman" w:cs="Times New Roman"/>
          <w:sz w:val="24"/>
          <w:szCs w:val="24"/>
        </w:rPr>
        <w:t xml:space="preserve">JST </w:t>
      </w:r>
      <w:r w:rsidRPr="00605589">
        <w:rPr>
          <w:rFonts w:ascii="Times New Roman" w:hAnsi="Times New Roman" w:cs="Times New Roman"/>
          <w:sz w:val="24"/>
          <w:szCs w:val="24"/>
        </w:rPr>
        <w:t>w</w:t>
      </w:r>
      <w:r w:rsidR="00605589" w:rsidRPr="00605589">
        <w:rPr>
          <w:rFonts w:ascii="Times New Roman" w:hAnsi="Times New Roman" w:cs="Times New Roman"/>
          <w:sz w:val="24"/>
          <w:szCs w:val="24"/>
        </w:rPr>
        <w:t xml:space="preserve"> </w:t>
      </w:r>
      <w:r w:rsidR="00C849E2" w:rsidRPr="00605589">
        <w:rPr>
          <w:rFonts w:ascii="Times New Roman" w:hAnsi="Times New Roman" w:cs="Times New Roman"/>
          <w:sz w:val="24"/>
          <w:szCs w:val="24"/>
        </w:rPr>
        <w:t xml:space="preserve">dochody </w:t>
      </w:r>
      <w:r w:rsidR="0086229F">
        <w:rPr>
          <w:rFonts w:ascii="Times New Roman" w:hAnsi="Times New Roman" w:cs="Times New Roman"/>
          <w:sz w:val="24"/>
          <w:szCs w:val="24"/>
        </w:rPr>
        <w:t>podatkowe, wobec których dysponują</w:t>
      </w:r>
      <w:r w:rsidRPr="00605589">
        <w:rPr>
          <w:rFonts w:ascii="Times New Roman" w:hAnsi="Times New Roman" w:cs="Times New Roman"/>
          <w:sz w:val="24"/>
          <w:szCs w:val="24"/>
        </w:rPr>
        <w:t xml:space="preserve"> władztw</w:t>
      </w:r>
      <w:r w:rsidR="0086229F">
        <w:rPr>
          <w:rFonts w:ascii="Times New Roman" w:hAnsi="Times New Roman" w:cs="Times New Roman"/>
          <w:sz w:val="24"/>
          <w:szCs w:val="24"/>
        </w:rPr>
        <w:t>em</w:t>
      </w:r>
      <w:r w:rsidRPr="00605589">
        <w:rPr>
          <w:rFonts w:ascii="Times New Roman" w:hAnsi="Times New Roman" w:cs="Times New Roman"/>
          <w:sz w:val="24"/>
          <w:szCs w:val="24"/>
        </w:rPr>
        <w:t xml:space="preserve"> podatkow</w:t>
      </w:r>
      <w:r w:rsidR="0086229F">
        <w:rPr>
          <w:rFonts w:ascii="Times New Roman" w:hAnsi="Times New Roman" w:cs="Times New Roman"/>
          <w:sz w:val="24"/>
          <w:szCs w:val="24"/>
        </w:rPr>
        <w:t>ym</w:t>
      </w:r>
      <w:r w:rsidRPr="00605589">
        <w:rPr>
          <w:rFonts w:ascii="Times New Roman" w:hAnsi="Times New Roman" w:cs="Times New Roman"/>
          <w:sz w:val="24"/>
          <w:szCs w:val="24"/>
        </w:rPr>
        <w:t xml:space="preserve"> można wyróżnić grupę krajów skandynawskich oraz Belgię, które charakteryzują się zdecydowanie najwyższym stopniem samodzielności </w:t>
      </w:r>
      <w:r w:rsidR="00A945A5">
        <w:rPr>
          <w:rFonts w:ascii="Times New Roman" w:hAnsi="Times New Roman" w:cs="Times New Roman"/>
          <w:sz w:val="24"/>
          <w:szCs w:val="24"/>
        </w:rPr>
        <w:t>dochodowej</w:t>
      </w:r>
      <w:r w:rsidRPr="00605589">
        <w:rPr>
          <w:rFonts w:ascii="Times New Roman" w:hAnsi="Times New Roman" w:cs="Times New Roman"/>
          <w:sz w:val="24"/>
          <w:szCs w:val="24"/>
        </w:rPr>
        <w:t xml:space="preserve">, grupę państw o umiarkowanym </w:t>
      </w:r>
      <w:r w:rsidR="00981C17">
        <w:rPr>
          <w:rFonts w:ascii="Times New Roman" w:hAnsi="Times New Roman" w:cs="Times New Roman"/>
          <w:sz w:val="24"/>
          <w:szCs w:val="24"/>
        </w:rPr>
        <w:t xml:space="preserve">jej </w:t>
      </w:r>
      <w:r w:rsidRPr="00605589">
        <w:rPr>
          <w:rFonts w:ascii="Times New Roman" w:hAnsi="Times New Roman" w:cs="Times New Roman"/>
          <w:sz w:val="24"/>
          <w:szCs w:val="24"/>
        </w:rPr>
        <w:t xml:space="preserve">poziomie (Austria, Francja, Hiszpania, Holandia), o niskim poziomie samodzielności (Grecję, Luksemburg, Niemcy, Portugalię, Republikę Czech, Słowację, Węgry </w:t>
      </w:r>
      <w:r w:rsidRPr="00605589">
        <w:rPr>
          <w:rFonts w:ascii="Times New Roman" w:hAnsi="Times New Roman" w:cs="Times New Roman"/>
          <w:sz w:val="24"/>
          <w:szCs w:val="24"/>
        </w:rPr>
        <w:lastRenderedPageBreak/>
        <w:t xml:space="preserve">i Włochy) oraz grupę państw w odniesieniu, do których w zasadzie trudno jest mówić o samodzielności </w:t>
      </w:r>
      <w:r w:rsidR="0086229F">
        <w:rPr>
          <w:rFonts w:ascii="Times New Roman" w:hAnsi="Times New Roman" w:cs="Times New Roman"/>
          <w:sz w:val="24"/>
          <w:szCs w:val="24"/>
        </w:rPr>
        <w:t>dochodowej</w:t>
      </w:r>
      <w:r w:rsidRPr="00605589">
        <w:rPr>
          <w:rFonts w:ascii="Times New Roman" w:hAnsi="Times New Roman" w:cs="Times New Roman"/>
          <w:sz w:val="24"/>
          <w:szCs w:val="24"/>
        </w:rPr>
        <w:t xml:space="preserve"> (Irlandia).</w:t>
      </w:r>
      <w:r w:rsidR="00266B0F">
        <w:rPr>
          <w:rFonts w:ascii="Times New Roman" w:hAnsi="Times New Roman" w:cs="Times New Roman"/>
          <w:sz w:val="24"/>
          <w:szCs w:val="24"/>
        </w:rPr>
        <w:t xml:space="preserve"> Polski</w:t>
      </w:r>
      <w:r w:rsidR="0086229F">
        <w:rPr>
          <w:rFonts w:ascii="Times New Roman" w:hAnsi="Times New Roman" w:cs="Times New Roman"/>
          <w:sz w:val="24"/>
          <w:szCs w:val="24"/>
        </w:rPr>
        <w:t>e JST (w zasadzie gminy)</w:t>
      </w:r>
      <w:r w:rsidR="00266B0F">
        <w:rPr>
          <w:rFonts w:ascii="Times New Roman" w:hAnsi="Times New Roman" w:cs="Times New Roman"/>
          <w:sz w:val="24"/>
          <w:szCs w:val="24"/>
        </w:rPr>
        <w:t xml:space="preserve"> </w:t>
      </w:r>
      <w:r w:rsidR="0086229F">
        <w:rPr>
          <w:rFonts w:ascii="Times New Roman" w:hAnsi="Times New Roman" w:cs="Times New Roman"/>
          <w:sz w:val="24"/>
          <w:szCs w:val="24"/>
        </w:rPr>
        <w:t>charakteryzują</w:t>
      </w:r>
      <w:r w:rsidR="00C849E2">
        <w:rPr>
          <w:rFonts w:ascii="Times New Roman" w:hAnsi="Times New Roman" w:cs="Times New Roman"/>
          <w:sz w:val="24"/>
          <w:szCs w:val="24"/>
        </w:rPr>
        <w:t xml:space="preserve"> się</w:t>
      </w:r>
      <w:r w:rsidR="00A945A5">
        <w:rPr>
          <w:rFonts w:ascii="Times New Roman" w:hAnsi="Times New Roman" w:cs="Times New Roman"/>
          <w:sz w:val="24"/>
          <w:szCs w:val="24"/>
        </w:rPr>
        <w:t xml:space="preserve"> niskim stopni</w:t>
      </w:r>
      <w:r w:rsidR="00C849E2">
        <w:rPr>
          <w:rFonts w:ascii="Times New Roman" w:hAnsi="Times New Roman" w:cs="Times New Roman"/>
          <w:sz w:val="24"/>
          <w:szCs w:val="24"/>
        </w:rPr>
        <w:t>em</w:t>
      </w:r>
      <w:r w:rsidR="00A945A5">
        <w:rPr>
          <w:rFonts w:ascii="Times New Roman" w:hAnsi="Times New Roman" w:cs="Times New Roman"/>
          <w:sz w:val="24"/>
          <w:szCs w:val="24"/>
        </w:rPr>
        <w:t xml:space="preserve"> samodzielności dochodowej</w:t>
      </w:r>
      <w:r w:rsidR="003245DD">
        <w:rPr>
          <w:rFonts w:ascii="Times New Roman" w:hAnsi="Times New Roman" w:cs="Times New Roman"/>
          <w:sz w:val="24"/>
          <w:szCs w:val="24"/>
        </w:rPr>
        <w:t xml:space="preserve">. W przypadku powiatów i samorządowych województw </w:t>
      </w:r>
      <w:r w:rsidR="002A6408">
        <w:rPr>
          <w:rFonts w:ascii="Times New Roman" w:hAnsi="Times New Roman" w:cs="Times New Roman"/>
          <w:sz w:val="24"/>
          <w:szCs w:val="24"/>
        </w:rPr>
        <w:t>można</w:t>
      </w:r>
      <w:r w:rsidR="003245DD">
        <w:rPr>
          <w:rFonts w:ascii="Times New Roman" w:hAnsi="Times New Roman" w:cs="Times New Roman"/>
          <w:sz w:val="24"/>
          <w:szCs w:val="24"/>
        </w:rPr>
        <w:t xml:space="preserve"> stwierdzić, że samodzielność dochodowa ma charakter symboliczny (udział dochodów, na który mogą oddziaływać </w:t>
      </w:r>
      <w:r w:rsidR="000F5CB3">
        <w:rPr>
          <w:rFonts w:ascii="Times New Roman" w:hAnsi="Times New Roman" w:cs="Times New Roman"/>
          <w:sz w:val="24"/>
          <w:szCs w:val="24"/>
        </w:rPr>
        <w:t>oscyluje wokół 1% dochodów ogółem</w:t>
      </w:r>
      <w:r w:rsidR="000F5CB3" w:rsidRPr="00C81481">
        <w:rPr>
          <w:rFonts w:ascii="Times New Roman" w:hAnsi="Times New Roman" w:cs="Times New Roman"/>
          <w:sz w:val="24"/>
          <w:szCs w:val="24"/>
        </w:rPr>
        <w:t>). Natomiast</w:t>
      </w:r>
      <w:r w:rsidRPr="00C81481">
        <w:rPr>
          <w:rFonts w:ascii="Times New Roman" w:hAnsi="Times New Roman" w:cs="Times New Roman"/>
          <w:sz w:val="24"/>
          <w:szCs w:val="24"/>
        </w:rPr>
        <w:t xml:space="preserve"> polskie gminy</w:t>
      </w:r>
      <w:r w:rsidR="00C81481" w:rsidRPr="00C81481">
        <w:rPr>
          <w:rFonts w:ascii="Times New Roman" w:hAnsi="Times New Roman" w:cs="Times New Roman"/>
          <w:sz w:val="24"/>
          <w:szCs w:val="24"/>
        </w:rPr>
        <w:t xml:space="preserve"> mimo, iż dysponują w blisko połowie dochodami własnymi charakteryzują się n</w:t>
      </w:r>
      <w:r w:rsidRPr="00C81481">
        <w:rPr>
          <w:rFonts w:ascii="Times New Roman" w:hAnsi="Times New Roman" w:cs="Times New Roman"/>
          <w:sz w:val="24"/>
          <w:szCs w:val="24"/>
        </w:rPr>
        <w:t>iskim poziome</w:t>
      </w:r>
      <w:r w:rsidR="00C81481" w:rsidRPr="00C81481">
        <w:rPr>
          <w:rFonts w:ascii="Times New Roman" w:hAnsi="Times New Roman" w:cs="Times New Roman"/>
          <w:sz w:val="24"/>
          <w:szCs w:val="24"/>
        </w:rPr>
        <w:t>m</w:t>
      </w:r>
      <w:r w:rsidRPr="00C81481">
        <w:rPr>
          <w:rFonts w:ascii="Times New Roman" w:hAnsi="Times New Roman" w:cs="Times New Roman"/>
          <w:sz w:val="24"/>
          <w:szCs w:val="24"/>
        </w:rPr>
        <w:t xml:space="preserve"> samodzielności </w:t>
      </w:r>
      <w:r w:rsidR="00C81481" w:rsidRPr="00C81481">
        <w:rPr>
          <w:rFonts w:ascii="Times New Roman" w:hAnsi="Times New Roman" w:cs="Times New Roman"/>
          <w:sz w:val="24"/>
          <w:szCs w:val="24"/>
        </w:rPr>
        <w:t>dochodowej, ze względu na fakt, iż w kategorii dochodów własnych znaczną część stanowią dochody, na które nie mogą oddziaływać (blisko 40%)</w:t>
      </w:r>
      <w:r w:rsidRPr="00C81481">
        <w:rPr>
          <w:rFonts w:ascii="Times New Roman" w:hAnsi="Times New Roman" w:cs="Times New Roman"/>
          <w:sz w:val="24"/>
          <w:szCs w:val="24"/>
        </w:rPr>
        <w:t>.</w:t>
      </w:r>
      <w:r w:rsidR="00C81481" w:rsidRPr="00C81481">
        <w:rPr>
          <w:rFonts w:ascii="Times New Roman" w:hAnsi="Times New Roman" w:cs="Times New Roman"/>
          <w:sz w:val="24"/>
          <w:szCs w:val="24"/>
        </w:rPr>
        <w:t xml:space="preserve"> </w:t>
      </w:r>
      <w:r w:rsidR="002A6408">
        <w:rPr>
          <w:rFonts w:ascii="Times New Roman" w:hAnsi="Times New Roman" w:cs="Times New Roman"/>
          <w:sz w:val="24"/>
          <w:szCs w:val="24"/>
        </w:rPr>
        <w:t>P</w:t>
      </w:r>
      <w:r w:rsidR="00C81481" w:rsidRPr="00C81481">
        <w:rPr>
          <w:rFonts w:ascii="Times New Roman" w:hAnsi="Times New Roman" w:cs="Times New Roman"/>
          <w:sz w:val="24"/>
          <w:szCs w:val="24"/>
        </w:rPr>
        <w:t>oziom władztwa podatkowego w odniesieniu do źródeł dochodów jest bardzo ograniczon</w:t>
      </w:r>
      <w:r w:rsidR="000D0B6C">
        <w:rPr>
          <w:rFonts w:ascii="Times New Roman" w:hAnsi="Times New Roman" w:cs="Times New Roman"/>
          <w:sz w:val="24"/>
          <w:szCs w:val="24"/>
        </w:rPr>
        <w:t>y</w:t>
      </w:r>
      <w:r w:rsidR="00C81481" w:rsidRPr="00C81481">
        <w:rPr>
          <w:rFonts w:ascii="Times New Roman" w:hAnsi="Times New Roman" w:cs="Times New Roman"/>
          <w:sz w:val="24"/>
          <w:szCs w:val="24"/>
        </w:rPr>
        <w:t xml:space="preserve">, co sprawia, że nie są one w stanie prowadzić własnej polityki fiskalnej, sprzyjającej </w:t>
      </w:r>
      <w:r w:rsidR="00C81481">
        <w:rPr>
          <w:rFonts w:ascii="Times New Roman" w:hAnsi="Times New Roman" w:cs="Times New Roman"/>
          <w:sz w:val="24"/>
          <w:szCs w:val="24"/>
        </w:rPr>
        <w:t xml:space="preserve">rozwojowi wspólnot </w:t>
      </w:r>
      <w:r w:rsidR="00C81481" w:rsidRPr="00B769A1">
        <w:rPr>
          <w:rFonts w:ascii="Times New Roman" w:hAnsi="Times New Roman" w:cs="Times New Roman"/>
          <w:sz w:val="24"/>
          <w:szCs w:val="24"/>
        </w:rPr>
        <w:t>samorządowych.</w:t>
      </w:r>
    </w:p>
    <w:p w14:paraId="0A2ADB41" w14:textId="77777777" w:rsidR="00AE0C27" w:rsidRPr="00AE0C27" w:rsidRDefault="00AE0C27">
      <w:pPr>
        <w:rPr>
          <w:rFonts w:ascii="Times New Roman" w:hAnsi="Times New Roman" w:cs="Times New Roman"/>
          <w:sz w:val="24"/>
          <w:szCs w:val="24"/>
        </w:rPr>
      </w:pPr>
    </w:p>
    <w:p w14:paraId="292A10A6" w14:textId="77777777" w:rsidR="00AE0C27" w:rsidRPr="00605589" w:rsidRDefault="00AE0C27">
      <w:pPr>
        <w:rPr>
          <w:rFonts w:ascii="Times New Roman" w:hAnsi="Times New Roman" w:cs="Times New Roman"/>
          <w:b/>
          <w:sz w:val="24"/>
          <w:szCs w:val="24"/>
          <w:lang w:val="en-US"/>
        </w:rPr>
      </w:pPr>
      <w:r w:rsidRPr="00605589">
        <w:rPr>
          <w:rFonts w:ascii="Times New Roman" w:hAnsi="Times New Roman" w:cs="Times New Roman"/>
          <w:b/>
          <w:sz w:val="24"/>
          <w:szCs w:val="24"/>
          <w:lang w:val="en-US"/>
        </w:rPr>
        <w:t>Bibliografia</w:t>
      </w:r>
    </w:p>
    <w:p w14:paraId="4DCD8772" w14:textId="77777777" w:rsidR="002F5777" w:rsidRPr="00303537" w:rsidRDefault="002F5777" w:rsidP="003835ED">
      <w:pPr>
        <w:spacing w:after="0" w:line="240" w:lineRule="auto"/>
        <w:jc w:val="both"/>
        <w:rPr>
          <w:rFonts w:ascii="Times New Roman" w:hAnsi="Times New Roman" w:cs="Times New Roman"/>
          <w:sz w:val="20"/>
          <w:szCs w:val="20"/>
          <w:lang w:val="en-US"/>
        </w:rPr>
      </w:pPr>
      <w:r w:rsidRPr="00303537">
        <w:rPr>
          <w:rFonts w:ascii="Times New Roman" w:hAnsi="Times New Roman" w:cs="Times New Roman"/>
          <w:sz w:val="20"/>
          <w:szCs w:val="20"/>
          <w:lang w:val="en-US"/>
        </w:rPr>
        <w:t xml:space="preserve">Ahmad E., Craig J., </w:t>
      </w:r>
      <w:r w:rsidRPr="00303537">
        <w:rPr>
          <w:rFonts w:ascii="Times New Roman" w:hAnsi="Times New Roman" w:cs="Times New Roman"/>
          <w:i/>
          <w:sz w:val="20"/>
          <w:szCs w:val="20"/>
          <w:lang w:val="en-US"/>
        </w:rPr>
        <w:t>Intergovernmental Transfers</w:t>
      </w:r>
      <w:r w:rsidRPr="00303537">
        <w:rPr>
          <w:rFonts w:ascii="Times New Roman" w:hAnsi="Times New Roman" w:cs="Times New Roman"/>
          <w:sz w:val="20"/>
          <w:szCs w:val="20"/>
          <w:lang w:val="en-US"/>
        </w:rPr>
        <w:t xml:space="preserve">, [w:] </w:t>
      </w:r>
      <w:r w:rsidR="002772E7" w:rsidRPr="00303537">
        <w:rPr>
          <w:rFonts w:ascii="Times New Roman" w:hAnsi="Times New Roman" w:cs="Times New Roman"/>
          <w:sz w:val="20"/>
          <w:szCs w:val="20"/>
          <w:lang w:val="en-US"/>
        </w:rPr>
        <w:t>T. Ter-Minassian</w:t>
      </w:r>
      <w:r w:rsidR="004313FE">
        <w:rPr>
          <w:rFonts w:ascii="Times New Roman" w:hAnsi="Times New Roman" w:cs="Times New Roman"/>
          <w:sz w:val="20"/>
          <w:szCs w:val="20"/>
          <w:lang w:val="en-US"/>
        </w:rPr>
        <w:t xml:space="preserve"> (red.)</w:t>
      </w:r>
      <w:r w:rsidR="002772E7">
        <w:rPr>
          <w:rFonts w:ascii="Times New Roman" w:hAnsi="Times New Roman" w:cs="Times New Roman"/>
          <w:sz w:val="20"/>
          <w:szCs w:val="20"/>
          <w:lang w:val="en-US"/>
        </w:rPr>
        <w:t>,</w:t>
      </w:r>
      <w:r w:rsidR="002772E7" w:rsidRPr="00303537">
        <w:rPr>
          <w:rFonts w:ascii="Times New Roman" w:hAnsi="Times New Roman" w:cs="Times New Roman"/>
          <w:i/>
          <w:sz w:val="20"/>
          <w:szCs w:val="20"/>
          <w:lang w:val="en-US"/>
        </w:rPr>
        <w:t xml:space="preserve"> </w:t>
      </w:r>
      <w:r w:rsidRPr="00303537">
        <w:rPr>
          <w:rFonts w:ascii="Times New Roman" w:hAnsi="Times New Roman" w:cs="Times New Roman"/>
          <w:i/>
          <w:sz w:val="20"/>
          <w:szCs w:val="20"/>
          <w:lang w:val="en-US"/>
        </w:rPr>
        <w:t>Fiscal Federalism in Theory and Practice</w:t>
      </w:r>
      <w:r w:rsidRPr="00303537">
        <w:rPr>
          <w:rFonts w:ascii="Times New Roman" w:hAnsi="Times New Roman" w:cs="Times New Roman"/>
          <w:sz w:val="20"/>
          <w:szCs w:val="20"/>
          <w:lang w:val="en-US"/>
        </w:rPr>
        <w:t xml:space="preserve">, DC: International Monetary Fund, </w:t>
      </w:r>
      <w:r w:rsidR="002772E7" w:rsidRPr="00303537">
        <w:rPr>
          <w:rFonts w:ascii="Times New Roman" w:hAnsi="Times New Roman" w:cs="Times New Roman"/>
          <w:sz w:val="20"/>
          <w:szCs w:val="20"/>
          <w:lang w:val="en-US"/>
        </w:rPr>
        <w:t xml:space="preserve">Washington </w:t>
      </w:r>
      <w:r w:rsidRPr="00303537">
        <w:rPr>
          <w:rFonts w:ascii="Times New Roman" w:hAnsi="Times New Roman" w:cs="Times New Roman"/>
          <w:sz w:val="20"/>
          <w:szCs w:val="20"/>
          <w:lang w:val="en-US"/>
        </w:rPr>
        <w:t>1997.</w:t>
      </w:r>
    </w:p>
    <w:p w14:paraId="60D203C4" w14:textId="77777777" w:rsidR="00E43075" w:rsidRPr="00303537" w:rsidRDefault="00E43075" w:rsidP="00E43075">
      <w:pPr>
        <w:spacing w:after="0" w:line="240" w:lineRule="auto"/>
        <w:jc w:val="both"/>
        <w:rPr>
          <w:rFonts w:ascii="Times New Roman" w:hAnsi="Times New Roman" w:cs="Times New Roman"/>
          <w:sz w:val="20"/>
          <w:szCs w:val="20"/>
        </w:rPr>
      </w:pPr>
      <w:r w:rsidRPr="00303537">
        <w:rPr>
          <w:rFonts w:ascii="Times New Roman" w:hAnsi="Times New Roman" w:cs="Times New Roman"/>
          <w:sz w:val="20"/>
          <w:szCs w:val="20"/>
        </w:rPr>
        <w:t xml:space="preserve">Barej E., </w:t>
      </w:r>
      <w:r w:rsidRPr="00303537">
        <w:rPr>
          <w:rFonts w:ascii="Times New Roman" w:hAnsi="Times New Roman" w:cs="Times New Roman"/>
          <w:i/>
          <w:sz w:val="20"/>
          <w:szCs w:val="20"/>
        </w:rPr>
        <w:t>Zakres władztwa podatkowego – na przykładzie miast na prawach powiatu w województwie zachodniopomorskim</w:t>
      </w:r>
      <w:r w:rsidRPr="00303537">
        <w:rPr>
          <w:rFonts w:ascii="Times New Roman" w:hAnsi="Times New Roman" w:cs="Times New Roman"/>
          <w:sz w:val="20"/>
          <w:szCs w:val="20"/>
        </w:rPr>
        <w:t xml:space="preserve">, </w:t>
      </w:r>
      <w:r w:rsidR="004313FE">
        <w:rPr>
          <w:rFonts w:ascii="Times New Roman" w:hAnsi="Times New Roman" w:cs="Times New Roman"/>
          <w:sz w:val="20"/>
          <w:szCs w:val="20"/>
        </w:rPr>
        <w:t>„</w:t>
      </w:r>
      <w:r w:rsidRPr="00303537">
        <w:rPr>
          <w:rFonts w:ascii="Times New Roman" w:hAnsi="Times New Roman" w:cs="Times New Roman"/>
          <w:sz w:val="20"/>
          <w:szCs w:val="20"/>
        </w:rPr>
        <w:t xml:space="preserve">Zeszyty Naukowe </w:t>
      </w:r>
      <w:r w:rsidR="004313FE" w:rsidRPr="00303537">
        <w:rPr>
          <w:rFonts w:ascii="Times New Roman" w:hAnsi="Times New Roman" w:cs="Times New Roman"/>
          <w:sz w:val="20"/>
          <w:szCs w:val="20"/>
        </w:rPr>
        <w:t>Uniwersytet</w:t>
      </w:r>
      <w:r w:rsidR="004313FE">
        <w:rPr>
          <w:rFonts w:ascii="Times New Roman" w:hAnsi="Times New Roman" w:cs="Times New Roman"/>
          <w:sz w:val="20"/>
          <w:szCs w:val="20"/>
        </w:rPr>
        <w:t>u</w:t>
      </w:r>
      <w:r w:rsidR="004313FE" w:rsidRPr="00303537">
        <w:rPr>
          <w:rFonts w:ascii="Times New Roman" w:hAnsi="Times New Roman" w:cs="Times New Roman"/>
          <w:sz w:val="20"/>
          <w:szCs w:val="20"/>
        </w:rPr>
        <w:t xml:space="preserve"> Szczeciński</w:t>
      </w:r>
      <w:r w:rsidR="004313FE">
        <w:rPr>
          <w:rFonts w:ascii="Times New Roman" w:hAnsi="Times New Roman" w:cs="Times New Roman"/>
          <w:sz w:val="20"/>
          <w:szCs w:val="20"/>
        </w:rPr>
        <w:t>ego”</w:t>
      </w:r>
      <w:r w:rsidR="004313FE" w:rsidRPr="00303537">
        <w:rPr>
          <w:rFonts w:ascii="Times New Roman" w:hAnsi="Times New Roman" w:cs="Times New Roman"/>
          <w:sz w:val="20"/>
          <w:szCs w:val="20"/>
        </w:rPr>
        <w:t xml:space="preserve"> </w:t>
      </w:r>
      <w:r w:rsidRPr="00303537">
        <w:rPr>
          <w:rFonts w:ascii="Times New Roman" w:hAnsi="Times New Roman" w:cs="Times New Roman"/>
          <w:sz w:val="20"/>
          <w:szCs w:val="20"/>
        </w:rPr>
        <w:t xml:space="preserve">Nr 794 Ekonomiczne Problemy Usług </w:t>
      </w:r>
      <w:r w:rsidR="004C4EC2" w:rsidRPr="00303537">
        <w:rPr>
          <w:rFonts w:ascii="Times New Roman" w:hAnsi="Times New Roman" w:cs="Times New Roman"/>
          <w:sz w:val="20"/>
          <w:szCs w:val="20"/>
        </w:rPr>
        <w:t xml:space="preserve">2013 </w:t>
      </w:r>
      <w:r w:rsidRPr="00303537">
        <w:rPr>
          <w:rFonts w:ascii="Times New Roman" w:hAnsi="Times New Roman" w:cs="Times New Roman"/>
          <w:sz w:val="20"/>
          <w:szCs w:val="20"/>
        </w:rPr>
        <w:t>Nr 108.</w:t>
      </w:r>
    </w:p>
    <w:p w14:paraId="73E770DC" w14:textId="77777777" w:rsidR="006A34B5" w:rsidRPr="00303537" w:rsidRDefault="006A34B5" w:rsidP="003835ED">
      <w:pPr>
        <w:spacing w:after="0" w:line="240" w:lineRule="auto"/>
        <w:jc w:val="both"/>
        <w:rPr>
          <w:rFonts w:ascii="Times New Roman" w:hAnsi="Times New Roman" w:cs="Times New Roman"/>
          <w:sz w:val="20"/>
          <w:szCs w:val="20"/>
          <w:lang w:val="en-US"/>
        </w:rPr>
      </w:pPr>
      <w:r w:rsidRPr="00303537">
        <w:rPr>
          <w:rFonts w:ascii="Times New Roman" w:hAnsi="Times New Roman" w:cs="Times New Roman"/>
          <w:sz w:val="20"/>
          <w:szCs w:val="20"/>
          <w:lang w:val="en-US"/>
        </w:rPr>
        <w:t xml:space="preserve">Blöchliger H., </w:t>
      </w:r>
      <w:r w:rsidRPr="00303537">
        <w:rPr>
          <w:rFonts w:ascii="Times New Roman" w:hAnsi="Times New Roman" w:cs="Times New Roman"/>
          <w:i/>
          <w:sz w:val="20"/>
          <w:szCs w:val="20"/>
          <w:lang w:val="en-US"/>
        </w:rPr>
        <w:t>Less than you thought: the fiscal autonomy of sub central governments</w:t>
      </w:r>
      <w:r w:rsidRPr="00303537">
        <w:rPr>
          <w:rFonts w:ascii="Times New Roman" w:hAnsi="Times New Roman" w:cs="Times New Roman"/>
          <w:sz w:val="20"/>
          <w:szCs w:val="20"/>
          <w:lang w:val="en-US"/>
        </w:rPr>
        <w:t>, Economics Department and Center for Tax Policy and Ad</w:t>
      </w:r>
      <w:r w:rsidR="009D4F2E" w:rsidRPr="00303537">
        <w:rPr>
          <w:rFonts w:ascii="Times New Roman" w:hAnsi="Times New Roman" w:cs="Times New Roman"/>
          <w:sz w:val="20"/>
          <w:szCs w:val="20"/>
          <w:lang w:val="en-US"/>
        </w:rPr>
        <w:t>ministration, OECD 2006</w:t>
      </w:r>
      <w:r w:rsidR="00233C8F" w:rsidRPr="00303537">
        <w:rPr>
          <w:rFonts w:ascii="Times New Roman" w:hAnsi="Times New Roman" w:cs="Times New Roman"/>
          <w:sz w:val="20"/>
          <w:szCs w:val="20"/>
          <w:lang w:val="en-US"/>
        </w:rPr>
        <w:t>.</w:t>
      </w:r>
    </w:p>
    <w:p w14:paraId="10E18F07" w14:textId="77777777" w:rsidR="00CD79E2" w:rsidRPr="00303537" w:rsidRDefault="00CD79E2" w:rsidP="003835ED">
      <w:pPr>
        <w:spacing w:after="0" w:line="240" w:lineRule="auto"/>
        <w:jc w:val="both"/>
        <w:rPr>
          <w:rFonts w:ascii="Times New Roman" w:hAnsi="Times New Roman" w:cs="Times New Roman"/>
          <w:sz w:val="20"/>
          <w:szCs w:val="20"/>
        </w:rPr>
      </w:pPr>
      <w:r w:rsidRPr="00303537">
        <w:rPr>
          <w:rFonts w:ascii="Times New Roman" w:hAnsi="Times New Roman" w:cs="Times New Roman"/>
          <w:sz w:val="20"/>
          <w:szCs w:val="20"/>
        </w:rPr>
        <w:t xml:space="preserve">Brzozowska K., Kogut-Jaworska M., </w:t>
      </w:r>
      <w:r w:rsidRPr="002772E7">
        <w:rPr>
          <w:rFonts w:ascii="Times New Roman" w:hAnsi="Times New Roman" w:cs="Times New Roman"/>
          <w:i/>
          <w:sz w:val="20"/>
          <w:szCs w:val="20"/>
        </w:rPr>
        <w:t>Władztwo podatkowe w ocenie samodzielności dochodowej gmin w Polsce</w:t>
      </w:r>
      <w:r w:rsidRPr="00303537">
        <w:rPr>
          <w:rFonts w:ascii="Times New Roman" w:hAnsi="Times New Roman" w:cs="Times New Roman"/>
          <w:sz w:val="20"/>
          <w:szCs w:val="20"/>
        </w:rPr>
        <w:t xml:space="preserve">, </w:t>
      </w:r>
      <w:r w:rsidR="004313FE">
        <w:rPr>
          <w:rFonts w:ascii="Times New Roman" w:hAnsi="Times New Roman" w:cs="Times New Roman"/>
          <w:sz w:val="20"/>
          <w:szCs w:val="20"/>
        </w:rPr>
        <w:t>„</w:t>
      </w:r>
      <w:r w:rsidRPr="00303537">
        <w:rPr>
          <w:rFonts w:ascii="Times New Roman" w:hAnsi="Times New Roman" w:cs="Times New Roman"/>
          <w:sz w:val="20"/>
          <w:szCs w:val="20"/>
        </w:rPr>
        <w:t>Annales Universitatis Mariae Curie-Skłodowska</w:t>
      </w:r>
      <w:r w:rsidR="004313FE">
        <w:rPr>
          <w:rFonts w:ascii="Times New Roman" w:hAnsi="Times New Roman" w:cs="Times New Roman"/>
          <w:sz w:val="20"/>
          <w:szCs w:val="20"/>
        </w:rPr>
        <w:t>”</w:t>
      </w:r>
      <w:r w:rsidRPr="00303537">
        <w:rPr>
          <w:rFonts w:ascii="Times New Roman" w:hAnsi="Times New Roman" w:cs="Times New Roman"/>
          <w:sz w:val="20"/>
          <w:szCs w:val="20"/>
        </w:rPr>
        <w:t xml:space="preserve">, Lublin – Polonia Sectio H, 2016 Vol. </w:t>
      </w:r>
      <w:r w:rsidR="00D613FD">
        <w:rPr>
          <w:rFonts w:ascii="Times New Roman" w:hAnsi="Times New Roman" w:cs="Times New Roman"/>
          <w:sz w:val="20"/>
          <w:szCs w:val="20"/>
        </w:rPr>
        <w:t>50 No 1.</w:t>
      </w:r>
    </w:p>
    <w:p w14:paraId="3838B09F" w14:textId="77777777" w:rsidR="00FE4464" w:rsidRPr="00303537" w:rsidRDefault="00FE4464" w:rsidP="003835ED">
      <w:pPr>
        <w:spacing w:after="0" w:line="240" w:lineRule="auto"/>
        <w:jc w:val="both"/>
        <w:rPr>
          <w:rFonts w:ascii="Times New Roman" w:hAnsi="Times New Roman" w:cs="Times New Roman"/>
          <w:sz w:val="20"/>
          <w:szCs w:val="20"/>
        </w:rPr>
      </w:pPr>
      <w:r w:rsidRPr="00303537">
        <w:rPr>
          <w:rFonts w:ascii="Times New Roman" w:hAnsi="Times New Roman" w:cs="Times New Roman"/>
          <w:sz w:val="20"/>
          <w:szCs w:val="20"/>
        </w:rPr>
        <w:t xml:space="preserve">Dębowska-Romanowska T., </w:t>
      </w:r>
      <w:r w:rsidRPr="00303537">
        <w:rPr>
          <w:rFonts w:ascii="Times New Roman" w:hAnsi="Times New Roman" w:cs="Times New Roman"/>
          <w:i/>
          <w:sz w:val="20"/>
          <w:szCs w:val="20"/>
        </w:rPr>
        <w:t>Zasady podziału dochodów pomiędzy państwo i samorząd terytorialny</w:t>
      </w:r>
      <w:r w:rsidRPr="00303537">
        <w:rPr>
          <w:rFonts w:ascii="Times New Roman" w:hAnsi="Times New Roman" w:cs="Times New Roman"/>
          <w:sz w:val="20"/>
          <w:szCs w:val="20"/>
        </w:rPr>
        <w:t xml:space="preserve">, [w:] </w:t>
      </w:r>
      <w:r w:rsidR="002772E7" w:rsidRPr="00303537">
        <w:rPr>
          <w:rFonts w:ascii="Times New Roman" w:hAnsi="Times New Roman" w:cs="Times New Roman"/>
          <w:sz w:val="20"/>
          <w:szCs w:val="20"/>
        </w:rPr>
        <w:t>W.</w:t>
      </w:r>
      <w:r w:rsidR="002772E7">
        <w:rPr>
          <w:rFonts w:ascii="Times New Roman" w:hAnsi="Times New Roman" w:cs="Times New Roman"/>
          <w:sz w:val="20"/>
          <w:szCs w:val="20"/>
        </w:rPr>
        <w:t xml:space="preserve"> </w:t>
      </w:r>
      <w:r w:rsidR="002772E7" w:rsidRPr="00303537">
        <w:rPr>
          <w:rFonts w:ascii="Times New Roman" w:hAnsi="Times New Roman" w:cs="Times New Roman"/>
          <w:sz w:val="20"/>
          <w:szCs w:val="20"/>
        </w:rPr>
        <w:t xml:space="preserve">Wójtowicz </w:t>
      </w:r>
      <w:r w:rsidR="004313FE">
        <w:rPr>
          <w:rFonts w:ascii="Times New Roman" w:hAnsi="Times New Roman" w:cs="Times New Roman"/>
          <w:sz w:val="20"/>
          <w:szCs w:val="20"/>
        </w:rPr>
        <w:t>(</w:t>
      </w:r>
      <w:r w:rsidR="004313FE" w:rsidRPr="00303537">
        <w:rPr>
          <w:rFonts w:ascii="Times New Roman" w:hAnsi="Times New Roman" w:cs="Times New Roman"/>
          <w:sz w:val="20"/>
          <w:szCs w:val="20"/>
        </w:rPr>
        <w:t>red.</w:t>
      </w:r>
      <w:r w:rsidR="004313FE">
        <w:rPr>
          <w:rFonts w:ascii="Times New Roman" w:hAnsi="Times New Roman" w:cs="Times New Roman"/>
          <w:sz w:val="20"/>
          <w:szCs w:val="20"/>
        </w:rPr>
        <w:t>),</w:t>
      </w:r>
      <w:r w:rsidR="004313FE" w:rsidRPr="00303537">
        <w:rPr>
          <w:rFonts w:ascii="Times New Roman" w:hAnsi="Times New Roman" w:cs="Times New Roman"/>
          <w:sz w:val="20"/>
          <w:szCs w:val="20"/>
        </w:rPr>
        <w:t xml:space="preserve"> </w:t>
      </w:r>
      <w:r w:rsidRPr="00B769A1">
        <w:rPr>
          <w:rFonts w:ascii="Times New Roman" w:hAnsi="Times New Roman" w:cs="Times New Roman"/>
          <w:i/>
          <w:sz w:val="20"/>
          <w:szCs w:val="20"/>
        </w:rPr>
        <w:t>Prawo finansowe</w:t>
      </w:r>
      <w:r w:rsidRPr="00303537">
        <w:rPr>
          <w:rFonts w:ascii="Times New Roman" w:hAnsi="Times New Roman" w:cs="Times New Roman"/>
          <w:sz w:val="20"/>
          <w:szCs w:val="20"/>
        </w:rPr>
        <w:t>, Warszawa 1997.</w:t>
      </w:r>
    </w:p>
    <w:p w14:paraId="71DC9CA0" w14:textId="77777777" w:rsidR="003835ED" w:rsidRPr="00303537" w:rsidRDefault="003835ED" w:rsidP="003835ED">
      <w:pPr>
        <w:spacing w:after="0" w:line="240" w:lineRule="auto"/>
        <w:jc w:val="both"/>
        <w:rPr>
          <w:rFonts w:ascii="Times New Roman" w:hAnsi="Times New Roman" w:cs="Times New Roman"/>
          <w:sz w:val="20"/>
          <w:szCs w:val="20"/>
        </w:rPr>
      </w:pPr>
      <w:r w:rsidRPr="00303537">
        <w:rPr>
          <w:rFonts w:ascii="Times New Roman" w:hAnsi="Times New Roman" w:cs="Times New Roman"/>
          <w:sz w:val="20"/>
          <w:szCs w:val="20"/>
        </w:rPr>
        <w:t xml:space="preserve">Feret E., </w:t>
      </w:r>
      <w:r w:rsidRPr="00303537">
        <w:rPr>
          <w:rFonts w:ascii="Times New Roman" w:hAnsi="Times New Roman" w:cs="Times New Roman"/>
          <w:i/>
          <w:sz w:val="20"/>
          <w:szCs w:val="20"/>
        </w:rPr>
        <w:t>Samodzielność finansowa jednostek samorządu terytorialnego gwarancją samorządnego działania społeczności lokalnych</w:t>
      </w:r>
      <w:r w:rsidRPr="00303537">
        <w:rPr>
          <w:rFonts w:ascii="Times New Roman" w:hAnsi="Times New Roman" w:cs="Times New Roman"/>
          <w:sz w:val="20"/>
          <w:szCs w:val="20"/>
        </w:rPr>
        <w:t xml:space="preserve">, [w:] </w:t>
      </w:r>
      <w:r w:rsidR="002772E7" w:rsidRPr="00303537">
        <w:rPr>
          <w:rFonts w:ascii="Times New Roman" w:hAnsi="Times New Roman" w:cs="Times New Roman"/>
          <w:sz w:val="20"/>
          <w:szCs w:val="20"/>
        </w:rPr>
        <w:t>W.</w:t>
      </w:r>
      <w:r w:rsidR="002772E7">
        <w:rPr>
          <w:rFonts w:ascii="Times New Roman" w:hAnsi="Times New Roman" w:cs="Times New Roman"/>
          <w:sz w:val="20"/>
          <w:szCs w:val="20"/>
        </w:rPr>
        <w:t xml:space="preserve"> </w:t>
      </w:r>
      <w:r w:rsidR="002772E7" w:rsidRPr="00303537">
        <w:rPr>
          <w:rFonts w:ascii="Times New Roman" w:hAnsi="Times New Roman" w:cs="Times New Roman"/>
          <w:sz w:val="20"/>
          <w:szCs w:val="20"/>
        </w:rPr>
        <w:t>Skrzydło, W.</w:t>
      </w:r>
      <w:r w:rsidR="002772E7">
        <w:rPr>
          <w:rFonts w:ascii="Times New Roman" w:hAnsi="Times New Roman" w:cs="Times New Roman"/>
          <w:sz w:val="20"/>
          <w:szCs w:val="20"/>
        </w:rPr>
        <w:t xml:space="preserve"> </w:t>
      </w:r>
      <w:r w:rsidR="002772E7" w:rsidRPr="00303537">
        <w:rPr>
          <w:rFonts w:ascii="Times New Roman" w:hAnsi="Times New Roman" w:cs="Times New Roman"/>
          <w:sz w:val="20"/>
          <w:szCs w:val="20"/>
        </w:rPr>
        <w:t>Szapował, K.</w:t>
      </w:r>
      <w:r w:rsidR="002772E7">
        <w:rPr>
          <w:rFonts w:ascii="Times New Roman" w:hAnsi="Times New Roman" w:cs="Times New Roman"/>
          <w:sz w:val="20"/>
          <w:szCs w:val="20"/>
        </w:rPr>
        <w:t xml:space="preserve"> </w:t>
      </w:r>
      <w:r w:rsidR="002772E7" w:rsidRPr="00303537">
        <w:rPr>
          <w:rFonts w:ascii="Times New Roman" w:hAnsi="Times New Roman" w:cs="Times New Roman"/>
          <w:sz w:val="20"/>
          <w:szCs w:val="20"/>
        </w:rPr>
        <w:t>Eckhardt, P.</w:t>
      </w:r>
      <w:r w:rsidR="002772E7">
        <w:rPr>
          <w:rFonts w:ascii="Times New Roman" w:hAnsi="Times New Roman" w:cs="Times New Roman"/>
          <w:sz w:val="20"/>
          <w:szCs w:val="20"/>
        </w:rPr>
        <w:t xml:space="preserve"> </w:t>
      </w:r>
      <w:r w:rsidR="002772E7" w:rsidRPr="00303537">
        <w:rPr>
          <w:rFonts w:ascii="Times New Roman" w:hAnsi="Times New Roman" w:cs="Times New Roman"/>
          <w:sz w:val="20"/>
          <w:szCs w:val="20"/>
        </w:rPr>
        <w:t>Steciuk</w:t>
      </w:r>
      <w:r w:rsidR="004313FE">
        <w:rPr>
          <w:rFonts w:ascii="Times New Roman" w:hAnsi="Times New Roman" w:cs="Times New Roman"/>
          <w:sz w:val="20"/>
          <w:szCs w:val="20"/>
        </w:rPr>
        <w:t xml:space="preserve"> (red.)</w:t>
      </w:r>
      <w:r w:rsidR="002772E7">
        <w:rPr>
          <w:rFonts w:ascii="Times New Roman" w:hAnsi="Times New Roman" w:cs="Times New Roman"/>
          <w:sz w:val="20"/>
          <w:szCs w:val="20"/>
        </w:rPr>
        <w:t>,</w:t>
      </w:r>
      <w:r w:rsidR="002772E7" w:rsidRPr="00303537">
        <w:rPr>
          <w:rStyle w:val="Pogrubienie"/>
          <w:rFonts w:ascii="Times New Roman" w:hAnsi="Times New Roman" w:cs="Times New Roman"/>
          <w:b w:val="0"/>
          <w:sz w:val="20"/>
          <w:szCs w:val="20"/>
        </w:rPr>
        <w:t xml:space="preserve"> </w:t>
      </w:r>
      <w:r w:rsidRPr="002772E7">
        <w:rPr>
          <w:rStyle w:val="Pogrubienie"/>
          <w:rFonts w:ascii="Times New Roman" w:hAnsi="Times New Roman" w:cs="Times New Roman"/>
          <w:b w:val="0"/>
          <w:i/>
          <w:sz w:val="20"/>
          <w:szCs w:val="20"/>
        </w:rPr>
        <w:t>Prawo naszych sąsiadów</w:t>
      </w:r>
      <w:r w:rsidRPr="00303537">
        <w:rPr>
          <w:rStyle w:val="Pogrubienie"/>
          <w:rFonts w:ascii="Times New Roman" w:hAnsi="Times New Roman" w:cs="Times New Roman"/>
          <w:b w:val="0"/>
          <w:sz w:val="20"/>
          <w:szCs w:val="20"/>
        </w:rPr>
        <w:t>. Tom I.</w:t>
      </w:r>
      <w:r w:rsidRPr="00303537">
        <w:rPr>
          <w:rStyle w:val="Pogrubienie"/>
          <w:rFonts w:ascii="Times New Roman" w:hAnsi="Times New Roman" w:cs="Times New Roman"/>
          <w:b w:val="0"/>
          <w:i/>
          <w:sz w:val="20"/>
          <w:szCs w:val="20"/>
        </w:rPr>
        <w:t xml:space="preserve"> Konstytucyjne podstawy budowania i rozwoju społeczeństwa obywatelskiego w Polsce i na Ukrainie – dobre praktyki</w:t>
      </w:r>
      <w:r w:rsidRPr="00303537">
        <w:rPr>
          <w:rStyle w:val="Pogrubienie"/>
          <w:rFonts w:ascii="Times New Roman" w:hAnsi="Times New Roman" w:cs="Times New Roman"/>
          <w:b w:val="0"/>
          <w:sz w:val="20"/>
          <w:szCs w:val="20"/>
        </w:rPr>
        <w:t>, Wyższa Szkoła Prawa i Administracji, Rzeszów – Przemyśl 2013</w:t>
      </w:r>
      <w:r w:rsidRPr="00303537">
        <w:rPr>
          <w:rFonts w:ascii="Times New Roman" w:hAnsi="Times New Roman" w:cs="Times New Roman"/>
          <w:sz w:val="20"/>
          <w:szCs w:val="20"/>
        </w:rPr>
        <w:t>.</w:t>
      </w:r>
    </w:p>
    <w:p w14:paraId="3771904D" w14:textId="77777777" w:rsidR="002F7799" w:rsidRPr="00303537" w:rsidRDefault="002F7799" w:rsidP="003835ED">
      <w:pPr>
        <w:spacing w:after="0" w:line="240" w:lineRule="auto"/>
        <w:jc w:val="both"/>
        <w:rPr>
          <w:rFonts w:ascii="Times New Roman" w:hAnsi="Times New Roman" w:cs="Times New Roman"/>
          <w:sz w:val="20"/>
          <w:szCs w:val="20"/>
        </w:rPr>
      </w:pPr>
      <w:r w:rsidRPr="00303537">
        <w:rPr>
          <w:rFonts w:ascii="Times New Roman" w:hAnsi="Times New Roman" w:cs="Times New Roman"/>
          <w:sz w:val="20"/>
          <w:szCs w:val="20"/>
        </w:rPr>
        <w:t xml:space="preserve">Hausner J. (red.), </w:t>
      </w:r>
      <w:r w:rsidRPr="00303537">
        <w:rPr>
          <w:rFonts w:ascii="Times New Roman" w:hAnsi="Times New Roman" w:cs="Times New Roman"/>
          <w:i/>
          <w:sz w:val="20"/>
          <w:szCs w:val="20"/>
        </w:rPr>
        <w:t>Narastające dysfunkcje, zasadnicze dylematy, konieczne działania. Raport o stanie samorządności terytorialnej w Polsce</w:t>
      </w:r>
      <w:r w:rsidRPr="00303537">
        <w:rPr>
          <w:rFonts w:ascii="Times New Roman" w:hAnsi="Times New Roman" w:cs="Times New Roman"/>
          <w:sz w:val="20"/>
          <w:szCs w:val="20"/>
        </w:rPr>
        <w:t>, Uniwersytet Ekonomiczny w Krakowie, Małopolska Szkoła Administracji Publicznej, Kraków 2013.</w:t>
      </w:r>
    </w:p>
    <w:p w14:paraId="28F3E433" w14:textId="6B2865D3" w:rsidR="006426E1" w:rsidRDefault="006426E1" w:rsidP="00A121B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Jaworska M., Kożuch A.J</w:t>
      </w:r>
      <w:r w:rsidRPr="006426E1">
        <w:rPr>
          <w:rFonts w:ascii="Times New Roman" w:hAnsi="Times New Roman" w:cs="Times New Roman"/>
          <w:i/>
          <w:sz w:val="20"/>
          <w:szCs w:val="20"/>
        </w:rPr>
        <w:t>., Ocena przydatności wybranych metod WAP w analizie samodzielności finansowej gmin</w:t>
      </w:r>
      <w:r>
        <w:rPr>
          <w:rFonts w:ascii="Times New Roman" w:hAnsi="Times New Roman" w:cs="Times New Roman"/>
          <w:sz w:val="20"/>
          <w:szCs w:val="20"/>
        </w:rPr>
        <w:t xml:space="preserve">, </w:t>
      </w:r>
      <w:r w:rsidRPr="006426E1">
        <w:rPr>
          <w:rFonts w:ascii="Times New Roman" w:hAnsi="Times New Roman" w:cs="Times New Roman"/>
          <w:sz w:val="20"/>
          <w:szCs w:val="20"/>
        </w:rPr>
        <w:t>M</w:t>
      </w:r>
      <w:r>
        <w:rPr>
          <w:rFonts w:ascii="Times New Roman" w:hAnsi="Times New Roman" w:cs="Times New Roman"/>
          <w:sz w:val="20"/>
          <w:szCs w:val="20"/>
        </w:rPr>
        <w:t xml:space="preserve">etody Ilościowe w Badaniach Ekonomicznych, SGGW Warszawa </w:t>
      </w:r>
      <w:r w:rsidRPr="006426E1">
        <w:rPr>
          <w:rFonts w:ascii="Times New Roman" w:hAnsi="Times New Roman" w:cs="Times New Roman"/>
          <w:sz w:val="20"/>
          <w:szCs w:val="20"/>
        </w:rPr>
        <w:t>2012</w:t>
      </w:r>
      <w:r>
        <w:rPr>
          <w:rFonts w:ascii="Times New Roman" w:hAnsi="Times New Roman" w:cs="Times New Roman"/>
          <w:sz w:val="20"/>
          <w:szCs w:val="20"/>
        </w:rPr>
        <w:t xml:space="preserve"> Tom XIII/1.</w:t>
      </w:r>
    </w:p>
    <w:p w14:paraId="1AB99C49" w14:textId="77777777" w:rsidR="00A121B2" w:rsidRPr="00303537" w:rsidRDefault="00A121B2" w:rsidP="00A121B2">
      <w:pPr>
        <w:spacing w:after="0" w:line="240" w:lineRule="auto"/>
        <w:jc w:val="both"/>
        <w:rPr>
          <w:rFonts w:ascii="Times New Roman" w:hAnsi="Times New Roman" w:cs="Times New Roman"/>
          <w:sz w:val="20"/>
          <w:szCs w:val="20"/>
        </w:rPr>
      </w:pPr>
      <w:r w:rsidRPr="00303537">
        <w:rPr>
          <w:rFonts w:ascii="Times New Roman" w:hAnsi="Times New Roman" w:cs="Times New Roman"/>
          <w:sz w:val="20"/>
          <w:szCs w:val="20"/>
        </w:rPr>
        <w:t xml:space="preserve">Kogut-Jaworska M., </w:t>
      </w:r>
      <w:r w:rsidRPr="00303537">
        <w:rPr>
          <w:rFonts w:ascii="Times New Roman" w:hAnsi="Times New Roman" w:cs="Times New Roman"/>
          <w:i/>
          <w:sz w:val="20"/>
          <w:szCs w:val="20"/>
        </w:rPr>
        <w:t>Instrumenty stymulowania lokalnego rozwoju gospodarczego</w:t>
      </w:r>
      <w:r w:rsidR="004634E0">
        <w:rPr>
          <w:rFonts w:ascii="Times New Roman" w:hAnsi="Times New Roman" w:cs="Times New Roman"/>
          <w:sz w:val="20"/>
          <w:szCs w:val="20"/>
        </w:rPr>
        <w:t>, [w:] L. Patrzałek</w:t>
      </w:r>
      <w:r w:rsidR="004313FE">
        <w:rPr>
          <w:rFonts w:ascii="Times New Roman" w:hAnsi="Times New Roman" w:cs="Times New Roman"/>
          <w:sz w:val="20"/>
          <w:szCs w:val="20"/>
        </w:rPr>
        <w:t xml:space="preserve"> (red.)</w:t>
      </w:r>
      <w:r w:rsidRPr="00303537">
        <w:rPr>
          <w:rFonts w:ascii="Times New Roman" w:hAnsi="Times New Roman" w:cs="Times New Roman"/>
          <w:sz w:val="20"/>
          <w:szCs w:val="20"/>
        </w:rPr>
        <w:t xml:space="preserve">, </w:t>
      </w:r>
      <w:r w:rsidRPr="00303537">
        <w:rPr>
          <w:rFonts w:ascii="Times New Roman" w:hAnsi="Times New Roman" w:cs="Times New Roman"/>
          <w:i/>
          <w:sz w:val="20"/>
          <w:szCs w:val="20"/>
        </w:rPr>
        <w:t>Stan i kierunki rozwoju finansów samorządu terytorialnego</w:t>
      </w:r>
      <w:r w:rsidRPr="00303537">
        <w:rPr>
          <w:rFonts w:ascii="Times New Roman" w:hAnsi="Times New Roman" w:cs="Times New Roman"/>
          <w:sz w:val="20"/>
          <w:szCs w:val="20"/>
        </w:rPr>
        <w:t>, Wydawnictwo WSB w Poznaniu, Poznań-Wrocław 2007.</w:t>
      </w:r>
    </w:p>
    <w:p w14:paraId="5DAD6CD7" w14:textId="77777777" w:rsidR="00052C5F" w:rsidRPr="00303537" w:rsidRDefault="00052C5F" w:rsidP="003835ED">
      <w:pPr>
        <w:spacing w:after="0" w:line="240" w:lineRule="auto"/>
        <w:jc w:val="both"/>
        <w:rPr>
          <w:rFonts w:ascii="Times New Roman" w:hAnsi="Times New Roman" w:cs="Times New Roman"/>
          <w:sz w:val="20"/>
          <w:szCs w:val="20"/>
        </w:rPr>
      </w:pPr>
      <w:r w:rsidRPr="00303537">
        <w:rPr>
          <w:rFonts w:ascii="Times New Roman" w:hAnsi="Times New Roman" w:cs="Times New Roman"/>
          <w:sz w:val="20"/>
          <w:szCs w:val="20"/>
        </w:rPr>
        <w:t xml:space="preserve">Kornberger-Sokołowska E., </w:t>
      </w:r>
      <w:r w:rsidRPr="00303537">
        <w:rPr>
          <w:rFonts w:ascii="Times New Roman" w:hAnsi="Times New Roman" w:cs="Times New Roman"/>
          <w:i/>
          <w:sz w:val="20"/>
          <w:szCs w:val="20"/>
        </w:rPr>
        <w:t>Finanse jednostek samorządu terytorialnego</w:t>
      </w:r>
      <w:r w:rsidRPr="00303537">
        <w:rPr>
          <w:rFonts w:ascii="Times New Roman" w:hAnsi="Times New Roman" w:cs="Times New Roman"/>
          <w:sz w:val="20"/>
          <w:szCs w:val="20"/>
        </w:rPr>
        <w:t>, Wydanie I, LexixNexis, Warszawa 2012.</w:t>
      </w:r>
    </w:p>
    <w:p w14:paraId="61356984" w14:textId="77777777" w:rsidR="003C7823" w:rsidRPr="00303537" w:rsidRDefault="003C7823" w:rsidP="003835ED">
      <w:pPr>
        <w:spacing w:after="0" w:line="240" w:lineRule="auto"/>
        <w:jc w:val="both"/>
        <w:rPr>
          <w:rFonts w:ascii="Times New Roman" w:hAnsi="Times New Roman" w:cs="Times New Roman"/>
          <w:sz w:val="20"/>
          <w:szCs w:val="20"/>
        </w:rPr>
      </w:pPr>
      <w:r w:rsidRPr="00303537">
        <w:rPr>
          <w:rFonts w:ascii="Times New Roman" w:hAnsi="Times New Roman" w:cs="Times New Roman"/>
          <w:sz w:val="20"/>
          <w:szCs w:val="20"/>
        </w:rPr>
        <w:t xml:space="preserve">Kosek-Wojnar M., </w:t>
      </w:r>
      <w:r w:rsidRPr="00303537">
        <w:rPr>
          <w:rFonts w:ascii="Times New Roman" w:hAnsi="Times New Roman" w:cs="Times New Roman"/>
          <w:i/>
          <w:sz w:val="20"/>
          <w:szCs w:val="20"/>
        </w:rPr>
        <w:t>Samodzielność jednostek samorządu terytorialnego w sferze wydatków</w:t>
      </w:r>
      <w:r w:rsidRPr="00303537">
        <w:rPr>
          <w:rFonts w:ascii="Times New Roman" w:hAnsi="Times New Roman" w:cs="Times New Roman"/>
          <w:sz w:val="20"/>
          <w:szCs w:val="20"/>
        </w:rPr>
        <w:t xml:space="preserve">, </w:t>
      </w:r>
      <w:r w:rsidR="004313FE">
        <w:rPr>
          <w:rFonts w:ascii="Times New Roman" w:hAnsi="Times New Roman" w:cs="Times New Roman"/>
          <w:sz w:val="20"/>
          <w:szCs w:val="20"/>
        </w:rPr>
        <w:t>„</w:t>
      </w:r>
      <w:r w:rsidRPr="00303537">
        <w:rPr>
          <w:rFonts w:ascii="Times New Roman" w:hAnsi="Times New Roman" w:cs="Times New Roman"/>
          <w:sz w:val="20"/>
          <w:szCs w:val="20"/>
        </w:rPr>
        <w:t>Zeszyty Naukowe Wyższe</w:t>
      </w:r>
      <w:r w:rsidR="004634E0">
        <w:rPr>
          <w:rFonts w:ascii="Times New Roman" w:hAnsi="Times New Roman" w:cs="Times New Roman"/>
          <w:sz w:val="20"/>
          <w:szCs w:val="20"/>
        </w:rPr>
        <w:t>j Szkoły Ekonomicznej w Bochni</w:t>
      </w:r>
      <w:r w:rsidR="004313FE">
        <w:rPr>
          <w:rFonts w:ascii="Times New Roman" w:hAnsi="Times New Roman" w:cs="Times New Roman"/>
          <w:sz w:val="20"/>
          <w:szCs w:val="20"/>
        </w:rPr>
        <w:t>”</w:t>
      </w:r>
      <w:r w:rsidRPr="00303537">
        <w:rPr>
          <w:rFonts w:ascii="Times New Roman" w:hAnsi="Times New Roman" w:cs="Times New Roman"/>
          <w:sz w:val="20"/>
          <w:szCs w:val="20"/>
        </w:rPr>
        <w:t>, 2006</w:t>
      </w:r>
      <w:r w:rsidR="004634E0" w:rsidRPr="004634E0">
        <w:rPr>
          <w:rFonts w:ascii="Times New Roman" w:hAnsi="Times New Roman" w:cs="Times New Roman"/>
          <w:sz w:val="20"/>
          <w:szCs w:val="20"/>
        </w:rPr>
        <w:t xml:space="preserve"> </w:t>
      </w:r>
      <w:r w:rsidR="004634E0">
        <w:rPr>
          <w:rFonts w:ascii="Times New Roman" w:hAnsi="Times New Roman" w:cs="Times New Roman"/>
          <w:sz w:val="20"/>
          <w:szCs w:val="20"/>
        </w:rPr>
        <w:t>N</w:t>
      </w:r>
      <w:r w:rsidR="004634E0" w:rsidRPr="00303537">
        <w:rPr>
          <w:rFonts w:ascii="Times New Roman" w:hAnsi="Times New Roman" w:cs="Times New Roman"/>
          <w:sz w:val="20"/>
          <w:szCs w:val="20"/>
        </w:rPr>
        <w:t>r 4</w:t>
      </w:r>
      <w:r w:rsidRPr="00303537">
        <w:rPr>
          <w:rFonts w:ascii="Times New Roman" w:hAnsi="Times New Roman" w:cs="Times New Roman"/>
          <w:sz w:val="20"/>
          <w:szCs w:val="20"/>
        </w:rPr>
        <w:t>.</w:t>
      </w:r>
    </w:p>
    <w:p w14:paraId="591DDEFE" w14:textId="77777777" w:rsidR="003835ED" w:rsidRPr="00303537" w:rsidRDefault="003835ED" w:rsidP="003835ED">
      <w:pPr>
        <w:spacing w:after="0" w:line="240" w:lineRule="auto"/>
        <w:jc w:val="both"/>
        <w:rPr>
          <w:rFonts w:ascii="Times New Roman" w:hAnsi="Times New Roman" w:cs="Times New Roman"/>
          <w:sz w:val="20"/>
          <w:szCs w:val="20"/>
        </w:rPr>
      </w:pPr>
      <w:r w:rsidRPr="00303537">
        <w:rPr>
          <w:rFonts w:ascii="Times New Roman" w:hAnsi="Times New Roman" w:cs="Times New Roman"/>
          <w:sz w:val="20"/>
          <w:szCs w:val="20"/>
        </w:rPr>
        <w:t xml:space="preserve">Łuszkiewicz M., </w:t>
      </w:r>
      <w:r w:rsidRPr="00303537">
        <w:rPr>
          <w:rFonts w:ascii="Times New Roman" w:hAnsi="Times New Roman" w:cs="Times New Roman"/>
          <w:i/>
          <w:sz w:val="20"/>
          <w:szCs w:val="20"/>
        </w:rPr>
        <w:t>Znaczenie samodzielności dochodowej</w:t>
      </w:r>
      <w:r w:rsidRPr="00303537">
        <w:rPr>
          <w:rFonts w:ascii="Times New Roman" w:hAnsi="Times New Roman" w:cs="Times New Roman"/>
          <w:sz w:val="20"/>
          <w:szCs w:val="20"/>
        </w:rPr>
        <w:t>, Baza wiedzy z zakresu p</w:t>
      </w:r>
      <w:r w:rsidR="00B769A1">
        <w:rPr>
          <w:rFonts w:ascii="Times New Roman" w:hAnsi="Times New Roman" w:cs="Times New Roman"/>
          <w:sz w:val="20"/>
          <w:szCs w:val="20"/>
        </w:rPr>
        <w:t>odatków, rachunkowości i prawa</w:t>
      </w:r>
      <w:r w:rsidRPr="00303537">
        <w:rPr>
          <w:rFonts w:ascii="Times New Roman" w:hAnsi="Times New Roman" w:cs="Times New Roman"/>
          <w:sz w:val="20"/>
          <w:szCs w:val="20"/>
        </w:rPr>
        <w:t>, Gazeta samorządu i administracji, Warszawa 2013 Nr 7.</w:t>
      </w:r>
    </w:p>
    <w:p w14:paraId="6A00A1A5" w14:textId="77777777" w:rsidR="004E6645" w:rsidRPr="004E6645" w:rsidRDefault="004E6645" w:rsidP="004E6645">
      <w:pPr>
        <w:spacing w:after="0" w:line="240" w:lineRule="auto"/>
        <w:jc w:val="both"/>
        <w:rPr>
          <w:rFonts w:ascii="Times New Roman" w:hAnsi="Times New Roman" w:cs="Times New Roman"/>
          <w:sz w:val="20"/>
          <w:szCs w:val="20"/>
        </w:rPr>
      </w:pPr>
      <w:r w:rsidRPr="004E6645">
        <w:rPr>
          <w:rFonts w:ascii="Times New Roman" w:hAnsi="Times New Roman" w:cs="Times New Roman"/>
          <w:sz w:val="20"/>
          <w:szCs w:val="20"/>
        </w:rPr>
        <w:t xml:space="preserve">Neneman J., Swianiewicz P., </w:t>
      </w:r>
      <w:r w:rsidRPr="004E6645">
        <w:rPr>
          <w:rFonts w:ascii="Times New Roman" w:hAnsi="Times New Roman" w:cs="Times New Roman"/>
          <w:i/>
          <w:sz w:val="20"/>
          <w:szCs w:val="20"/>
        </w:rPr>
        <w:t>Koncepcje, warianty i konsekwencje wprowadzenia PIT-u komunalnego w Polsce</w:t>
      </w:r>
      <w:r w:rsidRPr="004E6645">
        <w:rPr>
          <w:rFonts w:ascii="Times New Roman" w:hAnsi="Times New Roman" w:cs="Times New Roman"/>
          <w:sz w:val="20"/>
          <w:szCs w:val="20"/>
        </w:rPr>
        <w:t>, Ekspertyza BGK, Warszawa, czerwiec 2013.</w:t>
      </w:r>
    </w:p>
    <w:p w14:paraId="35461BF2" w14:textId="77777777" w:rsidR="00580E0A" w:rsidRPr="00303537" w:rsidRDefault="00580E0A" w:rsidP="003835ED">
      <w:pPr>
        <w:spacing w:after="0" w:line="240" w:lineRule="auto"/>
        <w:jc w:val="both"/>
        <w:rPr>
          <w:rFonts w:ascii="Times New Roman" w:hAnsi="Times New Roman" w:cs="Times New Roman"/>
          <w:sz w:val="20"/>
          <w:szCs w:val="20"/>
          <w:lang w:val="en-US"/>
        </w:rPr>
      </w:pPr>
      <w:r w:rsidRPr="00303537">
        <w:rPr>
          <w:rFonts w:ascii="Times New Roman" w:hAnsi="Times New Roman" w:cs="Times New Roman"/>
          <w:sz w:val="20"/>
          <w:szCs w:val="20"/>
          <w:lang w:val="en-US"/>
        </w:rPr>
        <w:t xml:space="preserve">OECD, </w:t>
      </w:r>
      <w:r w:rsidRPr="00303537">
        <w:rPr>
          <w:rFonts w:ascii="Times New Roman" w:hAnsi="Times New Roman" w:cs="Times New Roman"/>
          <w:i/>
          <w:sz w:val="20"/>
          <w:szCs w:val="20"/>
          <w:lang w:val="en-US"/>
        </w:rPr>
        <w:t>Fiscal federalism 2016: making decentralistion work</w:t>
      </w:r>
      <w:r w:rsidRPr="00303537">
        <w:rPr>
          <w:rFonts w:ascii="Times New Roman" w:hAnsi="Times New Roman" w:cs="Times New Roman"/>
          <w:sz w:val="20"/>
          <w:szCs w:val="20"/>
          <w:lang w:val="en-US"/>
        </w:rPr>
        <w:t>, 2016.</w:t>
      </w:r>
    </w:p>
    <w:p w14:paraId="5DAAE70F" w14:textId="77777777" w:rsidR="00BF0827" w:rsidRPr="00303537" w:rsidRDefault="00BF0827" w:rsidP="003835ED">
      <w:pPr>
        <w:spacing w:after="0" w:line="240" w:lineRule="auto"/>
        <w:jc w:val="both"/>
        <w:rPr>
          <w:rFonts w:ascii="Times New Roman" w:hAnsi="Times New Roman" w:cs="Times New Roman"/>
          <w:sz w:val="20"/>
          <w:szCs w:val="20"/>
        </w:rPr>
      </w:pPr>
      <w:r w:rsidRPr="00303537">
        <w:rPr>
          <w:rFonts w:ascii="Times New Roman" w:hAnsi="Times New Roman" w:cs="Times New Roman"/>
          <w:sz w:val="20"/>
          <w:szCs w:val="20"/>
        </w:rPr>
        <w:t xml:space="preserve">Piotrowska-Marczak K., </w:t>
      </w:r>
      <w:r w:rsidRPr="00303537">
        <w:rPr>
          <w:rFonts w:ascii="Times New Roman" w:hAnsi="Times New Roman" w:cs="Times New Roman"/>
          <w:i/>
          <w:sz w:val="20"/>
          <w:szCs w:val="20"/>
        </w:rPr>
        <w:t>Finanse lokalne w Polsce</w:t>
      </w:r>
      <w:r w:rsidRPr="00303537">
        <w:rPr>
          <w:rFonts w:ascii="Times New Roman" w:hAnsi="Times New Roman" w:cs="Times New Roman"/>
          <w:sz w:val="20"/>
          <w:szCs w:val="20"/>
        </w:rPr>
        <w:t>, PWN, Warszawa 1997.</w:t>
      </w:r>
    </w:p>
    <w:p w14:paraId="006F039E" w14:textId="77777777" w:rsidR="003835ED" w:rsidRPr="00303537" w:rsidRDefault="003835ED" w:rsidP="003835ED">
      <w:pPr>
        <w:spacing w:after="0" w:line="240" w:lineRule="auto"/>
        <w:jc w:val="both"/>
        <w:rPr>
          <w:rFonts w:ascii="Times New Roman" w:hAnsi="Times New Roman" w:cs="Times New Roman"/>
          <w:sz w:val="20"/>
          <w:szCs w:val="20"/>
        </w:rPr>
      </w:pPr>
      <w:r w:rsidRPr="00303537">
        <w:rPr>
          <w:rFonts w:ascii="Times New Roman" w:hAnsi="Times New Roman" w:cs="Times New Roman"/>
          <w:sz w:val="20"/>
          <w:szCs w:val="20"/>
        </w:rPr>
        <w:t xml:space="preserve">Piotrowska-Marczak K., </w:t>
      </w:r>
      <w:r w:rsidRPr="00303537">
        <w:rPr>
          <w:rFonts w:ascii="Times New Roman" w:hAnsi="Times New Roman" w:cs="Times New Roman"/>
          <w:i/>
          <w:iCs/>
          <w:sz w:val="20"/>
          <w:szCs w:val="20"/>
        </w:rPr>
        <w:t>Samodzielność finansowa samorządów lokalnych a własność komunalna</w:t>
      </w:r>
      <w:r w:rsidRPr="00303537">
        <w:rPr>
          <w:rFonts w:ascii="Times New Roman" w:hAnsi="Times New Roman" w:cs="Times New Roman"/>
          <w:iCs/>
          <w:sz w:val="20"/>
          <w:szCs w:val="20"/>
        </w:rPr>
        <w:t>,</w:t>
      </w:r>
      <w:r w:rsidRPr="00303537">
        <w:rPr>
          <w:rFonts w:ascii="Times New Roman" w:hAnsi="Times New Roman" w:cs="Times New Roman"/>
          <w:i/>
          <w:iCs/>
          <w:sz w:val="20"/>
          <w:szCs w:val="20"/>
        </w:rPr>
        <w:t xml:space="preserve"> </w:t>
      </w:r>
      <w:r w:rsidRPr="00303537">
        <w:rPr>
          <w:rFonts w:ascii="Times New Roman" w:hAnsi="Times New Roman" w:cs="Times New Roman"/>
          <w:sz w:val="20"/>
          <w:szCs w:val="20"/>
        </w:rPr>
        <w:t xml:space="preserve">[w:] </w:t>
      </w:r>
      <w:r w:rsidR="004634E0" w:rsidRPr="00303537">
        <w:rPr>
          <w:rFonts w:ascii="Times New Roman" w:hAnsi="Times New Roman" w:cs="Times New Roman"/>
          <w:sz w:val="20"/>
          <w:szCs w:val="20"/>
        </w:rPr>
        <w:t>T. Wawaka</w:t>
      </w:r>
      <w:r w:rsidR="00D613FD">
        <w:rPr>
          <w:rFonts w:ascii="Times New Roman" w:hAnsi="Times New Roman" w:cs="Times New Roman"/>
          <w:sz w:val="20"/>
          <w:szCs w:val="20"/>
        </w:rPr>
        <w:t xml:space="preserve"> (red.)</w:t>
      </w:r>
      <w:r w:rsidR="004634E0">
        <w:rPr>
          <w:rFonts w:ascii="Times New Roman" w:hAnsi="Times New Roman" w:cs="Times New Roman"/>
          <w:sz w:val="20"/>
          <w:szCs w:val="20"/>
        </w:rPr>
        <w:t>,</w:t>
      </w:r>
      <w:r w:rsidR="004634E0" w:rsidRPr="00303537">
        <w:rPr>
          <w:rFonts w:ascii="Times New Roman" w:hAnsi="Times New Roman" w:cs="Times New Roman"/>
          <w:i/>
          <w:iCs/>
          <w:sz w:val="20"/>
          <w:szCs w:val="20"/>
        </w:rPr>
        <w:t xml:space="preserve"> </w:t>
      </w:r>
      <w:r w:rsidRPr="00303537">
        <w:rPr>
          <w:rFonts w:ascii="Times New Roman" w:hAnsi="Times New Roman" w:cs="Times New Roman"/>
          <w:i/>
          <w:iCs/>
          <w:sz w:val="20"/>
          <w:szCs w:val="20"/>
        </w:rPr>
        <w:t>Własność komunalna</w:t>
      </w:r>
      <w:r w:rsidRPr="00303537">
        <w:rPr>
          <w:rFonts w:ascii="Times New Roman" w:hAnsi="Times New Roman" w:cs="Times New Roman"/>
          <w:iCs/>
          <w:sz w:val="20"/>
          <w:szCs w:val="20"/>
        </w:rPr>
        <w:t>,</w:t>
      </w:r>
      <w:r w:rsidRPr="00303537">
        <w:rPr>
          <w:rFonts w:ascii="Times New Roman" w:hAnsi="Times New Roman" w:cs="Times New Roman"/>
          <w:sz w:val="20"/>
          <w:szCs w:val="20"/>
        </w:rPr>
        <w:t xml:space="preserve"> Uniwersytet Jagielloński, Kraków 1991.</w:t>
      </w:r>
    </w:p>
    <w:p w14:paraId="3DEA7DB8" w14:textId="77777777" w:rsidR="000120CF" w:rsidRPr="00303537" w:rsidRDefault="000120CF" w:rsidP="000120CF">
      <w:pPr>
        <w:spacing w:after="0" w:line="240" w:lineRule="auto"/>
        <w:jc w:val="both"/>
        <w:rPr>
          <w:rFonts w:ascii="Times New Roman" w:hAnsi="Times New Roman" w:cs="Times New Roman"/>
          <w:sz w:val="20"/>
          <w:szCs w:val="20"/>
        </w:rPr>
      </w:pPr>
      <w:r w:rsidRPr="00303537">
        <w:rPr>
          <w:rFonts w:ascii="Times New Roman" w:hAnsi="Times New Roman" w:cs="Times New Roman"/>
          <w:sz w:val="20"/>
          <w:szCs w:val="20"/>
        </w:rPr>
        <w:t xml:space="preserve">Poniatowicz M., </w:t>
      </w:r>
      <w:r w:rsidRPr="00303537">
        <w:rPr>
          <w:rFonts w:ascii="Times New Roman" w:hAnsi="Times New Roman" w:cs="Times New Roman"/>
          <w:i/>
          <w:sz w:val="20"/>
          <w:szCs w:val="20"/>
        </w:rPr>
        <w:t>Determinanty autonomii dochodowej samorządu terytorialnego w Polsce</w:t>
      </w:r>
      <w:r w:rsidRPr="00303537">
        <w:rPr>
          <w:rFonts w:ascii="Times New Roman" w:hAnsi="Times New Roman" w:cs="Times New Roman"/>
          <w:sz w:val="20"/>
          <w:szCs w:val="20"/>
        </w:rPr>
        <w:t xml:space="preserve">, </w:t>
      </w:r>
      <w:r w:rsidR="00D613FD">
        <w:rPr>
          <w:rFonts w:ascii="Times New Roman" w:hAnsi="Times New Roman" w:cs="Times New Roman"/>
          <w:sz w:val="20"/>
          <w:szCs w:val="20"/>
        </w:rPr>
        <w:t>„</w:t>
      </w:r>
      <w:r w:rsidRPr="00303537">
        <w:rPr>
          <w:rFonts w:ascii="Times New Roman" w:hAnsi="Times New Roman" w:cs="Times New Roman"/>
          <w:sz w:val="20"/>
          <w:szCs w:val="20"/>
        </w:rPr>
        <w:t>P</w:t>
      </w:r>
      <w:r w:rsidR="00A121B2" w:rsidRPr="00303537">
        <w:rPr>
          <w:rFonts w:ascii="Times New Roman" w:hAnsi="Times New Roman" w:cs="Times New Roman"/>
          <w:sz w:val="20"/>
          <w:szCs w:val="20"/>
        </w:rPr>
        <w:t xml:space="preserve">race </w:t>
      </w:r>
      <w:r w:rsidRPr="00303537">
        <w:rPr>
          <w:rFonts w:ascii="Times New Roman" w:hAnsi="Times New Roman" w:cs="Times New Roman"/>
          <w:sz w:val="20"/>
          <w:szCs w:val="20"/>
        </w:rPr>
        <w:t>N</w:t>
      </w:r>
      <w:r w:rsidR="00A121B2" w:rsidRPr="00303537">
        <w:rPr>
          <w:rFonts w:ascii="Times New Roman" w:hAnsi="Times New Roman" w:cs="Times New Roman"/>
          <w:sz w:val="20"/>
          <w:szCs w:val="20"/>
        </w:rPr>
        <w:t xml:space="preserve">aukowe </w:t>
      </w:r>
      <w:r w:rsidRPr="00303537">
        <w:rPr>
          <w:rFonts w:ascii="Times New Roman" w:hAnsi="Times New Roman" w:cs="Times New Roman"/>
          <w:sz w:val="20"/>
          <w:szCs w:val="20"/>
        </w:rPr>
        <w:t>Uniwersytetu Ekonomicznego we Wrocławiu</w:t>
      </w:r>
      <w:r w:rsidR="00D613FD">
        <w:rPr>
          <w:rFonts w:ascii="Times New Roman" w:hAnsi="Times New Roman" w:cs="Times New Roman"/>
          <w:sz w:val="20"/>
          <w:szCs w:val="20"/>
        </w:rPr>
        <w:t>”</w:t>
      </w:r>
      <w:r w:rsidRPr="00303537">
        <w:rPr>
          <w:rFonts w:ascii="Times New Roman" w:hAnsi="Times New Roman" w:cs="Times New Roman"/>
          <w:sz w:val="20"/>
          <w:szCs w:val="20"/>
        </w:rPr>
        <w:t xml:space="preserve"> 2015 Nr 404. </w:t>
      </w:r>
    </w:p>
    <w:p w14:paraId="67E5D3F5" w14:textId="77777777" w:rsidR="00CD79E2" w:rsidRPr="00303537" w:rsidRDefault="00CD79E2" w:rsidP="000120CF">
      <w:pPr>
        <w:spacing w:after="0" w:line="240" w:lineRule="auto"/>
        <w:jc w:val="both"/>
        <w:rPr>
          <w:rFonts w:ascii="Times New Roman" w:hAnsi="Times New Roman" w:cs="Times New Roman"/>
          <w:sz w:val="20"/>
          <w:szCs w:val="20"/>
        </w:rPr>
      </w:pPr>
      <w:r w:rsidRPr="00303537">
        <w:rPr>
          <w:rFonts w:ascii="Times New Roman" w:hAnsi="Times New Roman" w:cs="Times New Roman"/>
          <w:sz w:val="20"/>
          <w:szCs w:val="20"/>
        </w:rPr>
        <w:lastRenderedPageBreak/>
        <w:t xml:space="preserve">Sawicka K., </w:t>
      </w:r>
      <w:r w:rsidRPr="00303537">
        <w:rPr>
          <w:rFonts w:ascii="Times New Roman" w:hAnsi="Times New Roman" w:cs="Times New Roman"/>
          <w:i/>
          <w:sz w:val="20"/>
          <w:szCs w:val="20"/>
        </w:rPr>
        <w:t>System prawno-finansowy samorządu terytorialnego</w:t>
      </w:r>
      <w:r w:rsidRPr="00303537">
        <w:rPr>
          <w:rFonts w:ascii="Times New Roman" w:hAnsi="Times New Roman" w:cs="Times New Roman"/>
          <w:sz w:val="20"/>
          <w:szCs w:val="20"/>
        </w:rPr>
        <w:t xml:space="preserve">, [w:] </w:t>
      </w:r>
      <w:r w:rsidR="004634E0" w:rsidRPr="00303537">
        <w:rPr>
          <w:rFonts w:ascii="Times New Roman" w:hAnsi="Times New Roman" w:cs="Times New Roman"/>
          <w:sz w:val="20"/>
          <w:szCs w:val="20"/>
        </w:rPr>
        <w:t>I. Czaja-Hliniak</w:t>
      </w:r>
      <w:r w:rsidR="00D613FD">
        <w:rPr>
          <w:rFonts w:ascii="Times New Roman" w:hAnsi="Times New Roman" w:cs="Times New Roman"/>
          <w:sz w:val="20"/>
          <w:szCs w:val="20"/>
        </w:rPr>
        <w:t xml:space="preserve"> (red.)</w:t>
      </w:r>
      <w:r w:rsidR="004634E0">
        <w:rPr>
          <w:rFonts w:ascii="Times New Roman" w:hAnsi="Times New Roman" w:cs="Times New Roman"/>
          <w:sz w:val="20"/>
          <w:szCs w:val="20"/>
        </w:rPr>
        <w:t>,</w:t>
      </w:r>
      <w:r w:rsidR="004634E0" w:rsidRPr="00303537">
        <w:rPr>
          <w:rFonts w:ascii="Times New Roman" w:hAnsi="Times New Roman" w:cs="Times New Roman"/>
          <w:sz w:val="20"/>
          <w:szCs w:val="20"/>
        </w:rPr>
        <w:t xml:space="preserve"> </w:t>
      </w:r>
      <w:r w:rsidRPr="00303537">
        <w:rPr>
          <w:rFonts w:ascii="Times New Roman" w:hAnsi="Times New Roman" w:cs="Times New Roman"/>
          <w:i/>
          <w:sz w:val="20"/>
          <w:szCs w:val="20"/>
        </w:rPr>
        <w:t>Nauka prawa finansowego po I dekadzie XXI wieku. Księga pamiątkowa dedykowana Profesorowi Apoloniuszowi Kosteckiemu</w:t>
      </w:r>
      <w:r w:rsidRPr="00303537">
        <w:rPr>
          <w:rFonts w:ascii="Times New Roman" w:hAnsi="Times New Roman" w:cs="Times New Roman"/>
          <w:sz w:val="20"/>
          <w:szCs w:val="20"/>
        </w:rPr>
        <w:t>, KTE sp. z o.o. Oficyna Wydawnicza AFM Kraków 2012.</w:t>
      </w:r>
    </w:p>
    <w:p w14:paraId="77015AAE" w14:textId="77777777" w:rsidR="003835ED" w:rsidRPr="00303537" w:rsidRDefault="003835ED" w:rsidP="003835ED">
      <w:pPr>
        <w:spacing w:after="0" w:line="240" w:lineRule="auto"/>
        <w:jc w:val="both"/>
        <w:rPr>
          <w:rFonts w:ascii="Times New Roman" w:hAnsi="Times New Roman" w:cs="Times New Roman"/>
          <w:sz w:val="20"/>
          <w:szCs w:val="20"/>
        </w:rPr>
      </w:pPr>
      <w:r w:rsidRPr="00303537">
        <w:rPr>
          <w:rFonts w:ascii="Times New Roman" w:hAnsi="Times New Roman" w:cs="Times New Roman"/>
          <w:sz w:val="20"/>
          <w:szCs w:val="20"/>
        </w:rPr>
        <w:t xml:space="preserve">Surówka K., </w:t>
      </w:r>
      <w:r w:rsidRPr="00303537">
        <w:rPr>
          <w:rFonts w:ascii="Times New Roman" w:hAnsi="Times New Roman" w:cs="Times New Roman"/>
          <w:i/>
          <w:sz w:val="20"/>
          <w:szCs w:val="20"/>
        </w:rPr>
        <w:t>Samodzielność finansowa samorządu terytorialnego w Polsce</w:t>
      </w:r>
      <w:r w:rsidRPr="00303537">
        <w:rPr>
          <w:rFonts w:ascii="Times New Roman" w:hAnsi="Times New Roman" w:cs="Times New Roman"/>
          <w:sz w:val="20"/>
          <w:szCs w:val="20"/>
        </w:rPr>
        <w:t>, PWE, Warszawa 2013.</w:t>
      </w:r>
    </w:p>
    <w:p w14:paraId="0A00CF02" w14:textId="77777777" w:rsidR="004E6645" w:rsidRPr="004E6645" w:rsidRDefault="004E6645" w:rsidP="004E6645">
      <w:pPr>
        <w:spacing w:after="0" w:line="240" w:lineRule="auto"/>
        <w:jc w:val="both"/>
        <w:rPr>
          <w:rFonts w:ascii="Times New Roman" w:hAnsi="Times New Roman" w:cs="Times New Roman"/>
          <w:sz w:val="20"/>
          <w:szCs w:val="20"/>
        </w:rPr>
      </w:pPr>
      <w:r w:rsidRPr="004E6645">
        <w:rPr>
          <w:rFonts w:ascii="Times New Roman" w:hAnsi="Times New Roman" w:cs="Times New Roman"/>
          <w:sz w:val="20"/>
          <w:szCs w:val="20"/>
        </w:rPr>
        <w:t xml:space="preserve">Taufiq Ritonga I., </w:t>
      </w:r>
      <w:r w:rsidRPr="004E6645">
        <w:rPr>
          <w:rFonts w:ascii="Times New Roman" w:hAnsi="Times New Roman" w:cs="Times New Roman"/>
          <w:i/>
          <w:sz w:val="20"/>
          <w:szCs w:val="20"/>
        </w:rPr>
        <w:t>Developing a measure of local government’s financial condition</w:t>
      </w:r>
      <w:r w:rsidRPr="004E6645">
        <w:rPr>
          <w:rFonts w:ascii="Times New Roman" w:hAnsi="Times New Roman" w:cs="Times New Roman"/>
          <w:sz w:val="20"/>
          <w:szCs w:val="20"/>
        </w:rPr>
        <w:t>, Journal of Indonesian Economy and Business, 2014 Vol. 29, Number 2.</w:t>
      </w:r>
    </w:p>
    <w:p w14:paraId="5C1234B3" w14:textId="77777777" w:rsidR="000120CF" w:rsidRPr="00303537" w:rsidRDefault="000120CF" w:rsidP="003835ED">
      <w:pPr>
        <w:spacing w:after="0" w:line="240" w:lineRule="auto"/>
        <w:jc w:val="both"/>
        <w:rPr>
          <w:rFonts w:ascii="Times New Roman" w:hAnsi="Times New Roman" w:cs="Times New Roman"/>
          <w:sz w:val="20"/>
          <w:szCs w:val="20"/>
        </w:rPr>
      </w:pPr>
      <w:r w:rsidRPr="00303537">
        <w:rPr>
          <w:rFonts w:ascii="Times New Roman" w:hAnsi="Times New Roman" w:cs="Times New Roman"/>
          <w:sz w:val="20"/>
          <w:szCs w:val="20"/>
        </w:rPr>
        <w:t xml:space="preserve">Wójtowicz K., </w:t>
      </w:r>
      <w:r w:rsidRPr="00303537">
        <w:rPr>
          <w:rFonts w:ascii="Times New Roman" w:hAnsi="Times New Roman" w:cs="Times New Roman"/>
          <w:i/>
          <w:sz w:val="20"/>
          <w:szCs w:val="20"/>
        </w:rPr>
        <w:t>Udział w podatkach państwowych a problem stabilności fiskalnej jednostek samorządu terytorialnego w Polsce</w:t>
      </w:r>
      <w:r w:rsidRPr="00303537">
        <w:rPr>
          <w:rFonts w:ascii="Times New Roman" w:hAnsi="Times New Roman" w:cs="Times New Roman"/>
          <w:sz w:val="20"/>
          <w:szCs w:val="20"/>
        </w:rPr>
        <w:t xml:space="preserve">, </w:t>
      </w:r>
      <w:r w:rsidR="00D613FD">
        <w:rPr>
          <w:rFonts w:ascii="Times New Roman" w:hAnsi="Times New Roman" w:cs="Times New Roman"/>
          <w:sz w:val="20"/>
          <w:szCs w:val="20"/>
        </w:rPr>
        <w:t>„</w:t>
      </w:r>
      <w:r w:rsidRPr="00303537">
        <w:rPr>
          <w:rFonts w:ascii="Times New Roman" w:hAnsi="Times New Roman" w:cs="Times New Roman"/>
          <w:sz w:val="20"/>
          <w:szCs w:val="20"/>
        </w:rPr>
        <w:t>Annales Universitatis Mariae Curie-Skłodowska</w:t>
      </w:r>
      <w:r w:rsidR="00D613FD">
        <w:rPr>
          <w:rFonts w:ascii="Times New Roman" w:hAnsi="Times New Roman" w:cs="Times New Roman"/>
          <w:sz w:val="20"/>
          <w:szCs w:val="20"/>
        </w:rPr>
        <w:t>”</w:t>
      </w:r>
      <w:r w:rsidRPr="00303537">
        <w:rPr>
          <w:rFonts w:ascii="Times New Roman" w:hAnsi="Times New Roman" w:cs="Times New Roman"/>
          <w:sz w:val="20"/>
          <w:szCs w:val="20"/>
        </w:rPr>
        <w:t xml:space="preserve"> </w:t>
      </w:r>
      <w:r w:rsidR="00D613FD" w:rsidRPr="00D613FD">
        <w:rPr>
          <w:rFonts w:ascii="Times New Roman" w:hAnsi="Times New Roman" w:cs="Times New Roman"/>
          <w:sz w:val="20"/>
          <w:szCs w:val="20"/>
        </w:rPr>
        <w:t xml:space="preserve">Lublin – Polonia Sectio H </w:t>
      </w:r>
      <w:r w:rsidRPr="00303537">
        <w:rPr>
          <w:rFonts w:ascii="Times New Roman" w:hAnsi="Times New Roman" w:cs="Times New Roman"/>
          <w:sz w:val="20"/>
          <w:szCs w:val="20"/>
        </w:rPr>
        <w:t xml:space="preserve">2014 </w:t>
      </w:r>
      <w:r w:rsidR="004634E0">
        <w:rPr>
          <w:rFonts w:ascii="Times New Roman" w:hAnsi="Times New Roman" w:cs="Times New Roman"/>
          <w:sz w:val="20"/>
          <w:szCs w:val="20"/>
        </w:rPr>
        <w:t>V</w:t>
      </w:r>
      <w:r w:rsidRPr="00303537">
        <w:rPr>
          <w:rFonts w:ascii="Times New Roman" w:hAnsi="Times New Roman" w:cs="Times New Roman"/>
          <w:sz w:val="20"/>
          <w:szCs w:val="20"/>
        </w:rPr>
        <w:t xml:space="preserve">ol. </w:t>
      </w:r>
      <w:r w:rsidR="00D613FD">
        <w:rPr>
          <w:rFonts w:ascii="Times New Roman" w:hAnsi="Times New Roman" w:cs="Times New Roman"/>
          <w:sz w:val="20"/>
          <w:szCs w:val="20"/>
        </w:rPr>
        <w:t>48, No 2</w:t>
      </w:r>
      <w:r w:rsidRPr="00303537">
        <w:rPr>
          <w:rFonts w:ascii="Times New Roman" w:hAnsi="Times New Roman" w:cs="Times New Roman"/>
          <w:sz w:val="20"/>
          <w:szCs w:val="20"/>
        </w:rPr>
        <w:t>.</w:t>
      </w:r>
    </w:p>
    <w:p w14:paraId="417CA0FA" w14:textId="77777777" w:rsidR="004E6645" w:rsidRPr="004E6645" w:rsidRDefault="004E6645" w:rsidP="004E6645">
      <w:pPr>
        <w:spacing w:after="0" w:line="240" w:lineRule="auto"/>
        <w:jc w:val="both"/>
        <w:rPr>
          <w:rFonts w:ascii="Times New Roman" w:hAnsi="Times New Roman" w:cs="Times New Roman"/>
          <w:sz w:val="20"/>
          <w:szCs w:val="20"/>
        </w:rPr>
      </w:pPr>
      <w:r w:rsidRPr="004E6645">
        <w:rPr>
          <w:rFonts w:ascii="Times New Roman" w:hAnsi="Times New Roman" w:cs="Times New Roman"/>
          <w:sz w:val="20"/>
          <w:szCs w:val="20"/>
        </w:rPr>
        <w:t xml:space="preserve">Wulansari D., </w:t>
      </w:r>
      <w:r w:rsidRPr="004E6645">
        <w:rPr>
          <w:rFonts w:ascii="Times New Roman" w:hAnsi="Times New Roman" w:cs="Times New Roman"/>
          <w:i/>
          <w:sz w:val="20"/>
          <w:szCs w:val="20"/>
        </w:rPr>
        <w:t>Analysis on local government performance</w:t>
      </w:r>
      <w:r w:rsidRPr="004E6645">
        <w:rPr>
          <w:rFonts w:ascii="Times New Roman" w:hAnsi="Times New Roman" w:cs="Times New Roman"/>
          <w:sz w:val="20"/>
          <w:szCs w:val="20"/>
        </w:rPr>
        <w:t>, Fakultas Ekonomi Universitas Sebelas Maret, Surakarta 2010.</w:t>
      </w:r>
    </w:p>
    <w:p w14:paraId="65386A83" w14:textId="77777777" w:rsidR="0025630B" w:rsidRDefault="0025630B">
      <w:pPr>
        <w:spacing w:after="0" w:line="240" w:lineRule="auto"/>
        <w:jc w:val="both"/>
        <w:rPr>
          <w:rFonts w:ascii="Times New Roman" w:hAnsi="Times New Roman" w:cs="Times New Roman"/>
          <w:sz w:val="24"/>
          <w:szCs w:val="24"/>
        </w:rPr>
      </w:pPr>
    </w:p>
    <w:p w14:paraId="405B1FAC" w14:textId="77777777" w:rsidR="00233C8F" w:rsidRDefault="00233C8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Streszczenie</w:t>
      </w:r>
    </w:p>
    <w:p w14:paraId="02DADB89" w14:textId="77777777" w:rsidR="00C81481" w:rsidRPr="00981C17" w:rsidRDefault="00C81481" w:rsidP="00C81481">
      <w:pPr>
        <w:spacing w:after="0" w:line="240" w:lineRule="auto"/>
        <w:jc w:val="both"/>
        <w:rPr>
          <w:rFonts w:ascii="Times New Roman" w:hAnsi="Times New Roman" w:cs="Times New Roman"/>
          <w:sz w:val="20"/>
          <w:szCs w:val="20"/>
        </w:rPr>
      </w:pPr>
      <w:r w:rsidRPr="00981C17">
        <w:rPr>
          <w:rFonts w:ascii="Times New Roman" w:hAnsi="Times New Roman" w:cs="Times New Roman"/>
          <w:sz w:val="20"/>
          <w:szCs w:val="20"/>
        </w:rPr>
        <w:t>Samodzielność dochodowa stanowi jeden z podstawowych filarów samorządności w wymiarze ekonomicznym. Zapewnienie JST istotnego udziału dochodów własnych wynikać powinno z ich charakteru, przede wszystkim możliwość oddziaływania na ich wielkość, przewidywalność, możliwość swobodnego dysponowania oraz uniezależnienia JST od sytuacji budżetu państwa.</w:t>
      </w:r>
    </w:p>
    <w:p w14:paraId="2124C647" w14:textId="77777777" w:rsidR="00233C8F" w:rsidRPr="00981C17" w:rsidRDefault="00C81481" w:rsidP="00C81481">
      <w:pPr>
        <w:spacing w:after="0" w:line="240" w:lineRule="auto"/>
        <w:jc w:val="both"/>
        <w:rPr>
          <w:rFonts w:ascii="Times New Roman" w:hAnsi="Times New Roman" w:cs="Times New Roman"/>
          <w:sz w:val="20"/>
          <w:szCs w:val="20"/>
        </w:rPr>
      </w:pPr>
      <w:r w:rsidRPr="00981C17">
        <w:rPr>
          <w:rFonts w:ascii="Times New Roman" w:hAnsi="Times New Roman" w:cs="Times New Roman"/>
          <w:sz w:val="20"/>
          <w:szCs w:val="20"/>
        </w:rPr>
        <w:t xml:space="preserve">Poziom samodzielności dochodowej samorządu jest pochodną przyjętych w kraju rozwiązań w zakresie organizacji państwa, poziomu decentralizacji zadań, ilości, rodzaju i wydajności źródeł dochodów przyznanych JST w połączeniu z przestrzennym rozmieszczeniem bazy podatkowej oraz zakresu przyznanego sektorowi samorządowemu władztwa podatkowego. W znacznym stopniu decyduje on o możliwościach rozwojowych wspólnot samorządowych. Stąd ważne jest podejmowanie </w:t>
      </w:r>
      <w:r w:rsidR="00D134EC" w:rsidRPr="00981C17">
        <w:rPr>
          <w:rFonts w:ascii="Times New Roman" w:hAnsi="Times New Roman" w:cs="Times New Roman"/>
          <w:sz w:val="20"/>
          <w:szCs w:val="20"/>
        </w:rPr>
        <w:t xml:space="preserve">tego </w:t>
      </w:r>
      <w:r w:rsidRPr="00981C17">
        <w:rPr>
          <w:rFonts w:ascii="Times New Roman" w:hAnsi="Times New Roman" w:cs="Times New Roman"/>
          <w:sz w:val="20"/>
          <w:szCs w:val="20"/>
        </w:rPr>
        <w:t xml:space="preserve">tematu </w:t>
      </w:r>
      <w:r w:rsidR="00D134EC" w:rsidRPr="00981C17">
        <w:rPr>
          <w:rFonts w:ascii="Times New Roman" w:hAnsi="Times New Roman" w:cs="Times New Roman"/>
          <w:sz w:val="20"/>
          <w:szCs w:val="20"/>
        </w:rPr>
        <w:t>w różnych aspektach.</w:t>
      </w:r>
    </w:p>
    <w:p w14:paraId="1AD74B6B" w14:textId="7FF42AA0" w:rsidR="00D134EC" w:rsidRPr="00DE5CDA" w:rsidRDefault="00D134EC" w:rsidP="00C81481">
      <w:pPr>
        <w:spacing w:after="0" w:line="240" w:lineRule="auto"/>
        <w:jc w:val="both"/>
        <w:rPr>
          <w:rFonts w:ascii="Times New Roman" w:hAnsi="Times New Roman" w:cs="Times New Roman"/>
          <w:sz w:val="20"/>
          <w:szCs w:val="20"/>
        </w:rPr>
      </w:pPr>
      <w:r w:rsidRPr="00DE5CDA">
        <w:rPr>
          <w:rFonts w:ascii="Times New Roman" w:hAnsi="Times New Roman" w:cs="Times New Roman"/>
          <w:sz w:val="20"/>
          <w:szCs w:val="20"/>
        </w:rPr>
        <w:t>Celem opracowania</w:t>
      </w:r>
      <w:r w:rsidR="00C849E2" w:rsidRPr="00DE5CDA">
        <w:rPr>
          <w:rFonts w:ascii="Times New Roman" w:hAnsi="Times New Roman" w:cs="Times New Roman"/>
          <w:sz w:val="20"/>
          <w:szCs w:val="20"/>
        </w:rPr>
        <w:t xml:space="preserve"> jest</w:t>
      </w:r>
      <w:r w:rsidRPr="00DE5CDA">
        <w:rPr>
          <w:rFonts w:ascii="Times New Roman" w:hAnsi="Times New Roman" w:cs="Times New Roman"/>
          <w:sz w:val="20"/>
          <w:szCs w:val="20"/>
        </w:rPr>
        <w:t xml:space="preserve"> </w:t>
      </w:r>
      <w:r w:rsidR="00683C72">
        <w:rPr>
          <w:rFonts w:ascii="Times New Roman" w:hAnsi="Times New Roman" w:cs="Times New Roman"/>
          <w:sz w:val="20"/>
          <w:szCs w:val="20"/>
        </w:rPr>
        <w:t>poddanie analizie</w:t>
      </w:r>
      <w:r w:rsidRPr="00DE5CDA">
        <w:rPr>
          <w:rFonts w:ascii="Times New Roman" w:hAnsi="Times New Roman" w:cs="Times New Roman"/>
          <w:sz w:val="20"/>
          <w:szCs w:val="20"/>
        </w:rPr>
        <w:t xml:space="preserve"> stopnia samodzielności dochodowej </w:t>
      </w:r>
      <w:r w:rsidR="00DE5CDA" w:rsidRPr="00DE5CDA">
        <w:rPr>
          <w:rFonts w:ascii="Times New Roman" w:hAnsi="Times New Roman" w:cs="Times New Roman"/>
          <w:sz w:val="20"/>
          <w:szCs w:val="20"/>
        </w:rPr>
        <w:t>jednostek samorządu terytorialnego</w:t>
      </w:r>
      <w:r w:rsidRPr="00DE5CDA">
        <w:rPr>
          <w:rFonts w:ascii="Times New Roman" w:hAnsi="Times New Roman" w:cs="Times New Roman"/>
          <w:sz w:val="20"/>
          <w:szCs w:val="20"/>
        </w:rPr>
        <w:t xml:space="preserve"> w Polsce na tle </w:t>
      </w:r>
      <w:r w:rsidR="00DE5CDA" w:rsidRPr="00DE5CDA">
        <w:rPr>
          <w:rFonts w:ascii="Times New Roman" w:hAnsi="Times New Roman" w:cs="Times New Roman"/>
          <w:sz w:val="20"/>
          <w:szCs w:val="20"/>
        </w:rPr>
        <w:t xml:space="preserve">wybranych </w:t>
      </w:r>
      <w:r w:rsidRPr="00DE5CDA">
        <w:rPr>
          <w:rFonts w:ascii="Times New Roman" w:hAnsi="Times New Roman" w:cs="Times New Roman"/>
          <w:sz w:val="20"/>
          <w:szCs w:val="20"/>
        </w:rPr>
        <w:t xml:space="preserve">krajów Unii Europejskiej ze wskazaniem </w:t>
      </w:r>
      <w:r w:rsidR="007B55C0" w:rsidRPr="00DE5CDA">
        <w:rPr>
          <w:rFonts w:ascii="Times New Roman" w:hAnsi="Times New Roman" w:cs="Times New Roman"/>
          <w:sz w:val="20"/>
          <w:szCs w:val="20"/>
        </w:rPr>
        <w:t>znaczenia władztwa podatkowego w ks</w:t>
      </w:r>
      <w:r w:rsidR="005A2ACB" w:rsidRPr="00DE5CDA">
        <w:rPr>
          <w:rFonts w:ascii="Times New Roman" w:hAnsi="Times New Roman" w:cs="Times New Roman"/>
          <w:sz w:val="20"/>
          <w:szCs w:val="20"/>
        </w:rPr>
        <w:t>ztałtowaniu tej samodzielności.</w:t>
      </w:r>
    </w:p>
    <w:p w14:paraId="50750623" w14:textId="77777777" w:rsidR="00233C8F" w:rsidRDefault="00233C8F">
      <w:pPr>
        <w:spacing w:after="0" w:line="240" w:lineRule="auto"/>
        <w:jc w:val="both"/>
        <w:rPr>
          <w:rFonts w:ascii="Times New Roman" w:hAnsi="Times New Roman" w:cs="Times New Roman"/>
          <w:sz w:val="24"/>
          <w:szCs w:val="24"/>
        </w:rPr>
      </w:pPr>
    </w:p>
    <w:p w14:paraId="34794462" w14:textId="77777777" w:rsidR="00233C8F" w:rsidRPr="009F78BB" w:rsidRDefault="00233C8F">
      <w:pPr>
        <w:spacing w:after="0" w:line="240" w:lineRule="auto"/>
        <w:jc w:val="both"/>
        <w:rPr>
          <w:rFonts w:ascii="Times New Roman" w:hAnsi="Times New Roman" w:cs="Times New Roman"/>
          <w:sz w:val="24"/>
          <w:szCs w:val="24"/>
          <w:lang w:val="en-US"/>
        </w:rPr>
      </w:pPr>
      <w:r w:rsidRPr="009F78BB">
        <w:rPr>
          <w:rFonts w:ascii="Times New Roman" w:hAnsi="Times New Roman" w:cs="Times New Roman"/>
          <w:sz w:val="24"/>
          <w:szCs w:val="24"/>
          <w:lang w:val="en-US"/>
        </w:rPr>
        <w:t>Summary</w:t>
      </w:r>
    </w:p>
    <w:p w14:paraId="2B412B03" w14:textId="77777777" w:rsidR="006540EC" w:rsidRDefault="006540EC" w:rsidP="00744A15">
      <w:pPr>
        <w:spacing w:after="0" w:line="240" w:lineRule="auto"/>
        <w:jc w:val="both"/>
        <w:rPr>
          <w:rFonts w:ascii="Times New Roman" w:hAnsi="Times New Roman" w:cs="Times New Roman"/>
          <w:sz w:val="20"/>
          <w:szCs w:val="20"/>
          <w:lang w:val="en-US"/>
        </w:rPr>
      </w:pPr>
      <w:r w:rsidRPr="006540EC">
        <w:rPr>
          <w:rFonts w:ascii="Times New Roman" w:hAnsi="Times New Roman" w:cs="Times New Roman"/>
          <w:sz w:val="20"/>
          <w:szCs w:val="20"/>
          <w:lang w:val="en-US"/>
        </w:rPr>
        <w:t>Revenue autonomy is one of the fundamental pillars of self-government in the economic sense. The assurance of LSUs to a significant share of own revenue should be based on their character, above all the impact on their size, the predictability, the freedom of disposal and the independence of local governments from the state budget. The level of fiscal autonomy of self-government is a derivative of national solutions adopted in Poland, the level of decentralization, the amount, type and efficiency of self-government income sources combined with the spatial distribution of the tax base and the scope of taxation power of the self-government sector. It largely determines the development opportunities of local communities. Hence, it is important to address this topic in various aspects.</w:t>
      </w:r>
    </w:p>
    <w:p w14:paraId="7E1BC989" w14:textId="0BD731CF" w:rsidR="007B55C0" w:rsidRPr="00DE5CDA" w:rsidRDefault="006540EC" w:rsidP="006540EC">
      <w:pPr>
        <w:spacing w:after="0" w:line="240" w:lineRule="auto"/>
        <w:jc w:val="both"/>
        <w:rPr>
          <w:rFonts w:ascii="Times New Roman" w:hAnsi="Times New Roman" w:cs="Times New Roman"/>
          <w:sz w:val="20"/>
          <w:szCs w:val="20"/>
          <w:lang w:val="en-US"/>
        </w:rPr>
      </w:pPr>
      <w:bookmarkStart w:id="0" w:name="_GoBack"/>
      <w:r w:rsidRPr="00DE5CDA">
        <w:rPr>
          <w:rFonts w:ascii="Times New Roman" w:hAnsi="Times New Roman" w:cs="Times New Roman"/>
          <w:sz w:val="20"/>
          <w:szCs w:val="20"/>
          <w:lang w:val="en-US"/>
        </w:rPr>
        <w:t xml:space="preserve">This work aims at </w:t>
      </w:r>
      <w:r w:rsidR="00683C72" w:rsidRPr="00683C72">
        <w:rPr>
          <w:rFonts w:ascii="Times New Roman" w:hAnsi="Times New Roman" w:cs="Times New Roman"/>
          <w:sz w:val="20"/>
          <w:szCs w:val="20"/>
          <w:lang w:val="en-US"/>
        </w:rPr>
        <w:t xml:space="preserve">analyze </w:t>
      </w:r>
      <w:r w:rsidRPr="00DE5CDA">
        <w:rPr>
          <w:rFonts w:ascii="Times New Roman" w:hAnsi="Times New Roman" w:cs="Times New Roman"/>
          <w:sz w:val="20"/>
          <w:szCs w:val="20"/>
          <w:lang w:val="en-US"/>
        </w:rPr>
        <w:t xml:space="preserve">the level </w:t>
      </w:r>
      <w:bookmarkEnd w:id="0"/>
      <w:r w:rsidRPr="00DE5CDA">
        <w:rPr>
          <w:rFonts w:ascii="Times New Roman" w:hAnsi="Times New Roman" w:cs="Times New Roman"/>
          <w:sz w:val="20"/>
          <w:szCs w:val="20"/>
          <w:lang w:val="en-US"/>
        </w:rPr>
        <w:t xml:space="preserve">of revenue autonomy of </w:t>
      </w:r>
      <w:r w:rsidR="00DE5CDA" w:rsidRPr="00DE5CDA">
        <w:rPr>
          <w:rFonts w:ascii="Times New Roman" w:hAnsi="Times New Roman" w:cs="Times New Roman"/>
          <w:sz w:val="20"/>
          <w:szCs w:val="20"/>
          <w:lang w:val="en-US"/>
        </w:rPr>
        <w:t xml:space="preserve">local government units </w:t>
      </w:r>
      <w:r w:rsidRPr="00DE5CDA">
        <w:rPr>
          <w:rFonts w:ascii="Times New Roman" w:hAnsi="Times New Roman" w:cs="Times New Roman"/>
          <w:sz w:val="20"/>
          <w:szCs w:val="20"/>
          <w:lang w:val="en-US"/>
        </w:rPr>
        <w:t xml:space="preserve">in Poland against the background of </w:t>
      </w:r>
      <w:r w:rsidR="00DE5CDA" w:rsidRPr="00DE5CDA">
        <w:rPr>
          <w:rFonts w:ascii="Times New Roman" w:hAnsi="Times New Roman" w:cs="Times New Roman"/>
          <w:sz w:val="20"/>
          <w:szCs w:val="20"/>
          <w:lang w:val="en-US"/>
        </w:rPr>
        <w:t xml:space="preserve">selected </w:t>
      </w:r>
      <w:r w:rsidRPr="00DE5CDA">
        <w:rPr>
          <w:rFonts w:ascii="Times New Roman" w:hAnsi="Times New Roman" w:cs="Times New Roman"/>
          <w:sz w:val="20"/>
          <w:szCs w:val="20"/>
          <w:lang w:val="en-US"/>
        </w:rPr>
        <w:t>European Union countries, indicating the importance of taxation power in creating this autonomy.</w:t>
      </w:r>
    </w:p>
    <w:sectPr w:rsidR="007B55C0" w:rsidRPr="00DE5CD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080298" w14:textId="77777777" w:rsidR="00700EFD" w:rsidRDefault="00700EFD" w:rsidP="00A16264">
      <w:pPr>
        <w:spacing w:after="0" w:line="240" w:lineRule="auto"/>
      </w:pPr>
      <w:r>
        <w:separator/>
      </w:r>
    </w:p>
  </w:endnote>
  <w:endnote w:type="continuationSeparator" w:id="0">
    <w:p w14:paraId="6FA590F2" w14:textId="77777777" w:rsidR="00700EFD" w:rsidRDefault="00700EFD" w:rsidP="00A162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210A0F" w14:textId="77777777" w:rsidR="00700EFD" w:rsidRDefault="00700EFD" w:rsidP="00A16264">
      <w:pPr>
        <w:spacing w:after="0" w:line="240" w:lineRule="auto"/>
      </w:pPr>
      <w:r>
        <w:separator/>
      </w:r>
    </w:p>
  </w:footnote>
  <w:footnote w:type="continuationSeparator" w:id="0">
    <w:p w14:paraId="60C28CE4" w14:textId="77777777" w:rsidR="00700EFD" w:rsidRDefault="00700EFD" w:rsidP="00A16264">
      <w:pPr>
        <w:spacing w:after="0" w:line="240" w:lineRule="auto"/>
      </w:pPr>
      <w:r>
        <w:continuationSeparator/>
      </w:r>
    </w:p>
  </w:footnote>
  <w:footnote w:id="1">
    <w:p w14:paraId="49682E36" w14:textId="09C7EB37" w:rsidR="00B13F0B" w:rsidRPr="00B13F0B" w:rsidRDefault="00B13F0B">
      <w:pPr>
        <w:pStyle w:val="Tekstprzypisudolnego"/>
        <w:rPr>
          <w:rFonts w:ascii="Times New Roman" w:hAnsi="Times New Roman" w:cs="Times New Roman"/>
        </w:rPr>
      </w:pPr>
      <w:r w:rsidRPr="00B13F0B">
        <w:rPr>
          <w:rStyle w:val="Odwoanieprzypisudolnego"/>
          <w:rFonts w:ascii="Times New Roman" w:hAnsi="Times New Roman" w:cs="Times New Roman"/>
        </w:rPr>
        <w:footnoteRef/>
      </w:r>
      <w:r w:rsidRPr="00B13F0B">
        <w:rPr>
          <w:rFonts w:ascii="Times New Roman" w:hAnsi="Times New Roman" w:cs="Times New Roman"/>
        </w:rPr>
        <w:t xml:space="preserve"> Do oceny poziomu analizowanej samodzielności można byłoby wykorzystać wiele innych miar, jak np. prezentowane przez OECD wskaźniki reguł </w:t>
      </w:r>
      <w:r w:rsidR="0018269D">
        <w:rPr>
          <w:rFonts w:ascii="Times New Roman" w:hAnsi="Times New Roman" w:cs="Times New Roman"/>
        </w:rPr>
        <w:t>fiskalnych</w:t>
      </w:r>
      <w:r w:rsidRPr="00B13F0B">
        <w:rPr>
          <w:rFonts w:ascii="Times New Roman" w:hAnsi="Times New Roman" w:cs="Times New Roman"/>
        </w:rPr>
        <w:t xml:space="preserve">, lecz ograniczenia tego typu opracowań nie pozwalają na to. </w:t>
      </w:r>
      <w:r>
        <w:rPr>
          <w:rFonts w:ascii="Times New Roman" w:hAnsi="Times New Roman" w:cs="Times New Roman"/>
        </w:rPr>
        <w:t xml:space="preserve">Zestaw danych do oceny stopnia samodzielności można odnaleźć pod adresem </w:t>
      </w:r>
      <w:r w:rsidRPr="00B13F0B">
        <w:rPr>
          <w:rFonts w:ascii="Times New Roman" w:hAnsi="Times New Roman" w:cs="Times New Roman"/>
        </w:rPr>
        <w:t xml:space="preserve"> </w:t>
      </w:r>
      <w:r w:rsidR="0018269D" w:rsidRPr="0018269D">
        <w:rPr>
          <w:rFonts w:ascii="Times New Roman" w:hAnsi="Times New Roman" w:cs="Times New Roman"/>
        </w:rPr>
        <w:t>http://www.oecd.org/ctp/federalism/fiscal-decentralisation-database.htm</w:t>
      </w:r>
      <w:r w:rsidR="0018269D">
        <w:rPr>
          <w:rFonts w:ascii="Times New Roman" w:hAnsi="Times New Roman" w:cs="Times New Roman"/>
        </w:rPr>
        <w:t>.</w:t>
      </w:r>
      <w:r w:rsidRPr="00B13F0B">
        <w:rPr>
          <w:rFonts w:ascii="Times New Roman" w:hAnsi="Times New Roman" w:cs="Times New Roman"/>
        </w:rPr>
        <w:t xml:space="preserve"> </w:t>
      </w:r>
    </w:p>
  </w:footnote>
  <w:footnote w:id="2">
    <w:p w14:paraId="7E4E9258" w14:textId="77777777" w:rsidR="00D613FD" w:rsidRPr="00BA3394" w:rsidRDefault="00D613FD">
      <w:pPr>
        <w:pStyle w:val="Tekstprzypisudolnego"/>
        <w:rPr>
          <w:rFonts w:ascii="Times New Roman" w:hAnsi="Times New Roman" w:cs="Times New Roman"/>
        </w:rPr>
      </w:pPr>
      <w:r w:rsidRPr="00BA3394">
        <w:rPr>
          <w:rStyle w:val="Odwoanieprzypisudolnego"/>
          <w:rFonts w:ascii="Times New Roman" w:hAnsi="Times New Roman" w:cs="Times New Roman"/>
        </w:rPr>
        <w:footnoteRef/>
      </w:r>
      <w:r w:rsidRPr="00BA3394">
        <w:rPr>
          <w:rFonts w:ascii="Times New Roman" w:hAnsi="Times New Roman" w:cs="Times New Roman"/>
        </w:rPr>
        <w:t xml:space="preserve"> </w:t>
      </w:r>
      <w:r>
        <w:rPr>
          <w:rFonts w:ascii="Times New Roman" w:hAnsi="Times New Roman" w:cs="Times New Roman"/>
        </w:rPr>
        <w:t>P</w:t>
      </w:r>
      <w:r w:rsidRPr="00BA3394">
        <w:rPr>
          <w:rFonts w:ascii="Times New Roman" w:hAnsi="Times New Roman" w:cs="Times New Roman"/>
        </w:rPr>
        <w:t>owiaty i województwa mają swobodę wyłącznie w odniesieniu do dochodów z majątku.</w:t>
      </w:r>
    </w:p>
  </w:footnote>
  <w:footnote w:id="3">
    <w:p w14:paraId="27512378" w14:textId="77777777" w:rsidR="00D613FD" w:rsidRPr="00BA3394" w:rsidRDefault="00D613FD">
      <w:pPr>
        <w:pStyle w:val="Tekstprzypisudolnego"/>
        <w:rPr>
          <w:rFonts w:ascii="Times New Roman" w:hAnsi="Times New Roman" w:cs="Times New Roman"/>
        </w:rPr>
      </w:pPr>
      <w:r w:rsidRPr="00BA3394">
        <w:rPr>
          <w:rStyle w:val="Odwoanieprzypisudolnego"/>
          <w:rFonts w:ascii="Times New Roman" w:hAnsi="Times New Roman" w:cs="Times New Roman"/>
        </w:rPr>
        <w:footnoteRef/>
      </w:r>
      <w:r w:rsidRPr="00BA3394">
        <w:rPr>
          <w:rFonts w:ascii="Times New Roman" w:hAnsi="Times New Roman" w:cs="Times New Roman"/>
        </w:rPr>
        <w:t xml:space="preserve"> Gminy w Polsce mają prawo do nałożenia na swoich mieszkańców daniny podatkowej w postaci samoopodatkowania się mieszkańców na cele publiczne. Warunkiem wprowadzenia tego obciążenia jest jednak akceptacja społeczności lokalnej wyrażona w referendum.</w:t>
      </w:r>
    </w:p>
  </w:footnote>
  <w:footnote w:id="4">
    <w:p w14:paraId="6ECA82D7" w14:textId="77777777" w:rsidR="00D613FD" w:rsidRPr="00BA3394" w:rsidRDefault="00D613FD" w:rsidP="00EF78C5">
      <w:pPr>
        <w:pStyle w:val="Tekstprzypisudolnego"/>
        <w:rPr>
          <w:rFonts w:ascii="Times New Roman" w:hAnsi="Times New Roman" w:cs="Times New Roman"/>
        </w:rPr>
      </w:pPr>
      <w:r w:rsidRPr="00BA3394">
        <w:rPr>
          <w:rStyle w:val="Odwoanieprzypisudolnego"/>
          <w:rFonts w:ascii="Times New Roman" w:hAnsi="Times New Roman" w:cs="Times New Roman"/>
        </w:rPr>
        <w:footnoteRef/>
      </w:r>
      <w:r w:rsidRPr="00BA3394">
        <w:rPr>
          <w:rFonts w:ascii="Times New Roman" w:hAnsi="Times New Roman" w:cs="Times New Roman"/>
        </w:rPr>
        <w:t xml:space="preserve"> Klasyfikacja poszczególnych kategorii dochodów dokonywana jest zgodnie z rachunkami narodowymi i obejmuje te źródła, które według prawa krajowego zaliczane są do dochodów własnych.</w:t>
      </w:r>
    </w:p>
  </w:footnote>
  <w:footnote w:id="5">
    <w:p w14:paraId="6A0A608C" w14:textId="77777777" w:rsidR="00D613FD" w:rsidRPr="00BA3394" w:rsidRDefault="00D613FD">
      <w:pPr>
        <w:pStyle w:val="Tekstprzypisudolnego"/>
        <w:rPr>
          <w:rFonts w:ascii="Times New Roman" w:hAnsi="Times New Roman" w:cs="Times New Roman"/>
        </w:rPr>
      </w:pPr>
      <w:r w:rsidRPr="00BA3394">
        <w:rPr>
          <w:rStyle w:val="Odwoanieprzypisudolnego"/>
          <w:rFonts w:ascii="Times New Roman" w:hAnsi="Times New Roman" w:cs="Times New Roman"/>
        </w:rPr>
        <w:footnoteRef/>
      </w:r>
      <w:r w:rsidRPr="00BA3394">
        <w:rPr>
          <w:rFonts w:ascii="Times New Roman" w:hAnsi="Times New Roman" w:cs="Times New Roman"/>
        </w:rPr>
        <w:t xml:space="preserve"> Choć ich wielkość może w istotnym stopniu być uzależniona od kondycji finansowej jednostki przekazującej środki.</w:t>
      </w:r>
    </w:p>
  </w:footnote>
  <w:footnote w:id="6">
    <w:p w14:paraId="2B26D12C" w14:textId="77777777" w:rsidR="00D613FD" w:rsidRPr="00BA3394" w:rsidRDefault="00D613FD" w:rsidP="00A16264">
      <w:pPr>
        <w:pStyle w:val="Tekstprzypisudolnego"/>
        <w:rPr>
          <w:rFonts w:ascii="Times New Roman" w:hAnsi="Times New Roman" w:cs="Times New Roman"/>
        </w:rPr>
      </w:pPr>
      <w:r w:rsidRPr="00BA3394">
        <w:rPr>
          <w:rStyle w:val="Odwoanieprzypisudolnego"/>
          <w:rFonts w:ascii="Times New Roman" w:hAnsi="Times New Roman" w:cs="Times New Roman"/>
        </w:rPr>
        <w:footnoteRef/>
      </w:r>
      <w:r w:rsidRPr="00BA3394">
        <w:rPr>
          <w:rFonts w:ascii="Times New Roman" w:hAnsi="Times New Roman" w:cs="Times New Roman"/>
        </w:rPr>
        <w:t xml:space="preserve"> Pełna ocena tego elementu nie jest jednak możliwa ze względu na niską kompletność danych.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7F3D8F"/>
    <w:multiLevelType w:val="hybridMultilevel"/>
    <w:tmpl w:val="C0C4C824"/>
    <w:lvl w:ilvl="0" w:tplc="B2F4B94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69680701"/>
    <w:multiLevelType w:val="hybridMultilevel"/>
    <w:tmpl w:val="CCA804D6"/>
    <w:lvl w:ilvl="0" w:tplc="B5C60992">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C78"/>
    <w:rsid w:val="000120CF"/>
    <w:rsid w:val="00013B69"/>
    <w:rsid w:val="000311A2"/>
    <w:rsid w:val="00037965"/>
    <w:rsid w:val="00037F1C"/>
    <w:rsid w:val="00052C5F"/>
    <w:rsid w:val="00083F91"/>
    <w:rsid w:val="00084F81"/>
    <w:rsid w:val="000D0B6C"/>
    <w:rsid w:val="000D252C"/>
    <w:rsid w:val="000F5CB3"/>
    <w:rsid w:val="00112140"/>
    <w:rsid w:val="00115CF1"/>
    <w:rsid w:val="00135941"/>
    <w:rsid w:val="00144D33"/>
    <w:rsid w:val="001651D8"/>
    <w:rsid w:val="00174425"/>
    <w:rsid w:val="0018269D"/>
    <w:rsid w:val="00193938"/>
    <w:rsid w:val="00195DEB"/>
    <w:rsid w:val="001C61D2"/>
    <w:rsid w:val="001D00B6"/>
    <w:rsid w:val="00233C8F"/>
    <w:rsid w:val="00242D45"/>
    <w:rsid w:val="00253C7A"/>
    <w:rsid w:val="0025404A"/>
    <w:rsid w:val="0025630B"/>
    <w:rsid w:val="00266B0F"/>
    <w:rsid w:val="002772E7"/>
    <w:rsid w:val="0027740D"/>
    <w:rsid w:val="002A6408"/>
    <w:rsid w:val="002B6FEE"/>
    <w:rsid w:val="002C75B1"/>
    <w:rsid w:val="002F3F7B"/>
    <w:rsid w:val="002F5777"/>
    <w:rsid w:val="002F7799"/>
    <w:rsid w:val="00303537"/>
    <w:rsid w:val="003158E1"/>
    <w:rsid w:val="003245DD"/>
    <w:rsid w:val="003835ED"/>
    <w:rsid w:val="0038478A"/>
    <w:rsid w:val="003A0145"/>
    <w:rsid w:val="003A26A2"/>
    <w:rsid w:val="003C7823"/>
    <w:rsid w:val="004313FE"/>
    <w:rsid w:val="00442AAF"/>
    <w:rsid w:val="004634E0"/>
    <w:rsid w:val="004751B8"/>
    <w:rsid w:val="00496A8A"/>
    <w:rsid w:val="004A435B"/>
    <w:rsid w:val="004C4EC2"/>
    <w:rsid w:val="004E6645"/>
    <w:rsid w:val="005133C4"/>
    <w:rsid w:val="005315C4"/>
    <w:rsid w:val="005322ED"/>
    <w:rsid w:val="00553989"/>
    <w:rsid w:val="00580E0A"/>
    <w:rsid w:val="005A2ACB"/>
    <w:rsid w:val="005B0953"/>
    <w:rsid w:val="005C2C9A"/>
    <w:rsid w:val="005E6296"/>
    <w:rsid w:val="00605589"/>
    <w:rsid w:val="006426E1"/>
    <w:rsid w:val="00650A80"/>
    <w:rsid w:val="00652FEC"/>
    <w:rsid w:val="006540EC"/>
    <w:rsid w:val="006817C6"/>
    <w:rsid w:val="00683C72"/>
    <w:rsid w:val="006A34B5"/>
    <w:rsid w:val="006E444B"/>
    <w:rsid w:val="00700EFD"/>
    <w:rsid w:val="00702C35"/>
    <w:rsid w:val="00707CB5"/>
    <w:rsid w:val="007318E3"/>
    <w:rsid w:val="00734489"/>
    <w:rsid w:val="00744A15"/>
    <w:rsid w:val="00747BC4"/>
    <w:rsid w:val="00764BBB"/>
    <w:rsid w:val="007710D0"/>
    <w:rsid w:val="007808AF"/>
    <w:rsid w:val="007B52E6"/>
    <w:rsid w:val="007B55C0"/>
    <w:rsid w:val="008177D7"/>
    <w:rsid w:val="0086229F"/>
    <w:rsid w:val="00880F62"/>
    <w:rsid w:val="008B14E4"/>
    <w:rsid w:val="008B4D07"/>
    <w:rsid w:val="00901B67"/>
    <w:rsid w:val="00917F0F"/>
    <w:rsid w:val="00926568"/>
    <w:rsid w:val="00944F7A"/>
    <w:rsid w:val="00967DE6"/>
    <w:rsid w:val="00981C17"/>
    <w:rsid w:val="009B29D5"/>
    <w:rsid w:val="009D4F2E"/>
    <w:rsid w:val="009F17BB"/>
    <w:rsid w:val="009F78BB"/>
    <w:rsid w:val="00A121B2"/>
    <w:rsid w:val="00A16264"/>
    <w:rsid w:val="00A41FF1"/>
    <w:rsid w:val="00A43C5E"/>
    <w:rsid w:val="00A82C05"/>
    <w:rsid w:val="00A945A5"/>
    <w:rsid w:val="00AA2634"/>
    <w:rsid w:val="00AA5351"/>
    <w:rsid w:val="00AD661B"/>
    <w:rsid w:val="00AE0C27"/>
    <w:rsid w:val="00AF78CA"/>
    <w:rsid w:val="00B0678B"/>
    <w:rsid w:val="00B13F0B"/>
    <w:rsid w:val="00B16075"/>
    <w:rsid w:val="00B769A1"/>
    <w:rsid w:val="00B83957"/>
    <w:rsid w:val="00B9414C"/>
    <w:rsid w:val="00BA1691"/>
    <w:rsid w:val="00BA3394"/>
    <w:rsid w:val="00BE11E0"/>
    <w:rsid w:val="00BF0827"/>
    <w:rsid w:val="00C17DD3"/>
    <w:rsid w:val="00C21B7A"/>
    <w:rsid w:val="00C24ADF"/>
    <w:rsid w:val="00C36759"/>
    <w:rsid w:val="00C416B0"/>
    <w:rsid w:val="00C47A7C"/>
    <w:rsid w:val="00C51CD1"/>
    <w:rsid w:val="00C618BE"/>
    <w:rsid w:val="00C72640"/>
    <w:rsid w:val="00C81481"/>
    <w:rsid w:val="00C849E2"/>
    <w:rsid w:val="00CD79E2"/>
    <w:rsid w:val="00D134EC"/>
    <w:rsid w:val="00D42634"/>
    <w:rsid w:val="00D613FD"/>
    <w:rsid w:val="00D6521D"/>
    <w:rsid w:val="00D83C78"/>
    <w:rsid w:val="00DE5CDA"/>
    <w:rsid w:val="00DF668F"/>
    <w:rsid w:val="00E02618"/>
    <w:rsid w:val="00E35A56"/>
    <w:rsid w:val="00E43075"/>
    <w:rsid w:val="00E62628"/>
    <w:rsid w:val="00E63C08"/>
    <w:rsid w:val="00EF2BA9"/>
    <w:rsid w:val="00EF78C5"/>
    <w:rsid w:val="00F66134"/>
    <w:rsid w:val="00FA11B9"/>
    <w:rsid w:val="00FE446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AA826"/>
  <w15:chartTrackingRefBased/>
  <w15:docId w15:val="{3721838F-49EC-4E48-8210-4DFBDEFCB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E5CD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D83C78"/>
    <w:rPr>
      <w:color w:val="0563C1" w:themeColor="hyperlink"/>
      <w:u w:val="single"/>
    </w:rPr>
  </w:style>
  <w:style w:type="paragraph" w:styleId="Tekstprzypisudolnego">
    <w:name w:val="footnote text"/>
    <w:aliases w:val="Tekst przypisu,Podrozdział,Footnote"/>
    <w:basedOn w:val="Normalny"/>
    <w:link w:val="TekstprzypisudolnegoZnak"/>
    <w:uiPriority w:val="99"/>
    <w:qFormat/>
    <w:rsid w:val="00A16264"/>
    <w:pPr>
      <w:spacing w:after="0" w:line="240" w:lineRule="auto"/>
      <w:jc w:val="both"/>
    </w:pPr>
    <w:rPr>
      <w:rFonts w:ascii="Calibri" w:eastAsia="Calibri" w:hAnsi="Calibri" w:cs="Calibri"/>
      <w:sz w:val="20"/>
      <w:szCs w:val="20"/>
    </w:rPr>
  </w:style>
  <w:style w:type="character" w:customStyle="1" w:styleId="TekstprzypisudolnegoZnak">
    <w:name w:val="Tekst przypisu dolnego Znak"/>
    <w:aliases w:val="Tekst przypisu Znak,Podrozdział Znak,Footnote Znak"/>
    <w:basedOn w:val="Domylnaczcionkaakapitu"/>
    <w:link w:val="Tekstprzypisudolnego"/>
    <w:uiPriority w:val="99"/>
    <w:rsid w:val="00A16264"/>
    <w:rPr>
      <w:rFonts w:ascii="Calibri" w:eastAsia="Calibri" w:hAnsi="Calibri" w:cs="Calibri"/>
      <w:sz w:val="20"/>
      <w:szCs w:val="20"/>
    </w:rPr>
  </w:style>
  <w:style w:type="character" w:styleId="Odwoanieprzypisudolnego">
    <w:name w:val="footnote reference"/>
    <w:aliases w:val="Odwołanie przypisu,Footnote Reference Number,Footnote symbol,Footnote reference number,note TESI,Footnote Reference Superscript,SUPERS,EN Footnote Reference"/>
    <w:uiPriority w:val="99"/>
    <w:rsid w:val="00A16264"/>
    <w:rPr>
      <w:vertAlign w:val="superscript"/>
    </w:rPr>
  </w:style>
  <w:style w:type="table" w:styleId="Tabela-Siatka">
    <w:name w:val="Table Grid"/>
    <w:basedOn w:val="Standardowy"/>
    <w:uiPriority w:val="99"/>
    <w:rsid w:val="00A16264"/>
    <w:pPr>
      <w:spacing w:after="0" w:line="240" w:lineRule="auto"/>
      <w:jc w:val="both"/>
    </w:pPr>
    <w:rPr>
      <w:rFonts w:ascii="Calibri" w:eastAsia="Calibri" w:hAnsi="Calibri" w:cs="Calibri"/>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ogrubienie">
    <w:name w:val="Strong"/>
    <w:uiPriority w:val="22"/>
    <w:qFormat/>
    <w:rsid w:val="002F3F7B"/>
    <w:rPr>
      <w:b/>
      <w:bCs/>
    </w:rPr>
  </w:style>
  <w:style w:type="paragraph" w:styleId="Akapitzlist">
    <w:name w:val="List Paragraph"/>
    <w:basedOn w:val="Normalny"/>
    <w:uiPriority w:val="34"/>
    <w:qFormat/>
    <w:rsid w:val="00115CF1"/>
    <w:pPr>
      <w:spacing w:after="0" w:line="276" w:lineRule="auto"/>
      <w:ind w:left="720"/>
      <w:jc w:val="both"/>
    </w:pPr>
    <w:rPr>
      <w:rFonts w:ascii="Calibri" w:eastAsia="Calibri" w:hAnsi="Calibri" w:cs="Calibri"/>
    </w:rPr>
  </w:style>
  <w:style w:type="paragraph" w:customStyle="1" w:styleId="Default">
    <w:name w:val="Default"/>
    <w:rsid w:val="00115CF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Nagwek">
    <w:name w:val="header"/>
    <w:basedOn w:val="Normalny"/>
    <w:link w:val="NagwekZnak"/>
    <w:uiPriority w:val="99"/>
    <w:unhideWhenUsed/>
    <w:rsid w:val="005315C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315C4"/>
  </w:style>
  <w:style w:type="paragraph" w:styleId="Stopka">
    <w:name w:val="footer"/>
    <w:basedOn w:val="Normalny"/>
    <w:link w:val="StopkaZnak"/>
    <w:uiPriority w:val="99"/>
    <w:unhideWhenUsed/>
    <w:rsid w:val="005315C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315C4"/>
  </w:style>
  <w:style w:type="character" w:styleId="Odwoaniedokomentarza">
    <w:name w:val="annotation reference"/>
    <w:basedOn w:val="Domylnaczcionkaakapitu"/>
    <w:uiPriority w:val="99"/>
    <w:semiHidden/>
    <w:unhideWhenUsed/>
    <w:rsid w:val="003158E1"/>
    <w:rPr>
      <w:sz w:val="16"/>
      <w:szCs w:val="16"/>
    </w:rPr>
  </w:style>
  <w:style w:type="paragraph" w:styleId="Tekstkomentarza">
    <w:name w:val="annotation text"/>
    <w:basedOn w:val="Normalny"/>
    <w:link w:val="TekstkomentarzaZnak"/>
    <w:uiPriority w:val="99"/>
    <w:semiHidden/>
    <w:unhideWhenUsed/>
    <w:rsid w:val="003158E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158E1"/>
    <w:rPr>
      <w:sz w:val="20"/>
      <w:szCs w:val="20"/>
    </w:rPr>
  </w:style>
  <w:style w:type="paragraph" w:styleId="Tematkomentarza">
    <w:name w:val="annotation subject"/>
    <w:basedOn w:val="Tekstkomentarza"/>
    <w:next w:val="Tekstkomentarza"/>
    <w:link w:val="TematkomentarzaZnak"/>
    <w:uiPriority w:val="99"/>
    <w:semiHidden/>
    <w:unhideWhenUsed/>
    <w:rsid w:val="003158E1"/>
    <w:rPr>
      <w:b/>
      <w:bCs/>
    </w:rPr>
  </w:style>
  <w:style w:type="character" w:customStyle="1" w:styleId="TematkomentarzaZnak">
    <w:name w:val="Temat komentarza Znak"/>
    <w:basedOn w:val="TekstkomentarzaZnak"/>
    <w:link w:val="Tematkomentarza"/>
    <w:uiPriority w:val="99"/>
    <w:semiHidden/>
    <w:rsid w:val="003158E1"/>
    <w:rPr>
      <w:b/>
      <w:bCs/>
      <w:sz w:val="20"/>
      <w:szCs w:val="20"/>
    </w:rPr>
  </w:style>
  <w:style w:type="paragraph" w:styleId="Tekstdymka">
    <w:name w:val="Balloon Text"/>
    <w:basedOn w:val="Normalny"/>
    <w:link w:val="TekstdymkaZnak"/>
    <w:uiPriority w:val="99"/>
    <w:semiHidden/>
    <w:unhideWhenUsed/>
    <w:rsid w:val="003158E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158E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wyszkowskad\Desktop\5103-15975-2-SP.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'Rysunek 2'!$B$4</c:f>
              <c:strCache>
                <c:ptCount val="1"/>
                <c:pt idx="0">
                  <c:v>CIT</c:v>
                </c:pt>
              </c:strCache>
            </c:strRef>
          </c:tx>
          <c:spPr>
            <a:solidFill>
              <a:schemeClr val="bg1">
                <a:lumMod val="50000"/>
              </a:schemeClr>
            </a:solidFill>
            <a:ln>
              <a:noFill/>
            </a:ln>
            <a:effectLst/>
          </c:spPr>
          <c:invertIfNegative val="0"/>
          <c:cat>
            <c:strRef>
              <c:f>'Rysunek 2'!$A$5:$A$26</c:f>
              <c:strCache>
                <c:ptCount val="22"/>
                <c:pt idx="0">
                  <c:v>Hiszpania</c:v>
                </c:pt>
                <c:pt idx="1">
                  <c:v>Belgia</c:v>
                </c:pt>
                <c:pt idx="2">
                  <c:v>Niemcy</c:v>
                </c:pt>
                <c:pt idx="3">
                  <c:v>Austria</c:v>
                </c:pt>
                <c:pt idx="5">
                  <c:v>Szwecja</c:v>
                </c:pt>
                <c:pt idx="6">
                  <c:v>Dania</c:v>
                </c:pt>
                <c:pt idx="7">
                  <c:v>Finlandia</c:v>
                </c:pt>
                <c:pt idx="8">
                  <c:v>Francja</c:v>
                </c:pt>
                <c:pt idx="9">
                  <c:v>Luksemburg</c:v>
                </c:pt>
                <c:pt idx="10">
                  <c:v>Hiszpania</c:v>
                </c:pt>
                <c:pt idx="11">
                  <c:v>Belgia</c:v>
                </c:pt>
                <c:pt idx="12">
                  <c:v>Włochy</c:v>
                </c:pt>
                <c:pt idx="13">
                  <c:v>Niemcy</c:v>
                </c:pt>
                <c:pt idx="14">
                  <c:v>Portugalia</c:v>
                </c:pt>
                <c:pt idx="15">
                  <c:v>Węgry</c:v>
                </c:pt>
                <c:pt idx="16">
                  <c:v>Wielka Brytania</c:v>
                </c:pt>
                <c:pt idx="17">
                  <c:v>Holandia</c:v>
                </c:pt>
                <c:pt idx="18">
                  <c:v>Grecja</c:v>
                </c:pt>
                <c:pt idx="19">
                  <c:v>Republika Czech</c:v>
                </c:pt>
                <c:pt idx="20">
                  <c:v>Austria</c:v>
                </c:pt>
                <c:pt idx="21">
                  <c:v>Irlandia</c:v>
                </c:pt>
              </c:strCache>
            </c:strRef>
          </c:cat>
          <c:val>
            <c:numRef>
              <c:f>'Rysunek 2'!$B$5:$B$26</c:f>
              <c:numCache>
                <c:formatCode>General</c:formatCode>
                <c:ptCount val="22"/>
                <c:pt idx="0">
                  <c:v>0.30509817883485679</c:v>
                </c:pt>
                <c:pt idx="1">
                  <c:v>0</c:v>
                </c:pt>
                <c:pt idx="2">
                  <c:v>0</c:v>
                </c:pt>
                <c:pt idx="3">
                  <c:v>0</c:v>
                </c:pt>
                <c:pt idx="5">
                  <c:v>0</c:v>
                </c:pt>
                <c:pt idx="6">
                  <c:v>0</c:v>
                </c:pt>
                <c:pt idx="7">
                  <c:v>0</c:v>
                </c:pt>
                <c:pt idx="8">
                  <c:v>0</c:v>
                </c:pt>
                <c:pt idx="9">
                  <c:v>30.236010018371577</c:v>
                </c:pt>
                <c:pt idx="10">
                  <c:v>0</c:v>
                </c:pt>
                <c:pt idx="11">
                  <c:v>0</c:v>
                </c:pt>
                <c:pt idx="12">
                  <c:v>2.9733839212469242</c:v>
                </c:pt>
                <c:pt idx="13">
                  <c:v>8.8323287265547883</c:v>
                </c:pt>
                <c:pt idx="14">
                  <c:v>4.8071573535426566</c:v>
                </c:pt>
                <c:pt idx="15">
                  <c:v>0</c:v>
                </c:pt>
                <c:pt idx="16">
                  <c:v>0</c:v>
                </c:pt>
                <c:pt idx="17">
                  <c:v>0</c:v>
                </c:pt>
                <c:pt idx="18">
                  <c:v>0</c:v>
                </c:pt>
                <c:pt idx="19">
                  <c:v>0</c:v>
                </c:pt>
                <c:pt idx="20">
                  <c:v>0</c:v>
                </c:pt>
                <c:pt idx="21">
                  <c:v>0</c:v>
                </c:pt>
              </c:numCache>
            </c:numRef>
          </c:val>
        </c:ser>
        <c:ser>
          <c:idx val="1"/>
          <c:order val="1"/>
          <c:tx>
            <c:strRef>
              <c:f>'Rysunek 2'!$C$4</c:f>
              <c:strCache>
                <c:ptCount val="1"/>
                <c:pt idx="0">
                  <c:v>Konsumpcyjne</c:v>
                </c:pt>
              </c:strCache>
            </c:strRef>
          </c:tx>
          <c:spPr>
            <a:solidFill>
              <a:schemeClr val="tx1"/>
            </a:solidFill>
            <a:ln>
              <a:noFill/>
            </a:ln>
            <a:effectLst/>
          </c:spPr>
          <c:invertIfNegative val="0"/>
          <c:cat>
            <c:strRef>
              <c:f>'Rysunek 2'!$A$5:$A$26</c:f>
              <c:strCache>
                <c:ptCount val="22"/>
                <c:pt idx="0">
                  <c:v>Hiszpania</c:v>
                </c:pt>
                <c:pt idx="1">
                  <c:v>Belgia</c:v>
                </c:pt>
                <c:pt idx="2">
                  <c:v>Niemcy</c:v>
                </c:pt>
                <c:pt idx="3">
                  <c:v>Austria</c:v>
                </c:pt>
                <c:pt idx="5">
                  <c:v>Szwecja</c:v>
                </c:pt>
                <c:pt idx="6">
                  <c:v>Dania</c:v>
                </c:pt>
                <c:pt idx="7">
                  <c:v>Finlandia</c:v>
                </c:pt>
                <c:pt idx="8">
                  <c:v>Francja</c:v>
                </c:pt>
                <c:pt idx="9">
                  <c:v>Luksemburg</c:v>
                </c:pt>
                <c:pt idx="10">
                  <c:v>Hiszpania</c:v>
                </c:pt>
                <c:pt idx="11">
                  <c:v>Belgia</c:v>
                </c:pt>
                <c:pt idx="12">
                  <c:v>Włochy</c:v>
                </c:pt>
                <c:pt idx="13">
                  <c:v>Niemcy</c:v>
                </c:pt>
                <c:pt idx="14">
                  <c:v>Portugalia</c:v>
                </c:pt>
                <c:pt idx="15">
                  <c:v>Węgry</c:v>
                </c:pt>
                <c:pt idx="16">
                  <c:v>Wielka Brytania</c:v>
                </c:pt>
                <c:pt idx="17">
                  <c:v>Holandia</c:v>
                </c:pt>
                <c:pt idx="18">
                  <c:v>Grecja</c:v>
                </c:pt>
                <c:pt idx="19">
                  <c:v>Republika Czech</c:v>
                </c:pt>
                <c:pt idx="20">
                  <c:v>Austria</c:v>
                </c:pt>
                <c:pt idx="21">
                  <c:v>Irlandia</c:v>
                </c:pt>
              </c:strCache>
            </c:strRef>
          </c:cat>
          <c:val>
            <c:numRef>
              <c:f>'Rysunek 2'!$C$5:$C$26</c:f>
              <c:numCache>
                <c:formatCode>General</c:formatCode>
                <c:ptCount val="22"/>
                <c:pt idx="0">
                  <c:v>3.3505327275682451</c:v>
                </c:pt>
                <c:pt idx="1">
                  <c:v>4.8523361019609119</c:v>
                </c:pt>
                <c:pt idx="2">
                  <c:v>0</c:v>
                </c:pt>
                <c:pt idx="3">
                  <c:v>0</c:v>
                </c:pt>
                <c:pt idx="5">
                  <c:v>0</c:v>
                </c:pt>
                <c:pt idx="6">
                  <c:v>0</c:v>
                </c:pt>
                <c:pt idx="7">
                  <c:v>0</c:v>
                </c:pt>
                <c:pt idx="8">
                  <c:v>2.1222369452932743</c:v>
                </c:pt>
                <c:pt idx="9">
                  <c:v>0.278887102398508</c:v>
                </c:pt>
                <c:pt idx="10">
                  <c:v>12.279001843253459</c:v>
                </c:pt>
                <c:pt idx="11">
                  <c:v>2.7877301305503517</c:v>
                </c:pt>
                <c:pt idx="12">
                  <c:v>8.0213841406413948</c:v>
                </c:pt>
                <c:pt idx="13">
                  <c:v>0</c:v>
                </c:pt>
                <c:pt idx="14">
                  <c:v>0</c:v>
                </c:pt>
                <c:pt idx="15">
                  <c:v>14.188632676615764</c:v>
                </c:pt>
                <c:pt idx="16">
                  <c:v>0</c:v>
                </c:pt>
                <c:pt idx="17">
                  <c:v>4.2706570035051827</c:v>
                </c:pt>
                <c:pt idx="18">
                  <c:v>0.42510336441021485</c:v>
                </c:pt>
                <c:pt idx="19">
                  <c:v>2.1038287741175732</c:v>
                </c:pt>
                <c:pt idx="20">
                  <c:v>0</c:v>
                </c:pt>
                <c:pt idx="21">
                  <c:v>0</c:v>
                </c:pt>
              </c:numCache>
            </c:numRef>
          </c:val>
        </c:ser>
        <c:ser>
          <c:idx val="2"/>
          <c:order val="2"/>
          <c:tx>
            <c:strRef>
              <c:f>'Rysunek 2'!$D$4</c:f>
              <c:strCache>
                <c:ptCount val="1"/>
                <c:pt idx="0">
                  <c:v>PIT</c:v>
                </c:pt>
              </c:strCache>
            </c:strRef>
          </c:tx>
          <c:spPr>
            <a:solidFill>
              <a:schemeClr val="accent3"/>
            </a:solidFill>
            <a:ln>
              <a:noFill/>
            </a:ln>
            <a:effectLst/>
          </c:spPr>
          <c:invertIfNegative val="0"/>
          <c:cat>
            <c:strRef>
              <c:f>'Rysunek 2'!$A$5:$A$26</c:f>
              <c:strCache>
                <c:ptCount val="22"/>
                <c:pt idx="0">
                  <c:v>Hiszpania</c:v>
                </c:pt>
                <c:pt idx="1">
                  <c:v>Belgia</c:v>
                </c:pt>
                <c:pt idx="2">
                  <c:v>Niemcy</c:v>
                </c:pt>
                <c:pt idx="3">
                  <c:v>Austria</c:v>
                </c:pt>
                <c:pt idx="5">
                  <c:v>Szwecja</c:v>
                </c:pt>
                <c:pt idx="6">
                  <c:v>Dania</c:v>
                </c:pt>
                <c:pt idx="7">
                  <c:v>Finlandia</c:v>
                </c:pt>
                <c:pt idx="8">
                  <c:v>Francja</c:v>
                </c:pt>
                <c:pt idx="9">
                  <c:v>Luksemburg</c:v>
                </c:pt>
                <c:pt idx="10">
                  <c:v>Hiszpania</c:v>
                </c:pt>
                <c:pt idx="11">
                  <c:v>Belgia</c:v>
                </c:pt>
                <c:pt idx="12">
                  <c:v>Włochy</c:v>
                </c:pt>
                <c:pt idx="13">
                  <c:v>Niemcy</c:v>
                </c:pt>
                <c:pt idx="14">
                  <c:v>Portugalia</c:v>
                </c:pt>
                <c:pt idx="15">
                  <c:v>Węgry</c:v>
                </c:pt>
                <c:pt idx="16">
                  <c:v>Wielka Brytania</c:v>
                </c:pt>
                <c:pt idx="17">
                  <c:v>Holandia</c:v>
                </c:pt>
                <c:pt idx="18">
                  <c:v>Grecja</c:v>
                </c:pt>
                <c:pt idx="19">
                  <c:v>Republika Czech</c:v>
                </c:pt>
                <c:pt idx="20">
                  <c:v>Austria</c:v>
                </c:pt>
                <c:pt idx="21">
                  <c:v>Irlandia</c:v>
                </c:pt>
              </c:strCache>
            </c:strRef>
          </c:cat>
          <c:val>
            <c:numRef>
              <c:f>'Rysunek 2'!$D$5:$D$26</c:f>
              <c:numCache>
                <c:formatCode>General</c:formatCode>
                <c:ptCount val="22"/>
                <c:pt idx="0">
                  <c:v>14.783393574452605</c:v>
                </c:pt>
                <c:pt idx="1">
                  <c:v>17.927313071275737</c:v>
                </c:pt>
                <c:pt idx="2">
                  <c:v>0</c:v>
                </c:pt>
                <c:pt idx="3">
                  <c:v>0</c:v>
                </c:pt>
                <c:pt idx="5">
                  <c:v>63.425938734530376</c:v>
                </c:pt>
                <c:pt idx="6">
                  <c:v>43.577408817283903</c:v>
                </c:pt>
                <c:pt idx="7">
                  <c:v>41.536440252834353</c:v>
                </c:pt>
                <c:pt idx="8">
                  <c:v>0</c:v>
                </c:pt>
                <c:pt idx="9">
                  <c:v>0</c:v>
                </c:pt>
                <c:pt idx="10">
                  <c:v>0</c:v>
                </c:pt>
                <c:pt idx="11">
                  <c:v>22.615998057928653</c:v>
                </c:pt>
                <c:pt idx="12">
                  <c:v>0.77155550680122864</c:v>
                </c:pt>
                <c:pt idx="13">
                  <c:v>7.1547840572556751</c:v>
                </c:pt>
                <c:pt idx="14">
                  <c:v>3.3528912633952985</c:v>
                </c:pt>
                <c:pt idx="15">
                  <c:v>0</c:v>
                </c:pt>
                <c:pt idx="16">
                  <c:v>0</c:v>
                </c:pt>
                <c:pt idx="17">
                  <c:v>0</c:v>
                </c:pt>
                <c:pt idx="18">
                  <c:v>0</c:v>
                </c:pt>
                <c:pt idx="19">
                  <c:v>0</c:v>
                </c:pt>
                <c:pt idx="20">
                  <c:v>0</c:v>
                </c:pt>
                <c:pt idx="21">
                  <c:v>0</c:v>
                </c:pt>
              </c:numCache>
            </c:numRef>
          </c:val>
        </c:ser>
        <c:ser>
          <c:idx val="3"/>
          <c:order val="3"/>
          <c:tx>
            <c:strRef>
              <c:f>'Rysunek 2'!$E$4</c:f>
              <c:strCache>
                <c:ptCount val="1"/>
                <c:pt idx="0">
                  <c:v>Majątkowe</c:v>
                </c:pt>
              </c:strCache>
            </c:strRef>
          </c:tx>
          <c:spPr>
            <a:pattFill prst="dkHorz">
              <a:fgClr>
                <a:schemeClr val="tx1"/>
              </a:fgClr>
              <a:bgClr>
                <a:schemeClr val="bg1"/>
              </a:bgClr>
            </a:pattFill>
            <a:ln>
              <a:noFill/>
            </a:ln>
            <a:effectLst/>
          </c:spPr>
          <c:invertIfNegative val="0"/>
          <c:cat>
            <c:strRef>
              <c:f>'Rysunek 2'!$A$5:$A$26</c:f>
              <c:strCache>
                <c:ptCount val="22"/>
                <c:pt idx="0">
                  <c:v>Hiszpania</c:v>
                </c:pt>
                <c:pt idx="1">
                  <c:v>Belgia</c:v>
                </c:pt>
                <c:pt idx="2">
                  <c:v>Niemcy</c:v>
                </c:pt>
                <c:pt idx="3">
                  <c:v>Austria</c:v>
                </c:pt>
                <c:pt idx="5">
                  <c:v>Szwecja</c:v>
                </c:pt>
                <c:pt idx="6">
                  <c:v>Dania</c:v>
                </c:pt>
                <c:pt idx="7">
                  <c:v>Finlandia</c:v>
                </c:pt>
                <c:pt idx="8">
                  <c:v>Francja</c:v>
                </c:pt>
                <c:pt idx="9">
                  <c:v>Luksemburg</c:v>
                </c:pt>
                <c:pt idx="10">
                  <c:v>Hiszpania</c:v>
                </c:pt>
                <c:pt idx="11">
                  <c:v>Belgia</c:v>
                </c:pt>
                <c:pt idx="12">
                  <c:v>Włochy</c:v>
                </c:pt>
                <c:pt idx="13">
                  <c:v>Niemcy</c:v>
                </c:pt>
                <c:pt idx="14">
                  <c:v>Portugalia</c:v>
                </c:pt>
                <c:pt idx="15">
                  <c:v>Węgry</c:v>
                </c:pt>
                <c:pt idx="16">
                  <c:v>Wielka Brytania</c:v>
                </c:pt>
                <c:pt idx="17">
                  <c:v>Holandia</c:v>
                </c:pt>
                <c:pt idx="18">
                  <c:v>Grecja</c:v>
                </c:pt>
                <c:pt idx="19">
                  <c:v>Republika Czech</c:v>
                </c:pt>
                <c:pt idx="20">
                  <c:v>Austria</c:v>
                </c:pt>
                <c:pt idx="21">
                  <c:v>Irlandia</c:v>
                </c:pt>
              </c:strCache>
            </c:strRef>
          </c:cat>
          <c:val>
            <c:numRef>
              <c:f>'Rysunek 2'!$E$5:$E$26</c:f>
              <c:numCache>
                <c:formatCode>General</c:formatCode>
                <c:ptCount val="22"/>
                <c:pt idx="0">
                  <c:v>14.894338366756189</c:v>
                </c:pt>
                <c:pt idx="1">
                  <c:v>10.434403369643075</c:v>
                </c:pt>
                <c:pt idx="2">
                  <c:v>1.7924681807960423</c:v>
                </c:pt>
                <c:pt idx="3">
                  <c:v>0</c:v>
                </c:pt>
                <c:pt idx="5">
                  <c:v>0</c:v>
                </c:pt>
                <c:pt idx="6">
                  <c:v>2.4706743683154428</c:v>
                </c:pt>
                <c:pt idx="7">
                  <c:v>2.4249958195378074</c:v>
                </c:pt>
                <c:pt idx="8">
                  <c:v>19.477419075691607</c:v>
                </c:pt>
                <c:pt idx="9">
                  <c:v>2.2676177492640592</c:v>
                </c:pt>
                <c:pt idx="10">
                  <c:v>20.085262371963882</c:v>
                </c:pt>
                <c:pt idx="11">
                  <c:v>5.7374991417614014</c:v>
                </c:pt>
                <c:pt idx="12">
                  <c:v>5.5948881088196574</c:v>
                </c:pt>
                <c:pt idx="13">
                  <c:v>6.3216159921026653</c:v>
                </c:pt>
                <c:pt idx="14">
                  <c:v>9.3131787995295454</c:v>
                </c:pt>
                <c:pt idx="15">
                  <c:v>2.1554974677889143</c:v>
                </c:pt>
                <c:pt idx="16">
                  <c:v>13.534556178418436</c:v>
                </c:pt>
                <c:pt idx="17">
                  <c:v>5.3392822483066604</c:v>
                </c:pt>
                <c:pt idx="18">
                  <c:v>5.3308816376165389</c:v>
                </c:pt>
                <c:pt idx="19">
                  <c:v>1.4169623022024753</c:v>
                </c:pt>
                <c:pt idx="20">
                  <c:v>0</c:v>
                </c:pt>
                <c:pt idx="21">
                  <c:v>0</c:v>
                </c:pt>
              </c:numCache>
            </c:numRef>
          </c:val>
        </c:ser>
        <c:ser>
          <c:idx val="4"/>
          <c:order val="4"/>
          <c:tx>
            <c:strRef>
              <c:f>'Rysunek 2'!$F$4</c:f>
              <c:strCache>
                <c:ptCount val="1"/>
                <c:pt idx="0">
                  <c:v>Pozostałe</c:v>
                </c:pt>
              </c:strCache>
            </c:strRef>
          </c:tx>
          <c:spPr>
            <a:pattFill prst="pct25">
              <a:fgClr>
                <a:schemeClr val="tx1"/>
              </a:fgClr>
              <a:bgClr>
                <a:schemeClr val="bg1"/>
              </a:bgClr>
            </a:pattFill>
            <a:ln>
              <a:noFill/>
            </a:ln>
            <a:effectLst/>
          </c:spPr>
          <c:invertIfNegative val="0"/>
          <c:cat>
            <c:strRef>
              <c:f>'Rysunek 2'!$A$5:$A$26</c:f>
              <c:strCache>
                <c:ptCount val="22"/>
                <c:pt idx="0">
                  <c:v>Hiszpania</c:v>
                </c:pt>
                <c:pt idx="1">
                  <c:v>Belgia</c:v>
                </c:pt>
                <c:pt idx="2">
                  <c:v>Niemcy</c:v>
                </c:pt>
                <c:pt idx="3">
                  <c:v>Austria</c:v>
                </c:pt>
                <c:pt idx="5">
                  <c:v>Szwecja</c:v>
                </c:pt>
                <c:pt idx="6">
                  <c:v>Dania</c:v>
                </c:pt>
                <c:pt idx="7">
                  <c:v>Finlandia</c:v>
                </c:pt>
                <c:pt idx="8">
                  <c:v>Francja</c:v>
                </c:pt>
                <c:pt idx="9">
                  <c:v>Luksemburg</c:v>
                </c:pt>
                <c:pt idx="10">
                  <c:v>Hiszpania</c:v>
                </c:pt>
                <c:pt idx="11">
                  <c:v>Belgia</c:v>
                </c:pt>
                <c:pt idx="12">
                  <c:v>Włochy</c:v>
                </c:pt>
                <c:pt idx="13">
                  <c:v>Niemcy</c:v>
                </c:pt>
                <c:pt idx="14">
                  <c:v>Portugalia</c:v>
                </c:pt>
                <c:pt idx="15">
                  <c:v>Węgry</c:v>
                </c:pt>
                <c:pt idx="16">
                  <c:v>Wielka Brytania</c:v>
                </c:pt>
                <c:pt idx="17">
                  <c:v>Holandia</c:v>
                </c:pt>
                <c:pt idx="18">
                  <c:v>Grecja</c:v>
                </c:pt>
                <c:pt idx="19">
                  <c:v>Republika Czech</c:v>
                </c:pt>
                <c:pt idx="20">
                  <c:v>Austria</c:v>
                </c:pt>
                <c:pt idx="21">
                  <c:v>Irlandia</c:v>
                </c:pt>
              </c:strCache>
            </c:strRef>
          </c:cat>
          <c:val>
            <c:numRef>
              <c:f>'Rysunek 2'!$F$5:$F$26</c:f>
              <c:numCache>
                <c:formatCode>General</c:formatCode>
                <c:ptCount val="22"/>
                <c:pt idx="0">
                  <c:v>0</c:v>
                </c:pt>
                <c:pt idx="1">
                  <c:v>0</c:v>
                </c:pt>
                <c:pt idx="2">
                  <c:v>0</c:v>
                </c:pt>
                <c:pt idx="3">
                  <c:v>0</c:v>
                </c:pt>
                <c:pt idx="5">
                  <c:v>0</c:v>
                </c:pt>
                <c:pt idx="6">
                  <c:v>0</c:v>
                </c:pt>
                <c:pt idx="7">
                  <c:v>0</c:v>
                </c:pt>
                <c:pt idx="8">
                  <c:v>14.148246301955163</c:v>
                </c:pt>
                <c:pt idx="9">
                  <c:v>0</c:v>
                </c:pt>
                <c:pt idx="10">
                  <c:v>0</c:v>
                </c:pt>
                <c:pt idx="11">
                  <c:v>0</c:v>
                </c:pt>
                <c:pt idx="12">
                  <c:v>11.984685932044949</c:v>
                </c:pt>
                <c:pt idx="13">
                  <c:v>0</c:v>
                </c:pt>
                <c:pt idx="14">
                  <c:v>0</c:v>
                </c:pt>
                <c:pt idx="15">
                  <c:v>4.1415671870180019E-2</c:v>
                </c:pt>
                <c:pt idx="16">
                  <c:v>0</c:v>
                </c:pt>
                <c:pt idx="17">
                  <c:v>0</c:v>
                </c:pt>
                <c:pt idx="18">
                  <c:v>0</c:v>
                </c:pt>
                <c:pt idx="19">
                  <c:v>0</c:v>
                </c:pt>
                <c:pt idx="20">
                  <c:v>0</c:v>
                </c:pt>
                <c:pt idx="21">
                  <c:v>0</c:v>
                </c:pt>
              </c:numCache>
            </c:numRef>
          </c:val>
        </c:ser>
        <c:dLbls>
          <c:showLegendKey val="0"/>
          <c:showVal val="0"/>
          <c:showCatName val="0"/>
          <c:showSerName val="0"/>
          <c:showPercent val="0"/>
          <c:showBubbleSize val="0"/>
        </c:dLbls>
        <c:gapWidth val="150"/>
        <c:overlap val="100"/>
        <c:axId val="260284128"/>
        <c:axId val="260279816"/>
      </c:barChart>
      <c:catAx>
        <c:axId val="2602841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mn-cs"/>
              </a:defRPr>
            </a:pPr>
            <a:endParaRPr lang="pl-PL"/>
          </a:p>
        </c:txPr>
        <c:crossAx val="260279816"/>
        <c:crosses val="autoZero"/>
        <c:auto val="1"/>
        <c:lblAlgn val="ctr"/>
        <c:lblOffset val="100"/>
        <c:noMultiLvlLbl val="0"/>
      </c:catAx>
      <c:valAx>
        <c:axId val="2602798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260284128"/>
        <c:crosses val="autoZero"/>
        <c:crossBetween val="between"/>
      </c:valAx>
      <c:spPr>
        <a:noFill/>
        <a:ln>
          <a:noFill/>
        </a:ln>
        <a:effectLst/>
      </c:spPr>
    </c:plotArea>
    <c:legend>
      <c:legendPos val="r"/>
      <c:layout>
        <c:manualLayout>
          <c:xMode val="edge"/>
          <c:yMode val="edge"/>
          <c:x val="0.8113236138451444"/>
          <c:y val="0.3119867384997928"/>
          <c:w val="0.17305138615485563"/>
          <c:h val="0.38538287977160751"/>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D301CA-0838-4910-9771-1B28E8CC2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3956</TotalTime>
  <Pages>10</Pages>
  <Words>3297</Words>
  <Characters>19782</Characters>
  <Application>Microsoft Office Word</Application>
  <DocSecurity>0</DocSecurity>
  <Lines>164</Lines>
  <Paragraphs>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Wyszkowska Dorota</dc:creator>
  <cp:keywords/>
  <dc:description/>
  <cp:lastModifiedBy>Wyszkowska Dorota</cp:lastModifiedBy>
  <cp:revision>19</cp:revision>
  <dcterms:created xsi:type="dcterms:W3CDTF">2017-07-05T17:45:00Z</dcterms:created>
  <dcterms:modified xsi:type="dcterms:W3CDTF">2017-07-09T16:37:00Z</dcterms:modified>
</cp:coreProperties>
</file>