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A7" w:rsidRPr="007E78E6" w:rsidRDefault="007A4CA7" w:rsidP="007A4CA7">
      <w:pPr>
        <w:spacing w:after="0" w:line="360" w:lineRule="auto"/>
        <w:rPr>
          <w:rFonts w:ascii="Times New Roman" w:hAnsi="Times New Roman"/>
          <w:b/>
          <w:sz w:val="20"/>
        </w:rPr>
      </w:pPr>
      <w:r w:rsidRPr="007E78E6">
        <w:rPr>
          <w:rFonts w:ascii="Times New Roman" w:hAnsi="Times New Roman"/>
          <w:b/>
          <w:sz w:val="20"/>
        </w:rPr>
        <w:t>Joanna Błach</w:t>
      </w:r>
    </w:p>
    <w:p w:rsidR="007A4CA7" w:rsidRPr="007E78E6" w:rsidRDefault="007A4CA7" w:rsidP="007A4CA7">
      <w:pPr>
        <w:spacing w:after="0" w:line="360" w:lineRule="auto"/>
        <w:rPr>
          <w:rFonts w:ascii="Times New Roman" w:hAnsi="Times New Roman"/>
          <w:b/>
          <w:sz w:val="20"/>
        </w:rPr>
      </w:pPr>
      <w:r w:rsidRPr="007E78E6">
        <w:rPr>
          <w:rFonts w:ascii="Times New Roman" w:hAnsi="Times New Roman"/>
          <w:b/>
          <w:sz w:val="20"/>
        </w:rPr>
        <w:t>Monika Wieczorek-Kosmala</w:t>
      </w:r>
    </w:p>
    <w:p w:rsidR="007A4CA7" w:rsidRDefault="007A4CA7" w:rsidP="007A4CA7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Uniwersytet Ekonomiczny w Katowicach, </w:t>
      </w:r>
    </w:p>
    <w:p w:rsidR="007A4CA7" w:rsidRDefault="007A4CA7" w:rsidP="007A4CA7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Wydział Finansów i Ubezpieczeń, </w:t>
      </w:r>
    </w:p>
    <w:p w:rsidR="007A4CA7" w:rsidRPr="001643F9" w:rsidRDefault="007A4CA7" w:rsidP="007A4CA7">
      <w:pPr>
        <w:spacing w:after="0"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Katedra Finansów Przedsiębiorstw i Ubezpieczeń Gospodarczych</w:t>
      </w:r>
    </w:p>
    <w:p w:rsidR="007A4CA7" w:rsidRPr="001643F9" w:rsidRDefault="007A4CA7" w:rsidP="007A4CA7">
      <w:pPr>
        <w:spacing w:after="0" w:line="360" w:lineRule="auto"/>
        <w:jc w:val="center"/>
        <w:rPr>
          <w:rFonts w:ascii="Times New Roman" w:hAnsi="Times New Roman"/>
          <w:sz w:val="20"/>
        </w:rPr>
      </w:pPr>
    </w:p>
    <w:p w:rsidR="007A4CA7" w:rsidRPr="001643F9" w:rsidRDefault="007A4CA7" w:rsidP="007A4CA7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7A4CA7" w:rsidRDefault="007A4CA7" w:rsidP="007A4CA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Odpowiedź na recenzję artykułu</w:t>
      </w:r>
    </w:p>
    <w:p w:rsidR="007A4CA7" w:rsidRPr="004145F0" w:rsidRDefault="007A4CA7" w:rsidP="007A4CA7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pt. „</w:t>
      </w:r>
      <w:r w:rsidRPr="004145F0">
        <w:rPr>
          <w:rFonts w:ascii="Times New Roman" w:hAnsi="Times New Roman"/>
          <w:sz w:val="28"/>
        </w:rPr>
        <w:t>Konwergencja rynku kapitałowego i ubezpieczeniowego – identyfikacja impulsów</w:t>
      </w:r>
      <w:r>
        <w:rPr>
          <w:rFonts w:ascii="Times New Roman" w:hAnsi="Times New Roman"/>
          <w:sz w:val="28"/>
        </w:rPr>
        <w:t>”</w:t>
      </w:r>
    </w:p>
    <w:p w:rsidR="007A4CA7" w:rsidRPr="007A4CA7" w:rsidRDefault="007A4CA7" w:rsidP="007A4CA7">
      <w:pPr>
        <w:spacing w:after="0" w:line="360" w:lineRule="auto"/>
        <w:jc w:val="center"/>
        <w:rPr>
          <w:rFonts w:ascii="Times New Roman" w:hAnsi="Times New Roman"/>
          <w:sz w:val="20"/>
          <w:lang w:val="en-US"/>
        </w:rPr>
      </w:pPr>
      <w:r w:rsidRPr="007A4CA7">
        <w:rPr>
          <w:rFonts w:ascii="Times New Roman" w:hAnsi="Times New Roman"/>
          <w:sz w:val="20"/>
          <w:lang w:val="en-US"/>
        </w:rPr>
        <w:t>(The convergence of capital and insurance markets – identification of drivers</w:t>
      </w:r>
      <w:r>
        <w:rPr>
          <w:rFonts w:ascii="Times New Roman" w:hAnsi="Times New Roman"/>
          <w:sz w:val="20"/>
          <w:lang w:val="en-US"/>
        </w:rPr>
        <w:t>)</w:t>
      </w:r>
    </w:p>
    <w:p w:rsidR="007A4CA7" w:rsidRDefault="007A4CA7">
      <w:pPr>
        <w:rPr>
          <w:lang w:val="en-US"/>
        </w:rPr>
      </w:pPr>
    </w:p>
    <w:p w:rsidR="007A4CA7" w:rsidRPr="007A4CA7" w:rsidRDefault="007A4CA7" w:rsidP="00DA7B1C">
      <w:pPr>
        <w:spacing w:after="0" w:line="360" w:lineRule="auto"/>
        <w:ind w:firstLine="708"/>
        <w:jc w:val="both"/>
        <w:rPr>
          <w:rFonts w:ascii="Times New Roman" w:hAnsi="Times New Roman"/>
          <w:sz w:val="20"/>
        </w:rPr>
      </w:pPr>
      <w:r w:rsidRPr="007A4CA7">
        <w:rPr>
          <w:rFonts w:ascii="Times New Roman" w:hAnsi="Times New Roman"/>
          <w:sz w:val="20"/>
        </w:rPr>
        <w:t>Autorki pragną gorąco podziękować Recenzentom za cenne uwagi ujęte w obu recenzjach artykułu. Uwagi te przede wszystkim pozwoliły na uporządkowanie terminologii stosowanej w pracy, co zazwyczaj jest sporą trudnością przy podejmowaniu tematyki znanej na świecie, lecz relatywnie w niewielkim stopniu opisanej w źródłach polskich. Wymaga to kompromisów terminologicznych, uwzględniających z jednej strony zgodność pojęć z terminami anglojęzycznymi, a z drugiej – z terminami stosowanymi w pracach polskich.</w:t>
      </w:r>
    </w:p>
    <w:p w:rsidR="007A4CA7" w:rsidRDefault="007A4CA7" w:rsidP="00DA7B1C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:rsidR="007A4CA7" w:rsidRDefault="00DA7B1C" w:rsidP="00DA7B1C">
      <w:p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Poniżej przedstawiono</w:t>
      </w:r>
      <w:r w:rsidR="007A4CA7" w:rsidRPr="007A4CA7">
        <w:rPr>
          <w:rFonts w:ascii="Times New Roman" w:hAnsi="Times New Roman"/>
          <w:sz w:val="20"/>
        </w:rPr>
        <w:t xml:space="preserve"> ustosunkowanie się do wszystkich uwag ujętych w obu recenzjach:</w:t>
      </w:r>
    </w:p>
    <w:p w:rsidR="0087718D" w:rsidRDefault="00AD14A4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AD14A4">
        <w:rPr>
          <w:rFonts w:ascii="Times New Roman" w:hAnsi="Times New Roman"/>
          <w:b/>
          <w:sz w:val="20"/>
        </w:rPr>
        <w:t>Uwagi dotyczące oceny problematyki (cz. I Recenzji)</w:t>
      </w:r>
    </w:p>
    <w:p w:rsidR="0087718D" w:rsidRPr="00AD14A4" w:rsidRDefault="00DA7B1C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Recenzja nr</w:t>
      </w:r>
      <w:r w:rsidR="0087718D">
        <w:rPr>
          <w:rFonts w:ascii="Times New Roman" w:hAnsi="Times New Roman"/>
          <w:b/>
          <w:sz w:val="20"/>
        </w:rPr>
        <w:t xml:space="preserve"> 1. </w:t>
      </w:r>
    </w:p>
    <w:p w:rsidR="007A4CA7" w:rsidRDefault="007A4CA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wątpliwości dotyczące używania s</w:t>
      </w:r>
      <w:r w:rsidR="004901A4">
        <w:rPr>
          <w:rFonts w:ascii="Times New Roman" w:hAnsi="Times New Roman"/>
          <w:sz w:val="20"/>
        </w:rPr>
        <w:t>ł</w:t>
      </w:r>
      <w:r>
        <w:rPr>
          <w:rFonts w:ascii="Times New Roman" w:hAnsi="Times New Roman"/>
          <w:sz w:val="20"/>
        </w:rPr>
        <w:t>ów „konwergencja” oraz „impulsy” w tytule referatu oraz w treści opracowania</w:t>
      </w:r>
    </w:p>
    <w:p w:rsidR="007A4CA7" w:rsidRDefault="007A4CA7" w:rsidP="00DA7B1C">
      <w:pPr>
        <w:pStyle w:val="Akapitzlist"/>
        <w:spacing w:after="0" w:line="360" w:lineRule="auto"/>
        <w:jc w:val="both"/>
        <w:rPr>
          <w:rFonts w:ascii="Times New Roman" w:hAnsi="Times New Roman"/>
          <w:sz w:val="20"/>
        </w:rPr>
      </w:pPr>
      <w:r w:rsidRPr="007A4CA7">
        <w:rPr>
          <w:rFonts w:ascii="Times New Roman" w:hAnsi="Times New Roman"/>
          <w:b/>
          <w:sz w:val="20"/>
        </w:rPr>
        <w:t>słowo „impuls</w:t>
      </w:r>
      <w:r>
        <w:rPr>
          <w:rFonts w:ascii="Times New Roman" w:hAnsi="Times New Roman"/>
          <w:sz w:val="20"/>
        </w:rPr>
        <w:t xml:space="preserve">” – zostało zmienione na </w:t>
      </w:r>
      <w:r w:rsidR="00DA7B1C">
        <w:rPr>
          <w:rFonts w:ascii="Times New Roman" w:hAnsi="Times New Roman"/>
          <w:sz w:val="20"/>
        </w:rPr>
        <w:t>„czynniki”, zgodnie z sugestią R</w:t>
      </w:r>
      <w:r>
        <w:rPr>
          <w:rFonts w:ascii="Times New Roman" w:hAnsi="Times New Roman"/>
          <w:sz w:val="20"/>
        </w:rPr>
        <w:t xml:space="preserve">ecenzenta (jednak w tłumaczeniu tytułu na </w:t>
      </w:r>
      <w:proofErr w:type="spellStart"/>
      <w:r>
        <w:rPr>
          <w:rFonts w:ascii="Times New Roman" w:hAnsi="Times New Roman"/>
          <w:sz w:val="20"/>
        </w:rPr>
        <w:t>j.angielski</w:t>
      </w:r>
      <w:proofErr w:type="spellEnd"/>
      <w:r>
        <w:rPr>
          <w:rFonts w:ascii="Times New Roman" w:hAnsi="Times New Roman"/>
          <w:sz w:val="20"/>
        </w:rPr>
        <w:t xml:space="preserve"> pozostawiono „</w:t>
      </w:r>
      <w:proofErr w:type="spellStart"/>
      <w:r>
        <w:rPr>
          <w:rFonts w:ascii="Times New Roman" w:hAnsi="Times New Roman"/>
          <w:sz w:val="20"/>
        </w:rPr>
        <w:t>drivers</w:t>
      </w:r>
      <w:proofErr w:type="spellEnd"/>
      <w:r>
        <w:rPr>
          <w:rFonts w:ascii="Times New Roman" w:hAnsi="Times New Roman"/>
          <w:sz w:val="20"/>
        </w:rPr>
        <w:t>”)</w:t>
      </w:r>
    </w:p>
    <w:p w:rsidR="007A4CA7" w:rsidRDefault="007A4CA7" w:rsidP="00DA7B1C">
      <w:pPr>
        <w:pStyle w:val="Akapitzlist"/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słowo „konwergencja” – autorki zdecydowały o pozostawieniu tego określenia z następujących powodów:</w:t>
      </w:r>
    </w:p>
    <w:p w:rsidR="007A4CA7" w:rsidRDefault="007A4CA7" w:rsidP="00DA7B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źródła anglojęzyczne, które odnoszą się do tego problemu operują słowem „</w:t>
      </w:r>
      <w:proofErr w:type="spellStart"/>
      <w:r>
        <w:rPr>
          <w:rFonts w:ascii="Times New Roman" w:hAnsi="Times New Roman"/>
          <w:sz w:val="20"/>
        </w:rPr>
        <w:t>convergence</w:t>
      </w:r>
      <w:proofErr w:type="spellEnd"/>
      <w:r>
        <w:rPr>
          <w:rFonts w:ascii="Times New Roman" w:hAnsi="Times New Roman"/>
          <w:sz w:val="20"/>
        </w:rPr>
        <w:t xml:space="preserve"> of insurance and capital </w:t>
      </w:r>
      <w:proofErr w:type="spellStart"/>
      <w:r>
        <w:rPr>
          <w:rFonts w:ascii="Times New Roman" w:hAnsi="Times New Roman"/>
          <w:sz w:val="20"/>
        </w:rPr>
        <w:t>markets</w:t>
      </w:r>
      <w:proofErr w:type="spellEnd"/>
      <w:r>
        <w:rPr>
          <w:rFonts w:ascii="Times New Roman" w:hAnsi="Times New Roman"/>
          <w:sz w:val="20"/>
        </w:rPr>
        <w:t>”, w związku z tym gdyby określenie to zastąpić sugerowanym w Recenzji słowem „integracja” należałoby oczekiwać, że w źródłach angielskich mowa</w:t>
      </w:r>
      <w:r w:rsidR="004901A4">
        <w:rPr>
          <w:rFonts w:ascii="Times New Roman" w:hAnsi="Times New Roman"/>
          <w:sz w:val="20"/>
        </w:rPr>
        <w:t xml:space="preserve"> będzie</w:t>
      </w:r>
      <w:r>
        <w:rPr>
          <w:rFonts w:ascii="Times New Roman" w:hAnsi="Times New Roman"/>
          <w:sz w:val="20"/>
        </w:rPr>
        <w:t xml:space="preserve"> również o „</w:t>
      </w:r>
      <w:proofErr w:type="spellStart"/>
      <w:r>
        <w:rPr>
          <w:rFonts w:ascii="Times New Roman" w:hAnsi="Times New Roman"/>
          <w:sz w:val="20"/>
        </w:rPr>
        <w:t>integration</w:t>
      </w:r>
      <w:proofErr w:type="spellEnd"/>
      <w:r>
        <w:rPr>
          <w:rFonts w:ascii="Times New Roman" w:hAnsi="Times New Roman"/>
          <w:sz w:val="20"/>
        </w:rPr>
        <w:t xml:space="preserve"> of insurance and capital </w:t>
      </w:r>
      <w:proofErr w:type="spellStart"/>
      <w:r>
        <w:rPr>
          <w:rFonts w:ascii="Times New Roman" w:hAnsi="Times New Roman"/>
          <w:sz w:val="20"/>
        </w:rPr>
        <w:t>markets</w:t>
      </w:r>
      <w:proofErr w:type="spellEnd"/>
      <w:r>
        <w:rPr>
          <w:rFonts w:ascii="Times New Roman" w:hAnsi="Times New Roman"/>
          <w:sz w:val="20"/>
        </w:rPr>
        <w:t xml:space="preserve">”. Ponieważ nie </w:t>
      </w:r>
      <w:r w:rsidR="00DA7B1C">
        <w:rPr>
          <w:rFonts w:ascii="Times New Roman" w:hAnsi="Times New Roman"/>
          <w:sz w:val="20"/>
        </w:rPr>
        <w:t>spotkano w piśmiennictwie anglojęzycznym takiej kolokacji</w:t>
      </w:r>
      <w:r>
        <w:rPr>
          <w:rFonts w:ascii="Times New Roman" w:hAnsi="Times New Roman"/>
          <w:sz w:val="20"/>
        </w:rPr>
        <w:t>, w obliczu wszechobecności kolokacji ze sło</w:t>
      </w:r>
      <w:r w:rsidR="00DA7B1C">
        <w:rPr>
          <w:rFonts w:ascii="Times New Roman" w:hAnsi="Times New Roman"/>
          <w:sz w:val="20"/>
        </w:rPr>
        <w:t>wem „</w:t>
      </w:r>
      <w:proofErr w:type="spellStart"/>
      <w:r w:rsidR="00DA7B1C">
        <w:rPr>
          <w:rFonts w:ascii="Times New Roman" w:hAnsi="Times New Roman"/>
          <w:sz w:val="20"/>
        </w:rPr>
        <w:t>convergence</w:t>
      </w:r>
      <w:proofErr w:type="spellEnd"/>
      <w:r w:rsidR="00DA7B1C">
        <w:rPr>
          <w:rFonts w:ascii="Times New Roman" w:hAnsi="Times New Roman"/>
          <w:sz w:val="20"/>
        </w:rPr>
        <w:t>”, zdecydowano</w:t>
      </w:r>
      <w:r>
        <w:rPr>
          <w:rFonts w:ascii="Times New Roman" w:hAnsi="Times New Roman"/>
          <w:sz w:val="20"/>
        </w:rPr>
        <w:t xml:space="preserve"> się pozostawić określenie „konwergencja” i „proces konwergencji”</w:t>
      </w:r>
    </w:p>
    <w:p w:rsidR="00E4331E" w:rsidRDefault="007A4CA7" w:rsidP="00DA7B1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uwaga, iż </w:t>
      </w:r>
      <w:r w:rsidR="00E4331E">
        <w:rPr>
          <w:rFonts w:ascii="Times New Roman" w:hAnsi="Times New Roman"/>
          <w:sz w:val="20"/>
        </w:rPr>
        <w:t xml:space="preserve">słowo „konwergencja” nie jest właściwe dlatego, że cyt. „w ekonomii badanie </w:t>
      </w:r>
      <w:r w:rsidR="00DA7B1C">
        <w:rPr>
          <w:rFonts w:ascii="Times New Roman" w:hAnsi="Times New Roman"/>
          <w:sz w:val="20"/>
        </w:rPr>
        <w:t>konwergencji wiąże się z ilościową</w:t>
      </w:r>
      <w:r w:rsidR="00E4331E">
        <w:rPr>
          <w:rFonts w:ascii="Times New Roman" w:hAnsi="Times New Roman"/>
          <w:sz w:val="20"/>
        </w:rPr>
        <w:t xml:space="preserve"> weryfikacją występowania zbieżności” i dalsze przywołanie pracy Sala</w:t>
      </w:r>
      <w:r w:rsidR="004901A4">
        <w:rPr>
          <w:rFonts w:ascii="Times New Roman" w:hAnsi="Times New Roman"/>
          <w:sz w:val="20"/>
        </w:rPr>
        <w:t>-</w:t>
      </w:r>
      <w:r w:rsidR="00E4331E">
        <w:rPr>
          <w:rFonts w:ascii="Times New Roman" w:hAnsi="Times New Roman"/>
          <w:sz w:val="20"/>
        </w:rPr>
        <w:t>i</w:t>
      </w:r>
      <w:r w:rsidR="004901A4">
        <w:rPr>
          <w:rFonts w:ascii="Times New Roman" w:hAnsi="Times New Roman"/>
          <w:sz w:val="20"/>
        </w:rPr>
        <w:t>-</w:t>
      </w:r>
      <w:r w:rsidR="00E4331E">
        <w:rPr>
          <w:rFonts w:ascii="Times New Roman" w:hAnsi="Times New Roman"/>
          <w:sz w:val="20"/>
        </w:rPr>
        <w:t xml:space="preserve">Martin, 1996 wskazuje </w:t>
      </w:r>
      <w:r w:rsidR="00EB4576">
        <w:rPr>
          <w:rFonts w:ascii="Times New Roman" w:hAnsi="Times New Roman"/>
          <w:sz w:val="20"/>
        </w:rPr>
        <w:t>w ocenie Autorek</w:t>
      </w:r>
      <w:r w:rsidR="00E4331E">
        <w:rPr>
          <w:rFonts w:ascii="Times New Roman" w:hAnsi="Times New Roman"/>
          <w:sz w:val="20"/>
        </w:rPr>
        <w:t>, że Recenzent kierował się takim właśn</w:t>
      </w:r>
      <w:r w:rsidR="00DA7B1C">
        <w:rPr>
          <w:rFonts w:ascii="Times New Roman" w:hAnsi="Times New Roman"/>
          <w:sz w:val="20"/>
        </w:rPr>
        <w:t>ie rozumieniem tego określenia,</w:t>
      </w:r>
      <w:r w:rsidR="00E4331E">
        <w:rPr>
          <w:rFonts w:ascii="Times New Roman" w:hAnsi="Times New Roman"/>
          <w:sz w:val="20"/>
        </w:rPr>
        <w:t xml:space="preserve"> podczas gdy w dyscyplinie finansów od ok. 2000 r. pisze się o konwergencji rynku ubezpieczeniowego i finansowego jako nowym zjawisku. W ocenie autorek </w:t>
      </w:r>
      <w:r w:rsidR="00E4331E">
        <w:rPr>
          <w:rFonts w:ascii="Times New Roman" w:hAnsi="Times New Roman"/>
          <w:sz w:val="20"/>
        </w:rPr>
        <w:lastRenderedPageBreak/>
        <w:t>zamiana tego określenia dla kręgu osób tak postrzegających tę tematykę</w:t>
      </w:r>
      <w:r w:rsidR="00DA7B1C">
        <w:rPr>
          <w:rFonts w:ascii="Times New Roman" w:hAnsi="Times New Roman"/>
          <w:sz w:val="20"/>
        </w:rPr>
        <w:t xml:space="preserve"> mogłaby</w:t>
      </w:r>
      <w:r w:rsidR="00E4331E">
        <w:rPr>
          <w:rFonts w:ascii="Times New Roman" w:hAnsi="Times New Roman"/>
          <w:sz w:val="20"/>
        </w:rPr>
        <w:t xml:space="preserve"> wp</w:t>
      </w:r>
      <w:r w:rsidR="00DA7B1C">
        <w:rPr>
          <w:rFonts w:ascii="Times New Roman" w:hAnsi="Times New Roman"/>
          <w:sz w:val="20"/>
        </w:rPr>
        <w:t>rowadzić</w:t>
      </w:r>
      <w:r w:rsidR="00E4331E">
        <w:rPr>
          <w:rFonts w:ascii="Times New Roman" w:hAnsi="Times New Roman"/>
          <w:sz w:val="20"/>
        </w:rPr>
        <w:t xml:space="preserve"> pewien szum informacyjny, stąd lepiej pozostać przy utartym j</w:t>
      </w:r>
      <w:r w:rsidR="0087718D">
        <w:rPr>
          <w:rFonts w:ascii="Times New Roman" w:hAnsi="Times New Roman"/>
          <w:sz w:val="20"/>
        </w:rPr>
        <w:t>uż w pewnym stopniu określeniu.</w:t>
      </w:r>
    </w:p>
    <w:p w:rsidR="0087718D" w:rsidRPr="0087718D" w:rsidRDefault="0087718D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87718D">
        <w:rPr>
          <w:rFonts w:ascii="Times New Roman" w:hAnsi="Times New Roman"/>
          <w:b/>
          <w:sz w:val="20"/>
        </w:rPr>
        <w:t>Recenzja nr 2</w:t>
      </w:r>
      <w:r w:rsidR="00DA7B1C">
        <w:rPr>
          <w:rFonts w:ascii="Times New Roman" w:hAnsi="Times New Roman"/>
          <w:b/>
          <w:sz w:val="20"/>
        </w:rPr>
        <w:t>.</w:t>
      </w:r>
    </w:p>
    <w:p w:rsidR="007A4CA7" w:rsidRDefault="00E4331E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Autor drugiej Recenzji wskazuje, iż „konwergencja rynków finansowych to temat i terminologia z lat 60-70” oraz wskazuje, że temat należy zmodyfikować gdyż praca jest o tworzeniu instrumentów. Z tą uwagą trudno się zgodzić (a tym samym trudno się do niej ustosunkować wprowadzając zmiany)  z dwóch zasadniczych powodów:  </w:t>
      </w:r>
    </w:p>
    <w:p w:rsidR="00E4331E" w:rsidRDefault="00E4331E" w:rsidP="00DA7B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jak wskazano wyżej, o procesie konwergencji rynku ubezpieczeniowego i kapitałowego pisze się na świecie w ostatnim okresie (od ok. 2000 r., kiedy to pojawiły się pierwsze prace porządkujące prz</w:t>
      </w:r>
      <w:r w:rsidR="00DA7B1C">
        <w:rPr>
          <w:rFonts w:ascii="Times New Roman" w:hAnsi="Times New Roman"/>
          <w:sz w:val="20"/>
        </w:rPr>
        <w:t>esłanki i skutki tego zjawiska)</w:t>
      </w:r>
      <w:r w:rsidR="004901A4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>Co więcej, konwergencja o której tutaj mowa</w:t>
      </w:r>
      <w:r w:rsidR="004901A4">
        <w:rPr>
          <w:rFonts w:ascii="Times New Roman" w:hAnsi="Times New Roman"/>
          <w:sz w:val="20"/>
        </w:rPr>
        <w:t xml:space="preserve"> (zbliżanie się rynku kapitałowego i ubezpieczeniowego)</w:t>
      </w:r>
      <w:r>
        <w:rPr>
          <w:rFonts w:ascii="Times New Roman" w:hAnsi="Times New Roman"/>
          <w:sz w:val="20"/>
        </w:rPr>
        <w:t xml:space="preserve"> zasadza się na stosowaniu mechanizmu sekurytyzacji ryzyka, który również datuje się na p</w:t>
      </w:r>
      <w:r w:rsidR="004901A4">
        <w:rPr>
          <w:rFonts w:ascii="Times New Roman" w:hAnsi="Times New Roman"/>
          <w:sz w:val="20"/>
        </w:rPr>
        <w:t>óźniejszy okres. W tym też znaczeniu użyto w referacie pojęcia „konwergencja”. Jednocześnie autorki mają świadomość różnych znaczeń tego terminu w teorii ekonomii, np.  w ramach teorii konwergencji i „efektu doganiania” krajów bogatszych przez kraje o niższym dochodzie na mieszkańca.</w:t>
      </w:r>
    </w:p>
    <w:p w:rsidR="00196242" w:rsidRDefault="00AD14A4" w:rsidP="00DA7B1C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nie jest zrozumiałym, dlaczego Recenzent uznał, iż praca jest o instrumentach – praca konsekwentnie od początku wskazuje na przesłanki pewnych zjawisk, </w:t>
      </w:r>
      <w:r w:rsidR="00196242">
        <w:rPr>
          <w:rFonts w:ascii="Times New Roman" w:hAnsi="Times New Roman"/>
          <w:sz w:val="20"/>
        </w:rPr>
        <w:t>a w punkcie wprowadzającym zawiera wyraźne stwierdzenie: „</w:t>
      </w:r>
      <w:r w:rsidR="00196242" w:rsidRPr="00196242">
        <w:rPr>
          <w:rFonts w:ascii="Times New Roman" w:hAnsi="Times New Roman"/>
          <w:sz w:val="20"/>
        </w:rPr>
        <w:t>Ponieważ w artykule sko</w:t>
      </w:r>
      <w:r w:rsidR="00DA7B1C">
        <w:rPr>
          <w:rFonts w:ascii="Times New Roman" w:hAnsi="Times New Roman"/>
          <w:sz w:val="20"/>
        </w:rPr>
        <w:t>ncentrowano się na identyfikację</w:t>
      </w:r>
      <w:r w:rsidR="00196242" w:rsidRPr="00196242">
        <w:rPr>
          <w:rFonts w:ascii="Times New Roman" w:hAnsi="Times New Roman"/>
          <w:sz w:val="20"/>
        </w:rPr>
        <w:t xml:space="preserve"> impulsów procesu konwergencji, problematyka rodzajów i funkcjonowania ILS wykracza poza zakres tematyczny opracowania (instrumenty te zostały szeroko omówione min. w: [</w:t>
      </w:r>
      <w:proofErr w:type="spellStart"/>
      <w:r w:rsidR="00196242" w:rsidRPr="00196242">
        <w:rPr>
          <w:rFonts w:ascii="Times New Roman" w:hAnsi="Times New Roman"/>
          <w:sz w:val="20"/>
        </w:rPr>
        <w:t>Cummins</w:t>
      </w:r>
      <w:proofErr w:type="spellEnd"/>
      <w:r w:rsidR="00196242" w:rsidRPr="00196242">
        <w:rPr>
          <w:rFonts w:ascii="Times New Roman" w:hAnsi="Times New Roman"/>
          <w:sz w:val="20"/>
        </w:rPr>
        <w:t xml:space="preserve">, Weiss, 2009, s. 506 i nast.; </w:t>
      </w:r>
      <w:proofErr w:type="spellStart"/>
      <w:r w:rsidR="00196242" w:rsidRPr="00196242">
        <w:rPr>
          <w:rFonts w:ascii="Times New Roman" w:hAnsi="Times New Roman"/>
          <w:sz w:val="20"/>
        </w:rPr>
        <w:t>Barrieu</w:t>
      </w:r>
      <w:proofErr w:type="spellEnd"/>
      <w:r w:rsidR="00196242" w:rsidRPr="00196242">
        <w:rPr>
          <w:rFonts w:ascii="Times New Roman" w:hAnsi="Times New Roman"/>
          <w:sz w:val="20"/>
        </w:rPr>
        <w:t xml:space="preserve">, </w:t>
      </w:r>
      <w:proofErr w:type="spellStart"/>
      <w:r w:rsidR="00196242" w:rsidRPr="00196242">
        <w:rPr>
          <w:rFonts w:ascii="Times New Roman" w:hAnsi="Times New Roman"/>
          <w:sz w:val="20"/>
        </w:rPr>
        <w:t>Albertini</w:t>
      </w:r>
      <w:proofErr w:type="spellEnd"/>
      <w:r w:rsidR="00196242" w:rsidRPr="00196242">
        <w:rPr>
          <w:rFonts w:ascii="Times New Roman" w:hAnsi="Times New Roman"/>
          <w:sz w:val="20"/>
        </w:rPr>
        <w:t>, 2009; Weber, 2011; Błach i in., 2014, s. 413-424])</w:t>
      </w:r>
      <w:r w:rsidR="00E713D7">
        <w:rPr>
          <w:rFonts w:ascii="Times New Roman" w:hAnsi="Times New Roman"/>
          <w:sz w:val="20"/>
        </w:rPr>
        <w:t>”</w:t>
      </w:r>
      <w:r w:rsidR="00196242" w:rsidRPr="00196242">
        <w:rPr>
          <w:rFonts w:ascii="Times New Roman" w:hAnsi="Times New Roman"/>
          <w:sz w:val="20"/>
        </w:rPr>
        <w:t>.</w:t>
      </w:r>
      <w:r w:rsidR="00196242">
        <w:rPr>
          <w:rFonts w:ascii="Times New Roman" w:hAnsi="Times New Roman"/>
          <w:sz w:val="20"/>
        </w:rPr>
        <w:t xml:space="preserve"> Kontekst instrumentów jest jedynie wywołany w części wprowadzającej i dalej od tego miejsca Autorki konsekwentnie opisują czynniki rozwoju procesu konwergencji obu rynków. </w:t>
      </w:r>
    </w:p>
    <w:p w:rsidR="00AD14A4" w:rsidRDefault="00AD14A4" w:rsidP="00DA7B1C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:rsidR="00AD14A4" w:rsidRDefault="00AD14A4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AD14A4">
        <w:rPr>
          <w:rFonts w:ascii="Times New Roman" w:hAnsi="Times New Roman"/>
          <w:b/>
          <w:sz w:val="20"/>
        </w:rPr>
        <w:t>Uwagi dotyczące oceny merytorycznej treści (cz. II Recenzji)</w:t>
      </w:r>
    </w:p>
    <w:p w:rsidR="0087718D" w:rsidRPr="00AD14A4" w:rsidRDefault="0087718D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Recenzja nr 1</w:t>
      </w:r>
      <w:r w:rsidR="00DA7B1C">
        <w:rPr>
          <w:rFonts w:ascii="Times New Roman" w:hAnsi="Times New Roman"/>
          <w:b/>
          <w:sz w:val="20"/>
        </w:rPr>
        <w:t>.</w:t>
      </w:r>
    </w:p>
    <w:p w:rsidR="007A4CA7" w:rsidRDefault="007A4CA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7A4CA7">
        <w:rPr>
          <w:rFonts w:ascii="Times New Roman" w:hAnsi="Times New Roman"/>
          <w:sz w:val="20"/>
        </w:rPr>
        <w:t xml:space="preserve"> </w:t>
      </w:r>
      <w:r w:rsidR="00AD14A4">
        <w:rPr>
          <w:rFonts w:ascii="Times New Roman" w:hAnsi="Times New Roman"/>
          <w:sz w:val="20"/>
        </w:rPr>
        <w:t xml:space="preserve">dyskusyjność podziału impulsów na specyficzne i niespecyficzne. </w:t>
      </w:r>
    </w:p>
    <w:p w:rsidR="00AD14A4" w:rsidRDefault="00AD14A4" w:rsidP="00DA7B1C">
      <w:pPr>
        <w:pStyle w:val="Akapitzlist"/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użycie tych kategorii inspirowane było pracą </w:t>
      </w:r>
      <w:proofErr w:type="spellStart"/>
      <w:r>
        <w:rPr>
          <w:rFonts w:ascii="Times New Roman" w:hAnsi="Times New Roman"/>
          <w:sz w:val="20"/>
        </w:rPr>
        <w:t>Ros</w:t>
      </w:r>
      <w:r w:rsidR="004901A4"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z w:val="20"/>
        </w:rPr>
        <w:t>’a</w:t>
      </w:r>
      <w:proofErr w:type="spellEnd"/>
      <w:r>
        <w:rPr>
          <w:rFonts w:ascii="Times New Roman" w:hAnsi="Times New Roman"/>
          <w:sz w:val="20"/>
        </w:rPr>
        <w:t xml:space="preserve"> i </w:t>
      </w:r>
      <w:proofErr w:type="spellStart"/>
      <w:r>
        <w:rPr>
          <w:rFonts w:ascii="Times New Roman" w:hAnsi="Times New Roman"/>
          <w:sz w:val="20"/>
        </w:rPr>
        <w:t>Marquis’a</w:t>
      </w:r>
      <w:proofErr w:type="spellEnd"/>
      <w:r>
        <w:rPr>
          <w:rFonts w:ascii="Times New Roman" w:hAnsi="Times New Roman"/>
          <w:sz w:val="20"/>
        </w:rPr>
        <w:t>, którzy wyodrębnili czynniki specyficzne, ogólnogospodarcze i demograficzne (na co z reszta powołano się w pracy wprowadzając proponowany tu podział</w:t>
      </w:r>
      <w:r w:rsidRPr="00AD14A4">
        <w:rPr>
          <w:rFonts w:ascii="Times New Roman" w:hAnsi="Times New Roman"/>
          <w:b/>
          <w:sz w:val="20"/>
        </w:rPr>
        <w:t xml:space="preserve">). </w:t>
      </w:r>
      <w:r w:rsidR="004901A4">
        <w:rPr>
          <w:rFonts w:ascii="Times New Roman" w:hAnsi="Times New Roman"/>
          <w:b/>
          <w:sz w:val="20"/>
        </w:rPr>
        <w:t xml:space="preserve"> </w:t>
      </w:r>
      <w:r w:rsidRPr="00AD14A4">
        <w:rPr>
          <w:rFonts w:ascii="Times New Roman" w:hAnsi="Times New Roman"/>
          <w:b/>
          <w:sz w:val="20"/>
        </w:rPr>
        <w:t xml:space="preserve">Autorki dokonały zmian tych określeń, wprowadzając określenia sugerowane przez Recenzenta, a więc czynniki </w:t>
      </w:r>
      <w:r>
        <w:rPr>
          <w:rFonts w:ascii="Times New Roman" w:hAnsi="Times New Roman"/>
          <w:b/>
          <w:sz w:val="20"/>
        </w:rPr>
        <w:t>„</w:t>
      </w:r>
      <w:proofErr w:type="spellStart"/>
      <w:r w:rsidRPr="00AD14A4">
        <w:rPr>
          <w:rFonts w:ascii="Times New Roman" w:hAnsi="Times New Roman"/>
          <w:b/>
          <w:sz w:val="20"/>
        </w:rPr>
        <w:t>wewnątrzrynkowe</w:t>
      </w:r>
      <w:proofErr w:type="spellEnd"/>
      <w:r>
        <w:rPr>
          <w:rFonts w:ascii="Times New Roman" w:hAnsi="Times New Roman"/>
          <w:b/>
          <w:sz w:val="20"/>
        </w:rPr>
        <w:t>”</w:t>
      </w:r>
      <w:r w:rsidRPr="00AD14A4">
        <w:rPr>
          <w:rFonts w:ascii="Times New Roman" w:hAnsi="Times New Roman"/>
          <w:b/>
          <w:sz w:val="20"/>
        </w:rPr>
        <w:t xml:space="preserve"> i </w:t>
      </w:r>
      <w:r>
        <w:rPr>
          <w:rFonts w:ascii="Times New Roman" w:hAnsi="Times New Roman"/>
          <w:b/>
          <w:sz w:val="20"/>
        </w:rPr>
        <w:t>„</w:t>
      </w:r>
      <w:proofErr w:type="spellStart"/>
      <w:r w:rsidRPr="00AD14A4">
        <w:rPr>
          <w:rFonts w:ascii="Times New Roman" w:hAnsi="Times New Roman"/>
          <w:b/>
          <w:sz w:val="20"/>
        </w:rPr>
        <w:t>międzyrynk</w:t>
      </w:r>
      <w:r>
        <w:rPr>
          <w:rFonts w:ascii="Times New Roman" w:hAnsi="Times New Roman"/>
          <w:b/>
          <w:sz w:val="20"/>
        </w:rPr>
        <w:t>ow</w:t>
      </w:r>
      <w:r w:rsidR="004901A4">
        <w:rPr>
          <w:rFonts w:ascii="Times New Roman" w:hAnsi="Times New Roman"/>
          <w:b/>
          <w:sz w:val="20"/>
        </w:rPr>
        <w:t>e</w:t>
      </w:r>
      <w:proofErr w:type="spellEnd"/>
      <w:r w:rsidR="00EB4576">
        <w:rPr>
          <w:rFonts w:ascii="Times New Roman" w:hAnsi="Times New Roman"/>
          <w:b/>
          <w:sz w:val="20"/>
        </w:rPr>
        <w:t>”</w:t>
      </w:r>
      <w:r w:rsidR="004901A4">
        <w:rPr>
          <w:rFonts w:ascii="Times New Roman" w:hAnsi="Times New Roman"/>
          <w:b/>
          <w:sz w:val="20"/>
        </w:rPr>
        <w:t xml:space="preserve"> (zgodnie z </w:t>
      </w:r>
      <w:r w:rsidR="00DA7B1C">
        <w:rPr>
          <w:rFonts w:ascii="Times New Roman" w:hAnsi="Times New Roman"/>
          <w:b/>
          <w:sz w:val="20"/>
        </w:rPr>
        <w:t>sugestią R</w:t>
      </w:r>
      <w:r w:rsidR="004901A4">
        <w:rPr>
          <w:rFonts w:ascii="Times New Roman" w:hAnsi="Times New Roman"/>
          <w:b/>
          <w:sz w:val="20"/>
        </w:rPr>
        <w:t>ecenzenta)</w:t>
      </w:r>
      <w:r>
        <w:rPr>
          <w:rFonts w:ascii="Times New Roman" w:hAnsi="Times New Roman"/>
          <w:sz w:val="20"/>
        </w:rPr>
        <w:t xml:space="preserve"> </w:t>
      </w:r>
    </w:p>
    <w:p w:rsidR="00AD14A4" w:rsidRPr="004901A4" w:rsidRDefault="00AD14A4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4901A4">
        <w:rPr>
          <w:rFonts w:ascii="Times New Roman" w:hAnsi="Times New Roman"/>
          <w:sz w:val="20"/>
        </w:rPr>
        <w:t xml:space="preserve">zamienne stosowanie określeń rynek finansowy i rynek kapitałowy – </w:t>
      </w:r>
      <w:r w:rsidRPr="00EB4576">
        <w:rPr>
          <w:rFonts w:ascii="Times New Roman" w:hAnsi="Times New Roman"/>
          <w:b/>
          <w:sz w:val="20"/>
        </w:rPr>
        <w:t>poprawiono (omyłka pisarska)</w:t>
      </w:r>
    </w:p>
    <w:p w:rsidR="00AD14A4" w:rsidRPr="007A4CA7" w:rsidRDefault="00AD14A4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przedstawienie zmienności parametrów rynku z uwzględnieniem wysokości rocznych stóp zwrotu – odniesienie się do danych obrazujących zmienność rynku miało tu charakter poglądowy (dla pokazania, iż zmienność taka faktycznie występuje uwzględniając chociażby </w:t>
      </w:r>
      <w:r w:rsidR="00EB4576">
        <w:rPr>
          <w:rFonts w:ascii="Times New Roman" w:hAnsi="Times New Roman"/>
          <w:sz w:val="20"/>
        </w:rPr>
        <w:t>najprostsze</w:t>
      </w:r>
      <w:r>
        <w:rPr>
          <w:rFonts w:ascii="Times New Roman" w:hAnsi="Times New Roman"/>
          <w:sz w:val="20"/>
        </w:rPr>
        <w:t xml:space="preserve"> parametry – parametry czytelne dla każdego). </w:t>
      </w:r>
      <w:r w:rsidRPr="00AD14A4">
        <w:rPr>
          <w:rFonts w:ascii="Times New Roman" w:hAnsi="Times New Roman"/>
          <w:b/>
          <w:sz w:val="20"/>
        </w:rPr>
        <w:t xml:space="preserve">Ponieważ prezentacja ta wzbudziła poważne metodologiczne wątpliwości Recenzenta, Autorki zrezygnowały z niej, czyniąc zadość uwadze Recenzenta. </w:t>
      </w:r>
    </w:p>
    <w:p w:rsidR="007A4CA7" w:rsidRPr="007A4CA7" w:rsidRDefault="00E216F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uwaga dotycząca prezentacji danych dot. wybranych katastrof – podobnie jak powyżej, prezentacja ta użyta jest w celach poglądowych. Zamiarem Autorek nie była analiza tych strat w szerszym ujęciu i </w:t>
      </w:r>
      <w:r>
        <w:rPr>
          <w:rFonts w:ascii="Times New Roman" w:hAnsi="Times New Roman"/>
          <w:sz w:val="20"/>
        </w:rPr>
        <w:lastRenderedPageBreak/>
        <w:t>proponowane przez Recenzenta rozszerzenie tej prezentacji o dane dla całej dekady, również z uwzględnieniem udziału strat ubezpieczeniowych w stratach ogółem, zaciemniłoby skalę natężenia tych zjawisk w latach 2010 i 2011 (</w:t>
      </w:r>
      <w:proofErr w:type="spellStart"/>
      <w:r>
        <w:rPr>
          <w:rFonts w:ascii="Times New Roman" w:hAnsi="Times New Roman"/>
          <w:sz w:val="20"/>
        </w:rPr>
        <w:t>annus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horribilis</w:t>
      </w:r>
      <w:proofErr w:type="spellEnd"/>
      <w:r>
        <w:rPr>
          <w:rFonts w:ascii="Times New Roman" w:hAnsi="Times New Roman"/>
          <w:sz w:val="20"/>
        </w:rPr>
        <w:t xml:space="preserve">). Autorki wyszły z założenia, że czasem pokazanie fragmentu (dobrze dobranego) danych lepiej obrazuje problem. Co więcej, problem nie leży w udziale tych strat w stratach ogółem (które były odpowiednio wyższe), lecz w fakcie ich kumulacji i pewnej wyjątkowości. Autorki mają świadomość, iż dane takie publikuje </w:t>
      </w:r>
      <w:proofErr w:type="spellStart"/>
      <w:r>
        <w:rPr>
          <w:rFonts w:ascii="Times New Roman" w:hAnsi="Times New Roman"/>
          <w:sz w:val="20"/>
        </w:rPr>
        <w:t>MunichRe</w:t>
      </w:r>
      <w:proofErr w:type="spellEnd"/>
      <w:r>
        <w:rPr>
          <w:rFonts w:ascii="Times New Roman" w:hAnsi="Times New Roman"/>
          <w:sz w:val="20"/>
        </w:rPr>
        <w:t xml:space="preserve">, co więcej publikuje je również Swiss Re w różnych ujęciach (w tym w ujęciu uwzględniającym sumę strat ogółem, również i przyczynę – natural </w:t>
      </w:r>
      <w:proofErr w:type="spellStart"/>
      <w:r>
        <w:rPr>
          <w:rFonts w:ascii="Times New Roman" w:hAnsi="Times New Roman"/>
          <w:sz w:val="20"/>
        </w:rPr>
        <w:t>vs</w:t>
      </w:r>
      <w:proofErr w:type="spellEnd"/>
      <w:r>
        <w:rPr>
          <w:rFonts w:ascii="Times New Roman" w:hAnsi="Times New Roman"/>
          <w:sz w:val="20"/>
        </w:rPr>
        <w:t xml:space="preserve">. </w:t>
      </w:r>
      <w:proofErr w:type="spellStart"/>
      <w:r>
        <w:rPr>
          <w:rFonts w:ascii="Times New Roman" w:hAnsi="Times New Roman"/>
          <w:sz w:val="20"/>
        </w:rPr>
        <w:t>man-made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disasters</w:t>
      </w:r>
      <w:proofErr w:type="spellEnd"/>
      <w:r>
        <w:rPr>
          <w:rFonts w:ascii="Times New Roman" w:hAnsi="Times New Roman"/>
          <w:sz w:val="20"/>
        </w:rPr>
        <w:t xml:space="preserve">). </w:t>
      </w:r>
      <w:r w:rsidRPr="00E216F7">
        <w:rPr>
          <w:rFonts w:ascii="Times New Roman" w:hAnsi="Times New Roman"/>
          <w:b/>
          <w:sz w:val="20"/>
        </w:rPr>
        <w:t>Wybrana tu forma prezentacji stanowi również kompromis pomiędzy możliwością pokazania szeregu danych, a limitem objętości artykułu, co zaważyło na wyborze danych</w:t>
      </w:r>
      <w:r w:rsidR="00EB4576">
        <w:rPr>
          <w:rFonts w:ascii="Times New Roman" w:hAnsi="Times New Roman"/>
          <w:b/>
          <w:sz w:val="20"/>
        </w:rPr>
        <w:t xml:space="preserve"> do prezentacji</w:t>
      </w:r>
      <w:r w:rsidRPr="00E216F7">
        <w:rPr>
          <w:rFonts w:ascii="Times New Roman" w:hAnsi="Times New Roman"/>
          <w:b/>
          <w:sz w:val="20"/>
        </w:rPr>
        <w:t xml:space="preserve">. </w:t>
      </w:r>
    </w:p>
    <w:p w:rsidR="00DA7B1C" w:rsidRPr="00DA7B1C" w:rsidRDefault="00BD3E6E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DA7B1C">
        <w:rPr>
          <w:rFonts w:ascii="Times New Roman" w:hAnsi="Times New Roman"/>
          <w:sz w:val="20"/>
        </w:rPr>
        <w:t>Autor pierwszej Recenzji podniósł argument, iż cyt. „Błędem jest stwierdzenie, że obrót ILS odbywa się na giełdach”. W artykule nie ma jednak takiego stwierdzenia, jest natomiast mowa o cyt. „wyspecjalizowanych platformach obrotu ILS”. Autorki mają świadomość, że obrót ten odbywa się głównie na rynku OTC, ale także odbywał się na specjalnych giełdach (z czego korzystali reasekuratorzy i niektóre instrumenty wprowadzano, a następnie wycofywano z obrotu giełdowego – miały one przy tym charakter zestandaryzowanych kontraktów, o czym pisze np.</w:t>
      </w:r>
      <w:r w:rsidR="009C5C58" w:rsidRPr="00DA7B1C">
        <w:rPr>
          <w:rFonts w:ascii="Times New Roman" w:hAnsi="Times New Roman"/>
          <w:sz w:val="20"/>
        </w:rPr>
        <w:t xml:space="preserve"> </w:t>
      </w:r>
      <w:proofErr w:type="spellStart"/>
      <w:r w:rsidR="009C5C58" w:rsidRPr="00DA7B1C">
        <w:rPr>
          <w:rFonts w:ascii="Times New Roman" w:hAnsi="Times New Roman"/>
          <w:sz w:val="20"/>
        </w:rPr>
        <w:t>A.Małek</w:t>
      </w:r>
      <w:proofErr w:type="spellEnd"/>
      <w:r w:rsidR="009C5C58" w:rsidRPr="00DA7B1C">
        <w:rPr>
          <w:rFonts w:ascii="Times New Roman" w:hAnsi="Times New Roman"/>
          <w:sz w:val="20"/>
        </w:rPr>
        <w:t xml:space="preserve">, </w:t>
      </w:r>
      <w:r w:rsidR="009C5C58" w:rsidRPr="00DA7B1C">
        <w:rPr>
          <w:rFonts w:ascii="Times New Roman" w:hAnsi="Times New Roman"/>
          <w:i/>
          <w:sz w:val="20"/>
        </w:rPr>
        <w:t>Reasekuracja. Klasyczne i alternatywne metody transferu ryzyka ubezpieczeniowego</w:t>
      </w:r>
      <w:r w:rsidR="009C5C58" w:rsidRPr="00DA7B1C">
        <w:rPr>
          <w:rFonts w:ascii="Times New Roman" w:hAnsi="Times New Roman"/>
          <w:sz w:val="20"/>
        </w:rPr>
        <w:t xml:space="preserve">, </w:t>
      </w:r>
      <w:proofErr w:type="spellStart"/>
      <w:r w:rsidR="009C5C58" w:rsidRPr="00DA7B1C">
        <w:rPr>
          <w:rFonts w:ascii="Times New Roman" w:hAnsi="Times New Roman"/>
          <w:sz w:val="20"/>
        </w:rPr>
        <w:t>Poltext</w:t>
      </w:r>
      <w:proofErr w:type="spellEnd"/>
      <w:r w:rsidR="009C5C58" w:rsidRPr="00DA7B1C">
        <w:rPr>
          <w:rFonts w:ascii="Times New Roman" w:hAnsi="Times New Roman"/>
          <w:sz w:val="20"/>
        </w:rPr>
        <w:t>, Warszawa 2011, s. 153-157, w szczególności zestawienie tabelaryczne na s. 156). Autorki celowo w tekście mówiły o platformach obrotu, gdyż platformy te mają na celu ogó</w:t>
      </w:r>
      <w:r w:rsidR="00EB4576">
        <w:rPr>
          <w:rFonts w:ascii="Times New Roman" w:hAnsi="Times New Roman"/>
          <w:sz w:val="20"/>
        </w:rPr>
        <w:t>lnie ułatwianie obrotu ILS (nie</w:t>
      </w:r>
      <w:r w:rsidR="009C5C58" w:rsidRPr="00DA7B1C">
        <w:rPr>
          <w:rFonts w:ascii="Times New Roman" w:hAnsi="Times New Roman"/>
          <w:sz w:val="20"/>
        </w:rPr>
        <w:t>koniecznie obrotu giełdowego)</w:t>
      </w:r>
      <w:r w:rsidR="004901A4" w:rsidRPr="00DA7B1C">
        <w:rPr>
          <w:rFonts w:ascii="Times New Roman" w:hAnsi="Times New Roman"/>
          <w:sz w:val="20"/>
        </w:rPr>
        <w:t xml:space="preserve">. </w:t>
      </w:r>
      <w:r w:rsidR="004901A4" w:rsidRPr="00DA7B1C">
        <w:rPr>
          <w:rFonts w:ascii="Times New Roman" w:hAnsi="Times New Roman"/>
          <w:b/>
          <w:sz w:val="20"/>
        </w:rPr>
        <w:t xml:space="preserve">Dodatkowo zgodnie z sugestią Recenzenta autorki zaktualizowały informacje na temat </w:t>
      </w:r>
      <w:r w:rsidR="00924AE6" w:rsidRPr="00DA7B1C">
        <w:rPr>
          <w:rFonts w:ascii="Times New Roman" w:hAnsi="Times New Roman"/>
          <w:b/>
          <w:sz w:val="20"/>
        </w:rPr>
        <w:t xml:space="preserve">najważniejszych </w:t>
      </w:r>
      <w:r w:rsidR="004901A4" w:rsidRPr="00DA7B1C">
        <w:rPr>
          <w:rFonts w:ascii="Times New Roman" w:hAnsi="Times New Roman"/>
          <w:b/>
          <w:sz w:val="20"/>
        </w:rPr>
        <w:t>platform obrot</w:t>
      </w:r>
      <w:r w:rsidR="00924AE6" w:rsidRPr="00DA7B1C">
        <w:rPr>
          <w:rFonts w:ascii="Times New Roman" w:hAnsi="Times New Roman"/>
          <w:b/>
          <w:sz w:val="20"/>
        </w:rPr>
        <w:t>u ILS</w:t>
      </w:r>
      <w:r w:rsidR="00DA7B1C">
        <w:rPr>
          <w:rFonts w:ascii="Times New Roman" w:hAnsi="Times New Roman"/>
          <w:b/>
          <w:sz w:val="20"/>
        </w:rPr>
        <w:t>.</w:t>
      </w:r>
    </w:p>
    <w:p w:rsidR="009C5C58" w:rsidRPr="00DA7B1C" w:rsidRDefault="009C5C58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DA7B1C">
        <w:rPr>
          <w:rFonts w:ascii="Times New Roman" w:hAnsi="Times New Roman"/>
          <w:sz w:val="20"/>
        </w:rPr>
        <w:t xml:space="preserve">uwaga dotycząca niezrozumiałego zdania od słów „Dane te są podstawą dla konstrukcji jednego z indeksów parametrycznych, przy pomocy których określa się wartość np. obligacji katastroficznych” i dalszy wywód wskazujący, iż Autorki błędnie rozumieją naturę indeksu parametrycznego. Cytowane przez Recenzenta zdanie poprzedzone jest zdaniem: „Infrastrukturę tę tworzą również instytucje takie jak Property </w:t>
      </w:r>
      <w:proofErr w:type="spellStart"/>
      <w:r w:rsidRPr="00DA7B1C">
        <w:rPr>
          <w:rFonts w:ascii="Times New Roman" w:hAnsi="Times New Roman"/>
          <w:sz w:val="20"/>
        </w:rPr>
        <w:t>Claim</w:t>
      </w:r>
      <w:proofErr w:type="spellEnd"/>
      <w:r w:rsidRPr="00DA7B1C">
        <w:rPr>
          <w:rFonts w:ascii="Times New Roman" w:hAnsi="Times New Roman"/>
          <w:sz w:val="20"/>
        </w:rPr>
        <w:t xml:space="preserve"> </w:t>
      </w:r>
      <w:proofErr w:type="spellStart"/>
      <w:r w:rsidRPr="00DA7B1C">
        <w:rPr>
          <w:rFonts w:ascii="Times New Roman" w:hAnsi="Times New Roman"/>
          <w:sz w:val="20"/>
        </w:rPr>
        <w:t>Sevices</w:t>
      </w:r>
      <w:proofErr w:type="spellEnd"/>
      <w:r w:rsidRPr="00DA7B1C">
        <w:rPr>
          <w:rFonts w:ascii="Times New Roman" w:hAnsi="Times New Roman"/>
          <w:sz w:val="20"/>
        </w:rPr>
        <w:t xml:space="preserve"> (PCS), zajmująca się gromadzeniem i raportowaniem danych o zjawiskach katastrofi</w:t>
      </w:r>
      <w:r w:rsidR="00EB4576">
        <w:rPr>
          <w:rFonts w:ascii="Times New Roman" w:hAnsi="Times New Roman"/>
          <w:sz w:val="20"/>
        </w:rPr>
        <w:t>cznych w rejonie USA”. Zdaniem A</w:t>
      </w:r>
      <w:r w:rsidRPr="00DA7B1C">
        <w:rPr>
          <w:rFonts w:ascii="Times New Roman" w:hAnsi="Times New Roman"/>
          <w:sz w:val="20"/>
        </w:rPr>
        <w:t xml:space="preserve">utorek, w zdaniu tym jednoznacznie wskazane jest, iż mowa tu o danych dotyczących zjawisk katastroficznych i to te dane są podstawą konstrukcji indeksów parametrycznych. </w:t>
      </w:r>
      <w:r w:rsidRPr="00DA7B1C">
        <w:rPr>
          <w:rFonts w:ascii="Times New Roman" w:hAnsi="Times New Roman"/>
          <w:b/>
          <w:sz w:val="20"/>
        </w:rPr>
        <w:t xml:space="preserve">Wychodząc jednak naprzeciw uwadze Recenzenta, </w:t>
      </w:r>
      <w:r w:rsidR="000B68FB" w:rsidRPr="00DA7B1C">
        <w:rPr>
          <w:rFonts w:ascii="Times New Roman" w:hAnsi="Times New Roman"/>
          <w:b/>
          <w:sz w:val="20"/>
        </w:rPr>
        <w:t>zdanie doprecyzowano tak, by nie budziło podobnych wątpliwości.</w:t>
      </w:r>
      <w:r w:rsidR="000B68FB" w:rsidRPr="00DA7B1C">
        <w:rPr>
          <w:rFonts w:ascii="Times New Roman" w:hAnsi="Times New Roman"/>
          <w:sz w:val="20"/>
        </w:rPr>
        <w:t xml:space="preserve"> </w:t>
      </w:r>
    </w:p>
    <w:p w:rsidR="009C5C58" w:rsidRPr="00DA7B1C" w:rsidRDefault="00DF3D6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DA7B1C">
        <w:rPr>
          <w:rFonts w:ascii="Times New Roman" w:hAnsi="Times New Roman"/>
          <w:sz w:val="20"/>
        </w:rPr>
        <w:t>uwaga dotycząca roku na rys. 3 (1996 zamiast 1997) – Recenzent wskazał, że większość źródeł wskazuje n</w:t>
      </w:r>
      <w:r w:rsidR="00DA7B1C">
        <w:rPr>
          <w:rFonts w:ascii="Times New Roman" w:hAnsi="Times New Roman"/>
          <w:sz w:val="20"/>
        </w:rPr>
        <w:t>a wcześniejszy rok i podał przykładowe</w:t>
      </w:r>
      <w:r w:rsidRPr="00DA7B1C">
        <w:rPr>
          <w:rFonts w:ascii="Times New Roman" w:hAnsi="Times New Roman"/>
          <w:sz w:val="20"/>
        </w:rPr>
        <w:t xml:space="preserve"> źródło, tymczasem wg źródeł zacytowanych w rys.</w:t>
      </w:r>
      <w:r w:rsidR="00DA7B1C">
        <w:rPr>
          <w:rFonts w:ascii="Times New Roman" w:hAnsi="Times New Roman"/>
          <w:sz w:val="20"/>
        </w:rPr>
        <w:t xml:space="preserve">3 (obecnie 2, po usunięciu jednego z rysunków) </w:t>
      </w:r>
      <w:r w:rsidRPr="00DA7B1C">
        <w:rPr>
          <w:rFonts w:ascii="Times New Roman" w:hAnsi="Times New Roman"/>
          <w:sz w:val="20"/>
        </w:rPr>
        <w:t>jest to rok 1996. W związku z rozbieżnością dat (co jest zjawiskiem spotykanym) Autorki pozostawiły datę zgodną z zacytowanymi pod rys. pozycjami.</w:t>
      </w:r>
    </w:p>
    <w:p w:rsidR="0087718D" w:rsidRPr="0087718D" w:rsidRDefault="0087718D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87718D">
        <w:rPr>
          <w:rFonts w:ascii="Times New Roman" w:hAnsi="Times New Roman"/>
          <w:b/>
          <w:sz w:val="20"/>
        </w:rPr>
        <w:t>Recenzja nr 2</w:t>
      </w:r>
      <w:r w:rsidR="00DA7B1C">
        <w:rPr>
          <w:rFonts w:ascii="Times New Roman" w:hAnsi="Times New Roman"/>
          <w:b/>
          <w:sz w:val="20"/>
        </w:rPr>
        <w:t>.</w:t>
      </w:r>
    </w:p>
    <w:p w:rsidR="00DF3D67" w:rsidRPr="0087718D" w:rsidRDefault="0087718D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 w:rsidRPr="0087718D">
        <w:rPr>
          <w:rFonts w:ascii="Times New Roman" w:hAnsi="Times New Roman"/>
          <w:sz w:val="20"/>
        </w:rPr>
        <w:t xml:space="preserve">uwaga ujęta w drugiej Recenzji – dość ogólna, iż należy zmienić punkt ciężkości na zarządzanie ryzykiem, a nie na aspekty instytucjonalne. Autorki uznały, że trudno wprowadzić zmiany czyniące tej uwadze zadość, tym bardziej iż Recenzent ten w uwagach dotyczących problematyki zasugerował, iż „artykuł traktuje o instrumentach, a nie o rynku”. </w:t>
      </w:r>
    </w:p>
    <w:p w:rsidR="0087718D" w:rsidRDefault="0087718D" w:rsidP="00DA7B1C">
      <w:pPr>
        <w:spacing w:after="0" w:line="360" w:lineRule="auto"/>
        <w:jc w:val="both"/>
        <w:rPr>
          <w:rFonts w:ascii="Times New Roman" w:hAnsi="Times New Roman"/>
          <w:sz w:val="20"/>
          <w:highlight w:val="yellow"/>
        </w:rPr>
      </w:pPr>
    </w:p>
    <w:p w:rsidR="0087718D" w:rsidRPr="0087718D" w:rsidRDefault="0087718D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87718D">
        <w:rPr>
          <w:rFonts w:ascii="Times New Roman" w:hAnsi="Times New Roman"/>
          <w:b/>
          <w:sz w:val="20"/>
        </w:rPr>
        <w:lastRenderedPageBreak/>
        <w:t>Ocena aspektów metodologicznych (cz. III Recenzji)</w:t>
      </w:r>
    </w:p>
    <w:p w:rsidR="0087718D" w:rsidRPr="0087718D" w:rsidRDefault="0087718D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87718D">
        <w:rPr>
          <w:rFonts w:ascii="Times New Roman" w:hAnsi="Times New Roman"/>
          <w:b/>
          <w:sz w:val="20"/>
        </w:rPr>
        <w:t xml:space="preserve">Recenzja nr 1. </w:t>
      </w:r>
    </w:p>
    <w:p w:rsidR="007A4CA7" w:rsidRPr="007215F3" w:rsidRDefault="009C5C58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87718D">
        <w:rPr>
          <w:rFonts w:ascii="Times New Roman" w:hAnsi="Times New Roman"/>
          <w:sz w:val="20"/>
        </w:rPr>
        <w:t xml:space="preserve"> </w:t>
      </w:r>
      <w:r w:rsidR="0087718D">
        <w:rPr>
          <w:rFonts w:ascii="Times New Roman" w:hAnsi="Times New Roman"/>
          <w:sz w:val="20"/>
        </w:rPr>
        <w:t xml:space="preserve">wskazanie na niewłaściwe użycie określenia „derywat”, gdyż  w pracach naukowych w </w:t>
      </w:r>
      <w:proofErr w:type="spellStart"/>
      <w:r w:rsidR="0087718D">
        <w:rPr>
          <w:rFonts w:ascii="Times New Roman" w:hAnsi="Times New Roman"/>
          <w:sz w:val="20"/>
        </w:rPr>
        <w:t>j.polskim</w:t>
      </w:r>
      <w:proofErr w:type="spellEnd"/>
      <w:r w:rsidR="0087718D">
        <w:rPr>
          <w:rFonts w:ascii="Times New Roman" w:hAnsi="Times New Roman"/>
          <w:sz w:val="20"/>
        </w:rPr>
        <w:t xml:space="preserve"> używa się określenia instrumenty pochodne. Autorki odniosły się do tej wątpliwości następująco: derywaty i instrumenty pochodne traktowane są jako synonimy; Autorki spotkały się z kolokacją „pochodne ubezpieczeniowe” zamiast „derywaty ubezpieczeniowe”, ale już nie spotkały się z kolokacją „pochodne pogodowe” zamiast „derywaty pogodowe”. Warto zaznaczyć, iż w pracy „Ubezpieczenia. Podręcznik akademicki, </w:t>
      </w:r>
      <w:proofErr w:type="spellStart"/>
      <w:r w:rsidR="0087718D">
        <w:rPr>
          <w:rFonts w:ascii="Times New Roman" w:hAnsi="Times New Roman"/>
          <w:sz w:val="20"/>
        </w:rPr>
        <w:t>Poltext</w:t>
      </w:r>
      <w:proofErr w:type="spellEnd"/>
      <w:r w:rsidR="0087718D">
        <w:rPr>
          <w:rFonts w:ascii="Times New Roman" w:hAnsi="Times New Roman"/>
          <w:sz w:val="20"/>
        </w:rPr>
        <w:t xml:space="preserve">, Warszawa 2010, </w:t>
      </w:r>
      <w:proofErr w:type="spellStart"/>
      <w:r w:rsidR="0087718D">
        <w:rPr>
          <w:rFonts w:ascii="Times New Roman" w:hAnsi="Times New Roman"/>
          <w:sz w:val="20"/>
        </w:rPr>
        <w:t>J.Monkiewicz</w:t>
      </w:r>
      <w:proofErr w:type="spellEnd"/>
      <w:r w:rsidR="0087718D">
        <w:rPr>
          <w:rFonts w:ascii="Times New Roman" w:hAnsi="Times New Roman"/>
          <w:sz w:val="20"/>
        </w:rPr>
        <w:t xml:space="preserve"> dokonując klasyfikacji pochodnych ubezpieczeniowych (na s. 369) wyróżnia w ramach tej dużej grupy instrumentów „derywaty pogodowe” i „derywaty kredytowe”. Zdaniem autorek w </w:t>
      </w:r>
      <w:proofErr w:type="spellStart"/>
      <w:r w:rsidR="0087718D">
        <w:rPr>
          <w:rFonts w:ascii="Times New Roman" w:hAnsi="Times New Roman"/>
          <w:sz w:val="20"/>
        </w:rPr>
        <w:t>j.polskim</w:t>
      </w:r>
      <w:proofErr w:type="spellEnd"/>
      <w:r w:rsidR="0087718D">
        <w:rPr>
          <w:rFonts w:ascii="Times New Roman" w:hAnsi="Times New Roman"/>
          <w:sz w:val="20"/>
        </w:rPr>
        <w:t xml:space="preserve"> spotyka się więc określenie derywaty jako synonim instrumentów pochodnych</w:t>
      </w:r>
      <w:r w:rsidR="007215F3">
        <w:rPr>
          <w:rFonts w:ascii="Times New Roman" w:hAnsi="Times New Roman"/>
          <w:sz w:val="20"/>
        </w:rPr>
        <w:t xml:space="preserve">. </w:t>
      </w:r>
      <w:r w:rsidR="00EB4576" w:rsidRPr="00EB4576">
        <w:rPr>
          <w:rFonts w:ascii="Times New Roman" w:hAnsi="Times New Roman"/>
          <w:b/>
          <w:sz w:val="20"/>
        </w:rPr>
        <w:t>Jednak z</w:t>
      </w:r>
      <w:r w:rsidR="007215F3" w:rsidRPr="00EB4576">
        <w:rPr>
          <w:rFonts w:ascii="Times New Roman" w:hAnsi="Times New Roman"/>
          <w:b/>
          <w:sz w:val="20"/>
        </w:rPr>
        <w:t>godnie</w:t>
      </w:r>
      <w:r w:rsidR="007215F3" w:rsidRPr="007215F3">
        <w:rPr>
          <w:rFonts w:ascii="Times New Roman" w:hAnsi="Times New Roman"/>
          <w:b/>
          <w:sz w:val="20"/>
        </w:rPr>
        <w:t xml:space="preserve"> z sugestią Recenzenta słowo „derywaty” zastąpiono </w:t>
      </w:r>
      <w:r w:rsidR="00EB4576">
        <w:rPr>
          <w:rFonts w:ascii="Times New Roman" w:hAnsi="Times New Roman"/>
          <w:b/>
          <w:sz w:val="20"/>
        </w:rPr>
        <w:t xml:space="preserve">ostatecznie </w:t>
      </w:r>
      <w:r w:rsidR="007215F3" w:rsidRPr="007215F3">
        <w:rPr>
          <w:rFonts w:ascii="Times New Roman" w:hAnsi="Times New Roman"/>
          <w:b/>
          <w:sz w:val="20"/>
        </w:rPr>
        <w:t>sformułowaniem „instrumenty pochodne”.</w:t>
      </w:r>
      <w:r w:rsidR="0087718D" w:rsidRPr="007215F3">
        <w:rPr>
          <w:rFonts w:ascii="Times New Roman" w:hAnsi="Times New Roman"/>
          <w:b/>
          <w:sz w:val="20"/>
        </w:rPr>
        <w:t xml:space="preserve"> </w:t>
      </w:r>
    </w:p>
    <w:p w:rsidR="00126DD7" w:rsidRPr="00126DD7" w:rsidRDefault="0087718D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126DD7">
        <w:rPr>
          <w:rFonts w:ascii="Times New Roman" w:hAnsi="Times New Roman"/>
          <w:sz w:val="20"/>
        </w:rPr>
        <w:t xml:space="preserve">użycie ILS w streszczeniu </w:t>
      </w:r>
      <w:r w:rsidRPr="00126DD7">
        <w:rPr>
          <w:rFonts w:ascii="Times New Roman" w:hAnsi="Times New Roman"/>
          <w:b/>
          <w:sz w:val="20"/>
        </w:rPr>
        <w:t xml:space="preserve">– </w:t>
      </w:r>
      <w:r w:rsidR="00126DD7" w:rsidRPr="00126DD7">
        <w:rPr>
          <w:rFonts w:ascii="Times New Roman" w:hAnsi="Times New Roman"/>
          <w:b/>
          <w:sz w:val="20"/>
        </w:rPr>
        <w:t>streszczenie poprawiono zgodnie z sugestią Recenzenta.</w:t>
      </w:r>
    </w:p>
    <w:p w:rsidR="00E713D7" w:rsidRPr="00126DD7" w:rsidRDefault="00126DD7" w:rsidP="00DA7B1C">
      <w:pPr>
        <w:spacing w:after="0" w:line="360" w:lineRule="auto"/>
        <w:ind w:left="284"/>
        <w:jc w:val="both"/>
        <w:rPr>
          <w:rFonts w:ascii="Times New Roman" w:hAnsi="Times New Roman"/>
          <w:b/>
          <w:sz w:val="20"/>
        </w:rPr>
      </w:pPr>
      <w:r w:rsidRPr="00126DD7">
        <w:rPr>
          <w:rFonts w:ascii="Times New Roman" w:hAnsi="Times New Roman"/>
          <w:b/>
          <w:sz w:val="20"/>
        </w:rPr>
        <w:t>Recenzja nr 2.</w:t>
      </w:r>
    </w:p>
    <w:p w:rsidR="00E713D7" w:rsidRDefault="00E713D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Zarzut nieuzasadnionego cytowania na str. 3 – Autorki uznały, że uwaga ta odnosi się do zdania i cytowania: „</w:t>
      </w:r>
      <w:r w:rsidRPr="00196242">
        <w:rPr>
          <w:rFonts w:ascii="Times New Roman" w:hAnsi="Times New Roman"/>
          <w:sz w:val="20"/>
        </w:rPr>
        <w:t>Ponieważ w artykule skoncentrowano się na identyfikacji impulsów procesu konwergencji, problematyka rodzajów i funkcjonowania ILS wykracza poza zakres tematyczny opracowania (instrumenty te zostały szeroko omówione min. w: [</w:t>
      </w:r>
      <w:proofErr w:type="spellStart"/>
      <w:r w:rsidRPr="00196242">
        <w:rPr>
          <w:rFonts w:ascii="Times New Roman" w:hAnsi="Times New Roman"/>
          <w:sz w:val="20"/>
        </w:rPr>
        <w:t>Cummins</w:t>
      </w:r>
      <w:proofErr w:type="spellEnd"/>
      <w:r w:rsidRPr="00196242">
        <w:rPr>
          <w:rFonts w:ascii="Times New Roman" w:hAnsi="Times New Roman"/>
          <w:sz w:val="20"/>
        </w:rPr>
        <w:t xml:space="preserve">, Weiss, 2009, s. 506 i nast.; </w:t>
      </w:r>
      <w:proofErr w:type="spellStart"/>
      <w:r w:rsidRPr="00196242">
        <w:rPr>
          <w:rFonts w:ascii="Times New Roman" w:hAnsi="Times New Roman"/>
          <w:sz w:val="20"/>
        </w:rPr>
        <w:t>Barrieu</w:t>
      </w:r>
      <w:proofErr w:type="spellEnd"/>
      <w:r w:rsidRPr="00196242">
        <w:rPr>
          <w:rFonts w:ascii="Times New Roman" w:hAnsi="Times New Roman"/>
          <w:sz w:val="20"/>
        </w:rPr>
        <w:t xml:space="preserve">, </w:t>
      </w:r>
      <w:proofErr w:type="spellStart"/>
      <w:r w:rsidRPr="00196242">
        <w:rPr>
          <w:rFonts w:ascii="Times New Roman" w:hAnsi="Times New Roman"/>
          <w:sz w:val="20"/>
        </w:rPr>
        <w:t>Albertini</w:t>
      </w:r>
      <w:proofErr w:type="spellEnd"/>
      <w:r w:rsidRPr="00196242">
        <w:rPr>
          <w:rFonts w:ascii="Times New Roman" w:hAnsi="Times New Roman"/>
          <w:sz w:val="20"/>
        </w:rPr>
        <w:t>, 2009; Weber, 2011; Błach i in., 2014, s. 413-424])</w:t>
      </w:r>
      <w:r>
        <w:rPr>
          <w:rFonts w:ascii="Times New Roman" w:hAnsi="Times New Roman"/>
          <w:sz w:val="20"/>
        </w:rPr>
        <w:t xml:space="preserve">”. </w:t>
      </w:r>
      <w:r w:rsidRPr="00E713D7">
        <w:rPr>
          <w:rFonts w:ascii="Times New Roman" w:hAnsi="Times New Roman"/>
          <w:b/>
          <w:sz w:val="20"/>
        </w:rPr>
        <w:t>Powołanie na pozycje, w których szerzej ujęty jest problem ILS przeniesiono więc do przypisu dolnego.</w:t>
      </w:r>
      <w:r>
        <w:rPr>
          <w:rFonts w:ascii="Times New Roman" w:hAnsi="Times New Roman"/>
          <w:sz w:val="20"/>
        </w:rPr>
        <w:t xml:space="preserve"> </w:t>
      </w:r>
    </w:p>
    <w:p w:rsidR="00E713D7" w:rsidRDefault="00E713D7" w:rsidP="00DA7B1C">
      <w:pPr>
        <w:spacing w:after="0" w:line="360" w:lineRule="auto"/>
        <w:jc w:val="both"/>
        <w:rPr>
          <w:rFonts w:ascii="Times New Roman" w:hAnsi="Times New Roman"/>
          <w:sz w:val="20"/>
        </w:rPr>
      </w:pPr>
    </w:p>
    <w:p w:rsidR="00E713D7" w:rsidRPr="00E713D7" w:rsidRDefault="00E713D7" w:rsidP="00DA7B1C">
      <w:pPr>
        <w:spacing w:after="0" w:line="360" w:lineRule="auto"/>
        <w:jc w:val="both"/>
        <w:rPr>
          <w:rFonts w:ascii="Times New Roman" w:hAnsi="Times New Roman"/>
          <w:b/>
          <w:sz w:val="20"/>
        </w:rPr>
      </w:pPr>
      <w:r w:rsidRPr="00E713D7">
        <w:rPr>
          <w:rFonts w:ascii="Times New Roman" w:hAnsi="Times New Roman"/>
          <w:b/>
          <w:sz w:val="20"/>
        </w:rPr>
        <w:t xml:space="preserve">Ocena strony formalnej (cz. IV Recenzji) </w:t>
      </w:r>
    </w:p>
    <w:p w:rsidR="00196242" w:rsidRPr="0087718D" w:rsidRDefault="00E713D7" w:rsidP="00DA7B1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błędy stylistyczne – </w:t>
      </w:r>
      <w:r w:rsidRPr="00E713D7">
        <w:rPr>
          <w:rFonts w:ascii="Times New Roman" w:hAnsi="Times New Roman"/>
          <w:b/>
          <w:sz w:val="20"/>
        </w:rPr>
        <w:t>poprawio</w:t>
      </w:r>
      <w:bookmarkStart w:id="0" w:name="_GoBack"/>
      <w:bookmarkEnd w:id="0"/>
      <w:r w:rsidRPr="00E713D7">
        <w:rPr>
          <w:rFonts w:ascii="Times New Roman" w:hAnsi="Times New Roman"/>
          <w:b/>
          <w:sz w:val="20"/>
        </w:rPr>
        <w:t xml:space="preserve">no </w:t>
      </w:r>
    </w:p>
    <w:sectPr w:rsidR="00196242" w:rsidRPr="0087718D" w:rsidSect="00CD7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E3" w:rsidRDefault="00EE77E3" w:rsidP="007A4CA7">
      <w:pPr>
        <w:spacing w:after="0" w:line="240" w:lineRule="auto"/>
      </w:pPr>
      <w:r>
        <w:separator/>
      </w:r>
    </w:p>
  </w:endnote>
  <w:endnote w:type="continuationSeparator" w:id="0">
    <w:p w:rsidR="00EE77E3" w:rsidRDefault="00EE77E3" w:rsidP="007A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E3" w:rsidRDefault="00EE77E3" w:rsidP="007A4CA7">
      <w:pPr>
        <w:spacing w:after="0" w:line="240" w:lineRule="auto"/>
      </w:pPr>
      <w:r>
        <w:separator/>
      </w:r>
    </w:p>
  </w:footnote>
  <w:footnote w:type="continuationSeparator" w:id="0">
    <w:p w:rsidR="00EE77E3" w:rsidRDefault="00EE77E3" w:rsidP="007A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2828"/>
    <w:multiLevelType w:val="hybridMultilevel"/>
    <w:tmpl w:val="C44E63DE"/>
    <w:lvl w:ilvl="0" w:tplc="578AD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03A26"/>
    <w:multiLevelType w:val="hybridMultilevel"/>
    <w:tmpl w:val="931AE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60A92"/>
    <w:multiLevelType w:val="hybridMultilevel"/>
    <w:tmpl w:val="4EBC0DAE"/>
    <w:lvl w:ilvl="0" w:tplc="E7321C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27DD0"/>
    <w:multiLevelType w:val="hybridMultilevel"/>
    <w:tmpl w:val="C44E63DE"/>
    <w:lvl w:ilvl="0" w:tplc="578ADF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F550E4"/>
    <w:multiLevelType w:val="hybridMultilevel"/>
    <w:tmpl w:val="309C3FB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CA7"/>
    <w:rsid w:val="00061DFB"/>
    <w:rsid w:val="000B68FB"/>
    <w:rsid w:val="00126DD7"/>
    <w:rsid w:val="00196242"/>
    <w:rsid w:val="00245073"/>
    <w:rsid w:val="00460A2D"/>
    <w:rsid w:val="004901A4"/>
    <w:rsid w:val="007215F3"/>
    <w:rsid w:val="007A4CA7"/>
    <w:rsid w:val="007E5BC0"/>
    <w:rsid w:val="007E78E6"/>
    <w:rsid w:val="0087718D"/>
    <w:rsid w:val="00924AE6"/>
    <w:rsid w:val="009C5C58"/>
    <w:rsid w:val="00AD14A4"/>
    <w:rsid w:val="00BD3E6E"/>
    <w:rsid w:val="00CB5874"/>
    <w:rsid w:val="00CD7167"/>
    <w:rsid w:val="00D17805"/>
    <w:rsid w:val="00DA7B1C"/>
    <w:rsid w:val="00DC0A11"/>
    <w:rsid w:val="00DF3D67"/>
    <w:rsid w:val="00E216F7"/>
    <w:rsid w:val="00E4331E"/>
    <w:rsid w:val="00E713D7"/>
    <w:rsid w:val="00E7177A"/>
    <w:rsid w:val="00EB4576"/>
    <w:rsid w:val="00E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A4CA7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CA7"/>
    <w:rPr>
      <w:rFonts w:ascii="Calibri" w:eastAsia="Calibri" w:hAnsi="Calibri" w:cs="Times New Roman"/>
      <w:sz w:val="20"/>
      <w:szCs w:val="20"/>
      <w:lang/>
    </w:rPr>
  </w:style>
  <w:style w:type="character" w:styleId="Odwoanieprzypisudolnego">
    <w:name w:val="footnote reference"/>
    <w:uiPriority w:val="99"/>
    <w:semiHidden/>
    <w:unhideWhenUsed/>
    <w:rsid w:val="007A4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4C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3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3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31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3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A4CA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4CA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A4CA7"/>
    <w:rPr>
      <w:vertAlign w:val="superscript"/>
    </w:rPr>
  </w:style>
  <w:style w:type="paragraph" w:styleId="Akapitzlist">
    <w:name w:val="List Paragraph"/>
    <w:basedOn w:val="Normalny"/>
    <w:uiPriority w:val="34"/>
    <w:qFormat/>
    <w:rsid w:val="007A4C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433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3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31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3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31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3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25D19-0FBB-4FF4-A48F-7478CDCB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Asia</cp:lastModifiedBy>
  <cp:revision>2</cp:revision>
  <dcterms:created xsi:type="dcterms:W3CDTF">2015-12-01T12:59:00Z</dcterms:created>
  <dcterms:modified xsi:type="dcterms:W3CDTF">2015-12-01T12:59:00Z</dcterms:modified>
</cp:coreProperties>
</file>