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C16" w:rsidRDefault="00E60C16" w:rsidP="00E60C16">
      <w:pPr>
        <w:rPr>
          <w:lang w:val="en-GB"/>
        </w:rPr>
      </w:pPr>
    </w:p>
    <w:p w:rsidR="00E60C16" w:rsidRPr="00EE26BF" w:rsidRDefault="004872FC" w:rsidP="00E60C16">
      <w:pPr>
        <w:jc w:val="center"/>
        <w:rPr>
          <w:sz w:val="20"/>
          <w:szCs w:val="20"/>
        </w:rPr>
      </w:pPr>
      <w:r w:rsidRPr="00EE26BF">
        <w:rPr>
          <w:sz w:val="20"/>
          <w:szCs w:val="20"/>
        </w:rPr>
        <w:t>PIOTR ZASĘPA</w:t>
      </w:r>
    </w:p>
    <w:p w:rsidR="00E60C16" w:rsidRPr="004872FC" w:rsidRDefault="004872FC" w:rsidP="00E60C16">
      <w:pPr>
        <w:jc w:val="center"/>
        <w:rPr>
          <w:sz w:val="16"/>
          <w:szCs w:val="16"/>
        </w:rPr>
      </w:pPr>
      <w:r w:rsidRPr="004872FC">
        <w:rPr>
          <w:sz w:val="16"/>
          <w:szCs w:val="16"/>
        </w:rPr>
        <w:t>p.zasepa@ujd.edu.pl</w:t>
      </w:r>
    </w:p>
    <w:p w:rsidR="00E60C16" w:rsidRPr="00EE26BF" w:rsidRDefault="004872FC" w:rsidP="00E60C16">
      <w:pPr>
        <w:jc w:val="center"/>
        <w:rPr>
          <w:color w:val="FF0000"/>
          <w:sz w:val="16"/>
          <w:szCs w:val="16"/>
          <w:lang w:val="en-GB"/>
        </w:rPr>
      </w:pPr>
      <w:r w:rsidRPr="00EE26BF">
        <w:rPr>
          <w:sz w:val="16"/>
          <w:szCs w:val="16"/>
          <w:lang w:val="en-GB"/>
        </w:rPr>
        <w:t xml:space="preserve">University of Jan </w:t>
      </w:r>
      <w:proofErr w:type="spellStart"/>
      <w:r w:rsidRPr="00EE26BF">
        <w:rPr>
          <w:sz w:val="16"/>
          <w:szCs w:val="16"/>
          <w:lang w:val="en-GB"/>
        </w:rPr>
        <w:t>Dlugosz</w:t>
      </w:r>
      <w:proofErr w:type="spellEnd"/>
      <w:r w:rsidRPr="00EE26BF">
        <w:rPr>
          <w:sz w:val="16"/>
          <w:szCs w:val="16"/>
          <w:lang w:val="en-GB"/>
        </w:rPr>
        <w:t xml:space="preserve"> in </w:t>
      </w:r>
      <w:proofErr w:type="spellStart"/>
      <w:r w:rsidRPr="00EE26BF">
        <w:rPr>
          <w:sz w:val="16"/>
          <w:szCs w:val="16"/>
          <w:lang w:val="en-GB"/>
        </w:rPr>
        <w:t>Częstochowa</w:t>
      </w:r>
      <w:proofErr w:type="spellEnd"/>
    </w:p>
    <w:p w:rsidR="0051579E" w:rsidRPr="004872FC" w:rsidRDefault="0051579E" w:rsidP="00E60C16">
      <w:pPr>
        <w:jc w:val="center"/>
        <w:rPr>
          <w:sz w:val="18"/>
          <w:szCs w:val="18"/>
          <w:lang w:val="en-GB"/>
        </w:rPr>
      </w:pPr>
      <w:r w:rsidRPr="004872FC">
        <w:rPr>
          <w:sz w:val="18"/>
          <w:szCs w:val="18"/>
          <w:lang w:val="en-GB"/>
        </w:rPr>
        <w:t>ORCID</w:t>
      </w:r>
      <w:r w:rsidR="00741135" w:rsidRPr="004872FC">
        <w:rPr>
          <w:sz w:val="18"/>
          <w:szCs w:val="18"/>
          <w:lang w:val="en-GB"/>
        </w:rPr>
        <w:t xml:space="preserve"> ID</w:t>
      </w:r>
      <w:r w:rsidRPr="004872FC">
        <w:rPr>
          <w:sz w:val="18"/>
          <w:szCs w:val="18"/>
          <w:lang w:val="en-GB"/>
        </w:rPr>
        <w:t xml:space="preserve">: </w:t>
      </w:r>
      <w:r w:rsidR="004872FC" w:rsidRPr="004872FC">
        <w:rPr>
          <w:rStyle w:val="orcid-id-https"/>
          <w:sz w:val="18"/>
          <w:szCs w:val="18"/>
          <w:lang w:val="en-GB"/>
        </w:rPr>
        <w:t>https://orcid.org/0000-0003-0099-6971</w:t>
      </w:r>
    </w:p>
    <w:p w:rsidR="00E60C16" w:rsidRPr="00E60C16" w:rsidRDefault="00E60C16" w:rsidP="00E60C16">
      <w:pPr>
        <w:rPr>
          <w:lang w:val="en-GB"/>
        </w:rPr>
      </w:pPr>
    </w:p>
    <w:p w:rsidR="00E60C16" w:rsidRPr="00E60C16" w:rsidRDefault="00E60C16" w:rsidP="00E60C16">
      <w:pPr>
        <w:rPr>
          <w:lang w:val="en-GB"/>
        </w:rPr>
      </w:pPr>
    </w:p>
    <w:p w:rsidR="004872FC" w:rsidRDefault="004872FC" w:rsidP="004872FC">
      <w:pPr>
        <w:autoSpaceDE w:val="0"/>
        <w:autoSpaceDN w:val="0"/>
        <w:adjustRightInd w:val="0"/>
        <w:spacing w:line="240" w:lineRule="auto"/>
        <w:jc w:val="center"/>
        <w:rPr>
          <w:rFonts w:ascii="TimesNewRomanPSMT" w:hAnsi="TimesNewRomanPSMT" w:cs="TimesNewRomanPSMT"/>
          <w:sz w:val="21"/>
          <w:szCs w:val="21"/>
        </w:rPr>
      </w:pPr>
      <w:r>
        <w:rPr>
          <w:rFonts w:ascii="TimesNewRomanPSMT" w:hAnsi="TimesNewRomanPSMT" w:cs="TimesNewRomanPSMT"/>
          <w:sz w:val="21"/>
          <w:szCs w:val="21"/>
        </w:rPr>
        <w:t xml:space="preserve">Trendy niedoszacowania wartości akcji w procesie pierwszej oferty publicznej przez spółki zasilane funduszami </w:t>
      </w:r>
      <w:proofErr w:type="spellStart"/>
      <w:r>
        <w:rPr>
          <w:rFonts w:ascii="TimesNewRomanPSMT" w:hAnsi="TimesNewRomanPSMT" w:cs="TimesNewRomanPSMT"/>
          <w:sz w:val="21"/>
          <w:szCs w:val="21"/>
        </w:rPr>
        <w:t>private</w:t>
      </w:r>
      <w:proofErr w:type="spellEnd"/>
      <w:r>
        <w:rPr>
          <w:rFonts w:ascii="TimesNewRomanPSMT" w:hAnsi="TimesNewRomanPSMT" w:cs="TimesNewRomanPSMT"/>
          <w:sz w:val="21"/>
          <w:szCs w:val="21"/>
        </w:rPr>
        <w:t xml:space="preserve"> equity na rynku kapitałowym w Polsce w latach 2000-2018</w:t>
      </w:r>
    </w:p>
    <w:p w:rsidR="004872FC" w:rsidRDefault="004872FC" w:rsidP="004872FC">
      <w:pPr>
        <w:autoSpaceDE w:val="0"/>
        <w:autoSpaceDN w:val="0"/>
        <w:adjustRightInd w:val="0"/>
        <w:spacing w:line="240" w:lineRule="auto"/>
        <w:rPr>
          <w:rFonts w:ascii="TimesNewRomanPSMT" w:hAnsi="TimesNewRomanPSMT" w:cs="TimesNewRomanPSMT"/>
        </w:rPr>
      </w:pPr>
    </w:p>
    <w:p w:rsidR="004872FC" w:rsidRPr="004872FC" w:rsidRDefault="004872FC" w:rsidP="004872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i/>
          <w:szCs w:val="24"/>
          <w:lang w:val="en-GB" w:eastAsia="en-GB"/>
        </w:rPr>
      </w:pPr>
      <w:r w:rsidRPr="004872FC">
        <w:rPr>
          <w:rFonts w:eastAsia="Times New Roman" w:cs="Times New Roman"/>
          <w:i/>
          <w:szCs w:val="24"/>
          <w:lang w:val="en" w:eastAsia="en-GB"/>
        </w:rPr>
        <w:t xml:space="preserve">Trends in underpricing of private equity backed IPO at the capital market in </w:t>
      </w:r>
      <w:proofErr w:type="spellStart"/>
      <w:r w:rsidRPr="004872FC">
        <w:rPr>
          <w:rFonts w:eastAsia="Times New Roman" w:cs="Times New Roman"/>
          <w:i/>
          <w:szCs w:val="24"/>
          <w:lang w:val="en" w:eastAsia="en-GB"/>
        </w:rPr>
        <w:t>Polandin</w:t>
      </w:r>
      <w:proofErr w:type="spellEnd"/>
      <w:r w:rsidRPr="004872FC">
        <w:rPr>
          <w:rFonts w:eastAsia="Times New Roman" w:cs="Times New Roman"/>
          <w:i/>
          <w:szCs w:val="24"/>
          <w:lang w:val="en" w:eastAsia="en-GB"/>
        </w:rPr>
        <w:t xml:space="preserve"> the years 2000-2018</w:t>
      </w:r>
    </w:p>
    <w:p w:rsidR="00E60C16" w:rsidRPr="00E60C16" w:rsidRDefault="00E60C16" w:rsidP="00E60C16">
      <w:pPr>
        <w:rPr>
          <w:lang w:val="en-GB"/>
        </w:rPr>
      </w:pPr>
    </w:p>
    <w:p w:rsidR="00E60C16" w:rsidRPr="00E60C16" w:rsidRDefault="00E60C16" w:rsidP="00E60C16">
      <w:pPr>
        <w:rPr>
          <w:sz w:val="16"/>
          <w:szCs w:val="16"/>
          <w:lang w:val="en-GB"/>
        </w:rPr>
      </w:pPr>
      <w:r w:rsidRPr="00E60C16">
        <w:rPr>
          <w:b/>
          <w:sz w:val="16"/>
          <w:szCs w:val="16"/>
          <w:lang w:val="en-GB"/>
        </w:rPr>
        <w:t>Keywords:</w:t>
      </w:r>
      <w:r w:rsidR="004872FC">
        <w:rPr>
          <w:b/>
          <w:sz w:val="16"/>
          <w:szCs w:val="16"/>
          <w:lang w:val="en-GB"/>
        </w:rPr>
        <w:t xml:space="preserve"> IPO </w:t>
      </w:r>
      <w:proofErr w:type="spellStart"/>
      <w:r w:rsidR="004872FC">
        <w:rPr>
          <w:b/>
          <w:sz w:val="16"/>
          <w:szCs w:val="16"/>
          <w:lang w:val="en-GB"/>
        </w:rPr>
        <w:t>underpricing</w:t>
      </w:r>
      <w:proofErr w:type="spellEnd"/>
      <w:r w:rsidR="004872FC">
        <w:rPr>
          <w:b/>
          <w:sz w:val="16"/>
          <w:szCs w:val="16"/>
          <w:lang w:val="en-GB"/>
        </w:rPr>
        <w:t>, private equity backed IPO</w:t>
      </w:r>
      <w:r w:rsidRPr="00E60C16">
        <w:rPr>
          <w:sz w:val="16"/>
          <w:szCs w:val="16"/>
          <w:lang w:val="en-GB"/>
        </w:rPr>
        <w:t xml:space="preserve"> </w:t>
      </w:r>
    </w:p>
    <w:p w:rsidR="00E60C16" w:rsidRPr="004872FC" w:rsidRDefault="00E60C16" w:rsidP="00E60C16">
      <w:pPr>
        <w:rPr>
          <w:sz w:val="16"/>
          <w:szCs w:val="16"/>
          <w:lang w:val="en-GB"/>
        </w:rPr>
      </w:pPr>
      <w:r w:rsidRPr="004872FC">
        <w:rPr>
          <w:b/>
          <w:sz w:val="16"/>
          <w:szCs w:val="16"/>
          <w:lang w:val="en-GB"/>
        </w:rPr>
        <w:t>JEL:</w:t>
      </w:r>
      <w:r w:rsidRPr="004872FC">
        <w:rPr>
          <w:sz w:val="16"/>
          <w:szCs w:val="16"/>
          <w:lang w:val="en-GB"/>
        </w:rPr>
        <w:t xml:space="preserve"> </w:t>
      </w:r>
      <w:r w:rsidR="008430BA" w:rsidRPr="00EE26BF">
        <w:rPr>
          <w:rStyle w:val="st"/>
          <w:rFonts w:cs="Times New Roman"/>
          <w:sz w:val="20"/>
          <w:szCs w:val="20"/>
          <w:lang w:val="en-GB"/>
        </w:rPr>
        <w:t>G11, G24, G32</w:t>
      </w:r>
    </w:p>
    <w:p w:rsidR="00C26D6C" w:rsidRDefault="0051579E" w:rsidP="008430BA">
      <w:pPr>
        <w:autoSpaceDE w:val="0"/>
        <w:autoSpaceDN w:val="0"/>
        <w:adjustRightInd w:val="0"/>
        <w:spacing w:line="240" w:lineRule="auto"/>
        <w:jc w:val="center"/>
        <w:rPr>
          <w:sz w:val="16"/>
          <w:szCs w:val="16"/>
          <w:lang w:val="en-GB"/>
        </w:rPr>
      </w:pPr>
      <w:r w:rsidRPr="00C26D6C">
        <w:rPr>
          <w:b/>
          <w:sz w:val="16"/>
          <w:szCs w:val="16"/>
          <w:lang w:val="en-GB"/>
        </w:rPr>
        <w:t>How to quote this paper</w:t>
      </w:r>
      <w:r w:rsidRPr="008430BA">
        <w:rPr>
          <w:b/>
          <w:sz w:val="16"/>
          <w:szCs w:val="16"/>
          <w:lang w:val="en-GB"/>
        </w:rPr>
        <w:t>:</w:t>
      </w:r>
      <w:r w:rsidRPr="008430BA">
        <w:rPr>
          <w:sz w:val="16"/>
          <w:szCs w:val="16"/>
          <w:lang w:val="en-GB"/>
        </w:rPr>
        <w:t xml:space="preserve"> </w:t>
      </w:r>
      <w:r w:rsidR="008430BA" w:rsidRPr="008430BA">
        <w:rPr>
          <w:sz w:val="16"/>
          <w:szCs w:val="16"/>
          <w:lang w:val="en-GB"/>
        </w:rPr>
        <w:t xml:space="preserve">P. </w:t>
      </w:r>
      <w:proofErr w:type="spellStart"/>
      <w:r w:rsidR="008430BA" w:rsidRPr="008430BA">
        <w:rPr>
          <w:sz w:val="16"/>
          <w:szCs w:val="16"/>
          <w:lang w:val="en-GB"/>
        </w:rPr>
        <w:t>Zasępa</w:t>
      </w:r>
      <w:proofErr w:type="spellEnd"/>
      <w:r w:rsidR="008430BA" w:rsidRPr="008430BA">
        <w:rPr>
          <w:sz w:val="16"/>
          <w:szCs w:val="16"/>
          <w:lang w:val="en-GB"/>
        </w:rPr>
        <w:t xml:space="preserve">, </w:t>
      </w:r>
      <w:r w:rsidR="00C26D6C" w:rsidRPr="008430BA">
        <w:rPr>
          <w:sz w:val="16"/>
          <w:szCs w:val="16"/>
          <w:lang w:val="en-GB"/>
        </w:rPr>
        <w:t>(</w:t>
      </w:r>
      <w:r w:rsidR="008430BA" w:rsidRPr="008430BA">
        <w:rPr>
          <w:sz w:val="16"/>
          <w:szCs w:val="16"/>
          <w:lang w:val="en-GB"/>
        </w:rPr>
        <w:t>2019</w:t>
      </w:r>
      <w:r w:rsidR="0032701E" w:rsidRPr="008430BA">
        <w:rPr>
          <w:sz w:val="16"/>
          <w:szCs w:val="16"/>
          <w:lang w:val="en-GB"/>
        </w:rPr>
        <w:t>).</w:t>
      </w:r>
      <w:r w:rsidR="00C26D6C" w:rsidRPr="008430BA">
        <w:rPr>
          <w:sz w:val="16"/>
          <w:szCs w:val="16"/>
          <w:lang w:val="en-GB"/>
        </w:rPr>
        <w:t xml:space="preserve"> </w:t>
      </w:r>
      <w:r w:rsidR="008430BA" w:rsidRPr="008430BA">
        <w:rPr>
          <w:rFonts w:ascii="TimesNewRomanPSMT" w:hAnsi="TimesNewRomanPSMT" w:cs="TimesNewRomanPSMT"/>
          <w:sz w:val="16"/>
          <w:szCs w:val="16"/>
        </w:rPr>
        <w:t xml:space="preserve">Trendy niedoszacowania wartości akcji w procesie pierwszej oferty publicznej przez spółki zasilane funduszami </w:t>
      </w:r>
      <w:proofErr w:type="spellStart"/>
      <w:r w:rsidR="008430BA" w:rsidRPr="008430BA">
        <w:rPr>
          <w:rFonts w:ascii="TimesNewRomanPSMT" w:hAnsi="TimesNewRomanPSMT" w:cs="TimesNewRomanPSMT"/>
          <w:sz w:val="16"/>
          <w:szCs w:val="16"/>
        </w:rPr>
        <w:t>private</w:t>
      </w:r>
      <w:proofErr w:type="spellEnd"/>
      <w:r w:rsidR="008430BA" w:rsidRPr="008430BA">
        <w:rPr>
          <w:rFonts w:ascii="TimesNewRomanPSMT" w:hAnsi="TimesNewRomanPSMT" w:cs="TimesNewRomanPSMT"/>
          <w:sz w:val="16"/>
          <w:szCs w:val="16"/>
        </w:rPr>
        <w:t xml:space="preserve"> equity na rynku kapitałowym w Polsce w latach 2000-2018, </w:t>
      </w:r>
      <w:r w:rsidR="00C26D6C" w:rsidRPr="008430BA">
        <w:rPr>
          <w:sz w:val="16"/>
          <w:szCs w:val="16"/>
        </w:rPr>
        <w:t xml:space="preserve">. </w:t>
      </w:r>
      <w:proofErr w:type="spellStart"/>
      <w:r w:rsidR="00C26D6C" w:rsidRPr="008430BA">
        <w:rPr>
          <w:i/>
          <w:sz w:val="16"/>
          <w:szCs w:val="16"/>
          <w:lang w:val="en-GB"/>
        </w:rPr>
        <w:t>Annales</w:t>
      </w:r>
      <w:proofErr w:type="spellEnd"/>
      <w:r w:rsidR="00C26D6C" w:rsidRPr="008430BA">
        <w:rPr>
          <w:i/>
          <w:sz w:val="16"/>
          <w:szCs w:val="16"/>
          <w:lang w:val="en-GB"/>
        </w:rPr>
        <w:t xml:space="preserve"> </w:t>
      </w:r>
      <w:proofErr w:type="spellStart"/>
      <w:r w:rsidR="00C26D6C" w:rsidRPr="008430BA">
        <w:rPr>
          <w:i/>
          <w:sz w:val="16"/>
          <w:szCs w:val="16"/>
          <w:lang w:val="en-GB"/>
        </w:rPr>
        <w:t>Universitatis</w:t>
      </w:r>
      <w:proofErr w:type="spellEnd"/>
      <w:r w:rsidR="00C26D6C" w:rsidRPr="008430BA">
        <w:rPr>
          <w:i/>
          <w:sz w:val="16"/>
          <w:szCs w:val="16"/>
          <w:lang w:val="en-GB"/>
        </w:rPr>
        <w:t xml:space="preserve"> </w:t>
      </w:r>
      <w:proofErr w:type="spellStart"/>
      <w:r w:rsidR="00C26D6C" w:rsidRPr="008430BA">
        <w:rPr>
          <w:i/>
          <w:sz w:val="16"/>
          <w:szCs w:val="16"/>
          <w:lang w:val="en-GB"/>
        </w:rPr>
        <w:t>Mariae</w:t>
      </w:r>
      <w:proofErr w:type="spellEnd"/>
      <w:r w:rsidR="00C26D6C" w:rsidRPr="008430BA">
        <w:rPr>
          <w:i/>
          <w:sz w:val="16"/>
          <w:szCs w:val="16"/>
          <w:lang w:val="en-GB"/>
        </w:rPr>
        <w:t xml:space="preserve"> Curie-</w:t>
      </w:r>
      <w:proofErr w:type="spellStart"/>
      <w:r w:rsidR="00C26D6C" w:rsidRPr="008430BA">
        <w:rPr>
          <w:i/>
          <w:sz w:val="16"/>
          <w:szCs w:val="16"/>
          <w:lang w:val="en-GB"/>
        </w:rPr>
        <w:t>Skłodowska</w:t>
      </w:r>
      <w:proofErr w:type="spellEnd"/>
      <w:r w:rsidR="00C26D6C" w:rsidRPr="008430BA">
        <w:rPr>
          <w:i/>
          <w:sz w:val="16"/>
          <w:szCs w:val="16"/>
          <w:lang w:val="en-GB"/>
        </w:rPr>
        <w:t xml:space="preserve">, </w:t>
      </w:r>
      <w:proofErr w:type="spellStart"/>
      <w:r w:rsidR="00C26D6C" w:rsidRPr="008430BA">
        <w:rPr>
          <w:i/>
          <w:sz w:val="16"/>
          <w:szCs w:val="16"/>
          <w:lang w:val="en-GB"/>
        </w:rPr>
        <w:t>sectio</w:t>
      </w:r>
      <w:proofErr w:type="spellEnd"/>
      <w:r w:rsidR="00C26D6C" w:rsidRPr="008430BA">
        <w:rPr>
          <w:i/>
          <w:sz w:val="16"/>
          <w:szCs w:val="16"/>
          <w:lang w:val="en-GB"/>
        </w:rPr>
        <w:t xml:space="preserve"> H – </w:t>
      </w:r>
      <w:proofErr w:type="spellStart"/>
      <w:r w:rsidR="00C26D6C" w:rsidRPr="008430BA">
        <w:rPr>
          <w:i/>
          <w:sz w:val="16"/>
          <w:szCs w:val="16"/>
          <w:lang w:val="en-GB"/>
        </w:rPr>
        <w:t>Oeconomia</w:t>
      </w:r>
      <w:proofErr w:type="spellEnd"/>
      <w:r w:rsidR="00C26D6C">
        <w:rPr>
          <w:sz w:val="16"/>
          <w:szCs w:val="16"/>
          <w:lang w:val="en-GB"/>
        </w:rPr>
        <w:t xml:space="preserve">, </w:t>
      </w:r>
    </w:p>
    <w:p w:rsidR="00C26D6C" w:rsidRDefault="00C26D6C" w:rsidP="00E60C16">
      <w:pPr>
        <w:rPr>
          <w:sz w:val="16"/>
          <w:szCs w:val="16"/>
          <w:lang w:val="en-GB"/>
        </w:rPr>
      </w:pPr>
    </w:p>
    <w:p w:rsidR="00C26D6C" w:rsidRDefault="00C26D6C" w:rsidP="00E60C16">
      <w:pPr>
        <w:rPr>
          <w:sz w:val="16"/>
          <w:szCs w:val="16"/>
          <w:lang w:val="en-GB"/>
        </w:rPr>
      </w:pPr>
    </w:p>
    <w:p w:rsidR="00C26D6C" w:rsidRDefault="00C26D6C" w:rsidP="00E60C16">
      <w:pPr>
        <w:rPr>
          <w:sz w:val="16"/>
          <w:szCs w:val="16"/>
          <w:lang w:val="en-GB"/>
        </w:rPr>
      </w:pPr>
    </w:p>
    <w:p w:rsidR="008430BA" w:rsidRPr="008430BA" w:rsidRDefault="00E60C16" w:rsidP="008430BA">
      <w:pPr>
        <w:spacing w:line="360" w:lineRule="auto"/>
        <w:rPr>
          <w:rFonts w:cs="Times New Roman"/>
          <w:sz w:val="20"/>
          <w:szCs w:val="20"/>
          <w:lang w:val="en-GB"/>
        </w:rPr>
      </w:pPr>
      <w:r w:rsidRPr="009C1073">
        <w:rPr>
          <w:b/>
          <w:sz w:val="20"/>
          <w:szCs w:val="20"/>
          <w:lang w:val="en-GB"/>
        </w:rPr>
        <w:t>Abstract</w:t>
      </w:r>
      <w:r w:rsidR="008430BA">
        <w:rPr>
          <w:b/>
          <w:sz w:val="20"/>
          <w:szCs w:val="20"/>
          <w:lang w:val="en-GB"/>
        </w:rPr>
        <w:t xml:space="preserve"> </w:t>
      </w:r>
      <w:r w:rsidR="008430BA" w:rsidRPr="008430BA">
        <w:rPr>
          <w:rFonts w:cs="Times New Roman"/>
          <w:sz w:val="20"/>
          <w:szCs w:val="20"/>
          <w:lang w:val="en"/>
        </w:rPr>
        <w:t>The global economy is distinguished by the dynamic development of financial markets and with it creating a new specific segments of the market. One of them is the market for venture capital and private equity funds, which is developing very dynamically for more than 50 years. This article aims to analyze the level of underestimation of the IPO on the Warsaw Stock Exchange companies supplied by venture capital and private equity funds. Analyzing the rate of retu</w:t>
      </w:r>
      <w:r w:rsidR="008430BA">
        <w:rPr>
          <w:rFonts w:cs="Times New Roman"/>
          <w:sz w:val="20"/>
          <w:szCs w:val="20"/>
          <w:lang w:val="en"/>
        </w:rPr>
        <w:t>rn of 54</w:t>
      </w:r>
      <w:r w:rsidR="008430BA" w:rsidRPr="008430BA">
        <w:rPr>
          <w:rFonts w:cs="Times New Roman"/>
          <w:sz w:val="20"/>
          <w:szCs w:val="20"/>
          <w:lang w:val="en"/>
        </w:rPr>
        <w:t xml:space="preserve"> co</w:t>
      </w:r>
      <w:r w:rsidR="008430BA">
        <w:rPr>
          <w:rFonts w:cs="Times New Roman"/>
          <w:sz w:val="20"/>
          <w:szCs w:val="20"/>
          <w:lang w:val="en"/>
        </w:rPr>
        <w:t>mpanies supplied VC funds and 453</w:t>
      </w:r>
      <w:r w:rsidR="008430BA" w:rsidRPr="008430BA">
        <w:rPr>
          <w:rFonts w:cs="Times New Roman"/>
          <w:sz w:val="20"/>
          <w:szCs w:val="20"/>
          <w:lang w:val="en"/>
        </w:rPr>
        <w:t xml:space="preserve"> companies do not have the support of venture capital funds in the 200</w:t>
      </w:r>
      <w:r w:rsidR="008430BA">
        <w:rPr>
          <w:rFonts w:cs="Times New Roman"/>
          <w:sz w:val="20"/>
          <w:szCs w:val="20"/>
          <w:lang w:val="en"/>
        </w:rPr>
        <w:t>0</w:t>
      </w:r>
      <w:r w:rsidR="008430BA" w:rsidRPr="008430BA">
        <w:rPr>
          <w:rFonts w:cs="Times New Roman"/>
          <w:sz w:val="20"/>
          <w:szCs w:val="20"/>
          <w:lang w:val="en"/>
        </w:rPr>
        <w:t>-201</w:t>
      </w:r>
      <w:r w:rsidR="008430BA">
        <w:rPr>
          <w:rFonts w:cs="Times New Roman"/>
          <w:sz w:val="20"/>
          <w:szCs w:val="20"/>
          <w:lang w:val="en"/>
        </w:rPr>
        <w:t>8</w:t>
      </w:r>
      <w:r w:rsidR="008430BA" w:rsidRPr="008430BA">
        <w:rPr>
          <w:rFonts w:cs="Times New Roman"/>
          <w:sz w:val="20"/>
          <w:szCs w:val="20"/>
          <w:lang w:val="en"/>
        </w:rPr>
        <w:t xml:space="preserve"> period should be stated that the company's traditional reached the lower level of underestimation. For companies a broad market level u</w:t>
      </w:r>
      <w:r w:rsidR="008430BA">
        <w:rPr>
          <w:rFonts w:cs="Times New Roman"/>
          <w:sz w:val="20"/>
          <w:szCs w:val="20"/>
          <w:lang w:val="en"/>
        </w:rPr>
        <w:t>nderestimation of the IPO was 9.99</w:t>
      </w:r>
      <w:r w:rsidR="008430BA" w:rsidRPr="008430BA">
        <w:rPr>
          <w:rFonts w:cs="Times New Roman"/>
          <w:sz w:val="20"/>
          <w:szCs w:val="20"/>
          <w:lang w:val="en"/>
        </w:rPr>
        <w:t xml:space="preserve">% and for companies with VC/PE support - </w:t>
      </w:r>
      <w:r w:rsidR="008430BA">
        <w:rPr>
          <w:rFonts w:cs="Times New Roman"/>
          <w:sz w:val="20"/>
          <w:szCs w:val="20"/>
          <w:lang w:val="en"/>
        </w:rPr>
        <w:t xml:space="preserve"> 9.12</w:t>
      </w:r>
      <w:r w:rsidR="008430BA" w:rsidRPr="008430BA">
        <w:rPr>
          <w:rFonts w:cs="Times New Roman"/>
          <w:sz w:val="20"/>
          <w:szCs w:val="20"/>
          <w:lang w:val="en"/>
        </w:rPr>
        <w:t>%.</w:t>
      </w:r>
    </w:p>
    <w:p w:rsidR="009C1073" w:rsidRDefault="009C1073" w:rsidP="00E60C16">
      <w:pPr>
        <w:rPr>
          <w:sz w:val="20"/>
          <w:szCs w:val="20"/>
          <w:lang w:val="en-GB"/>
        </w:rPr>
      </w:pPr>
    </w:p>
    <w:p w:rsidR="00F964BF" w:rsidRPr="00302DCA" w:rsidRDefault="00F964BF" w:rsidP="00F964BF">
      <w:pPr>
        <w:autoSpaceDE w:val="0"/>
        <w:autoSpaceDN w:val="0"/>
        <w:adjustRightInd w:val="0"/>
        <w:spacing w:line="240" w:lineRule="auto"/>
        <w:rPr>
          <w:rFonts w:cs="Times New Roman"/>
          <w:b/>
          <w:szCs w:val="24"/>
        </w:rPr>
      </w:pPr>
      <w:r w:rsidRPr="00302DCA">
        <w:rPr>
          <w:rFonts w:cs="Times New Roman"/>
          <w:b/>
          <w:szCs w:val="24"/>
        </w:rPr>
        <w:t>Wstęp</w:t>
      </w:r>
    </w:p>
    <w:p w:rsidR="00F964BF" w:rsidRPr="00261CF0" w:rsidRDefault="00F964BF" w:rsidP="00F964BF">
      <w:pPr>
        <w:autoSpaceDE w:val="0"/>
        <w:autoSpaceDN w:val="0"/>
        <w:adjustRightInd w:val="0"/>
        <w:spacing w:line="360" w:lineRule="auto"/>
        <w:rPr>
          <w:rFonts w:cs="Times New Roman"/>
          <w:szCs w:val="24"/>
        </w:rPr>
      </w:pPr>
    </w:p>
    <w:p w:rsidR="00F964BF" w:rsidRPr="00AD04A3" w:rsidRDefault="00F964BF" w:rsidP="00F964BF">
      <w:pPr>
        <w:autoSpaceDE w:val="0"/>
        <w:autoSpaceDN w:val="0"/>
        <w:adjustRightInd w:val="0"/>
        <w:spacing w:line="360" w:lineRule="auto"/>
        <w:ind w:firstLine="360"/>
        <w:rPr>
          <w:rFonts w:cs="Times New Roman"/>
          <w:szCs w:val="24"/>
        </w:rPr>
      </w:pPr>
      <w:r w:rsidRPr="00261CF0">
        <w:rPr>
          <w:rFonts w:cs="Times New Roman"/>
          <w:szCs w:val="24"/>
        </w:rPr>
        <w:t xml:space="preserve">Podjęcie przez spółkę akcyjną decyzji o przeprowadzeniu pierwszej oferty publicznej jest uwarunkowane wieloma czynnikami, jednak najbardziej oczywistą przesłanką upublicznienia spółki jest chęć pozyskania kapitału </w:t>
      </w:r>
      <w:r>
        <w:rPr>
          <w:rFonts w:cs="Times New Roman"/>
          <w:szCs w:val="24"/>
        </w:rPr>
        <w:t xml:space="preserve">na rozwój </w:t>
      </w:r>
      <w:r w:rsidRPr="00261CF0">
        <w:rPr>
          <w:rFonts w:cs="Times New Roman"/>
          <w:szCs w:val="24"/>
        </w:rPr>
        <w:t xml:space="preserve">w wyniku nowej emisji akcji. Wiąże się to wszakże z koniecznością poniesienia kosztów emisji oraz kosztów wprowadzenia akcji do regulowanego obrotu wtórnego, gdy strategicznym wyborem emitenta jest zapewnienie notowania akcji na rynku wtórnym, w szczególności na giełdzie papierów wartościowych. W przypadku spółek zasilanych funduszami </w:t>
      </w:r>
      <w:proofErr w:type="spellStart"/>
      <w:r w:rsidRPr="00261CF0">
        <w:rPr>
          <w:rFonts w:cs="Times New Roman"/>
          <w:szCs w:val="24"/>
        </w:rPr>
        <w:t>private</w:t>
      </w:r>
      <w:proofErr w:type="spellEnd"/>
      <w:r w:rsidRPr="00261CF0">
        <w:rPr>
          <w:rFonts w:cs="Times New Roman"/>
          <w:szCs w:val="24"/>
        </w:rPr>
        <w:t xml:space="preserve"> equity jedną z przyczyn może być chęć przeprowadzenia </w:t>
      </w:r>
      <w:proofErr w:type="spellStart"/>
      <w:r w:rsidRPr="00261CF0">
        <w:rPr>
          <w:rFonts w:cs="Times New Roman"/>
          <w:szCs w:val="24"/>
        </w:rPr>
        <w:t>dezinwestycji</w:t>
      </w:r>
      <w:proofErr w:type="spellEnd"/>
      <w:r w:rsidRPr="00261CF0">
        <w:rPr>
          <w:rFonts w:cs="Times New Roman"/>
          <w:szCs w:val="24"/>
        </w:rPr>
        <w:t xml:space="preserve"> posiadanych akcji w portfelu. Fundusze często wprowadzają spółkę na giełdę w celu późniejszej sprzedaży posiadanych udziałów, gdyż tak mogą stanowić zapisy umowy inwestycyjnej. Według danych statystycznych w latach 2000-2018 na Giełdzie Papierów Wartoś</w:t>
      </w:r>
      <w:r w:rsidR="00735DF6">
        <w:rPr>
          <w:rFonts w:cs="Times New Roman"/>
          <w:szCs w:val="24"/>
        </w:rPr>
        <w:t>ciowych w Warszawie debiutowało</w:t>
      </w:r>
      <w:r>
        <w:rPr>
          <w:rFonts w:cs="Times New Roman"/>
          <w:szCs w:val="24"/>
        </w:rPr>
        <w:t xml:space="preserve"> 453</w:t>
      </w:r>
      <w:r w:rsidRPr="00261CF0">
        <w:rPr>
          <w:rFonts w:cs="Times New Roman"/>
          <w:szCs w:val="24"/>
        </w:rPr>
        <w:t xml:space="preserve"> spółek w tym spół</w:t>
      </w:r>
      <w:r>
        <w:rPr>
          <w:rFonts w:cs="Times New Roman"/>
          <w:szCs w:val="24"/>
        </w:rPr>
        <w:t xml:space="preserve">ek zasilanych </w:t>
      </w:r>
      <w:r>
        <w:rPr>
          <w:rFonts w:cs="Times New Roman"/>
          <w:szCs w:val="24"/>
        </w:rPr>
        <w:lastRenderedPageBreak/>
        <w:t>funduszami było 54</w:t>
      </w:r>
      <w:r>
        <w:rPr>
          <w:rStyle w:val="Odwoanieprzypisudolnego"/>
          <w:rFonts w:cs="Times New Roman"/>
          <w:szCs w:val="24"/>
        </w:rPr>
        <w:footnoteReference w:id="1"/>
      </w:r>
      <w:r w:rsidRPr="00261CF0">
        <w:rPr>
          <w:rFonts w:cs="Times New Roman"/>
          <w:szCs w:val="24"/>
        </w:rPr>
        <w:t>. Sta</w:t>
      </w:r>
      <w:r>
        <w:rPr>
          <w:rFonts w:cs="Times New Roman"/>
          <w:szCs w:val="24"/>
        </w:rPr>
        <w:t xml:space="preserve">nowi to ponad 12 </w:t>
      </w:r>
      <w:r w:rsidRPr="00261CF0">
        <w:rPr>
          <w:rFonts w:cs="Times New Roman"/>
          <w:szCs w:val="24"/>
        </w:rPr>
        <w:t>% wszystkich debiutów</w:t>
      </w:r>
      <w:r>
        <w:rPr>
          <w:rFonts w:cs="Times New Roman"/>
          <w:szCs w:val="24"/>
        </w:rPr>
        <w:t xml:space="preserve"> (w ujęciu ilościowym)</w:t>
      </w:r>
      <w:r w:rsidRPr="00261CF0">
        <w:rPr>
          <w:rFonts w:cs="Times New Roman"/>
          <w:szCs w:val="24"/>
        </w:rPr>
        <w:t xml:space="preserve">, co zasługuje na bliższe zbadanie zachowania się tych podmiotów po przeprowadzeniu pierwszej oferty publicznej. Dotychczasowe badania empiryczne także i w tym </w:t>
      </w:r>
      <w:r w:rsidRPr="0006289C">
        <w:rPr>
          <w:rFonts w:cs="Times New Roman"/>
          <w:szCs w:val="24"/>
        </w:rPr>
        <w:t>przypadku wskazują na występowanie pewnych schematów, którymi charakteryzują się ceny akcji oraz ich stopy zwrotu. Celem artykułu jest analiza zachowa</w:t>
      </w:r>
      <w:r>
        <w:rPr>
          <w:rFonts w:cs="Times New Roman"/>
          <w:szCs w:val="24"/>
        </w:rPr>
        <w:t>n</w:t>
      </w:r>
      <w:r w:rsidRPr="0006289C">
        <w:rPr>
          <w:rFonts w:cs="Times New Roman"/>
          <w:szCs w:val="24"/>
        </w:rPr>
        <w:t xml:space="preserve">ia się cen akcji oraz stóp zwrotu spółek zasilanych funduszami </w:t>
      </w:r>
      <w:proofErr w:type="spellStart"/>
      <w:r w:rsidRPr="0006289C">
        <w:rPr>
          <w:rFonts w:cs="Times New Roman"/>
          <w:szCs w:val="24"/>
        </w:rPr>
        <w:t>private</w:t>
      </w:r>
      <w:proofErr w:type="spellEnd"/>
      <w:r w:rsidRPr="0006289C">
        <w:rPr>
          <w:rFonts w:cs="Times New Roman"/>
          <w:szCs w:val="24"/>
        </w:rPr>
        <w:t xml:space="preserve"> equity na tle pozostałych po</w:t>
      </w:r>
      <w:r>
        <w:rPr>
          <w:rFonts w:cs="Times New Roman"/>
          <w:szCs w:val="24"/>
        </w:rPr>
        <w:t xml:space="preserve">dmiotów przeprowadzających </w:t>
      </w:r>
      <w:r w:rsidRPr="00AD04A3">
        <w:rPr>
          <w:rFonts w:cs="Times New Roman"/>
          <w:szCs w:val="24"/>
        </w:rPr>
        <w:t xml:space="preserve">transakcję </w:t>
      </w:r>
      <w:r>
        <w:rPr>
          <w:rFonts w:cs="Times New Roman"/>
          <w:szCs w:val="24"/>
        </w:rPr>
        <w:t>pier</w:t>
      </w:r>
      <w:r w:rsidR="00234278">
        <w:rPr>
          <w:rFonts w:cs="Times New Roman"/>
          <w:szCs w:val="24"/>
        </w:rPr>
        <w:t xml:space="preserve">wszej oferty publicznej (ang. </w:t>
      </w:r>
      <w:proofErr w:type="spellStart"/>
      <w:r w:rsidR="00234278">
        <w:rPr>
          <w:rFonts w:cs="Times New Roman"/>
          <w:szCs w:val="24"/>
        </w:rPr>
        <w:t>I</w:t>
      </w:r>
      <w:r>
        <w:rPr>
          <w:rFonts w:cs="Times New Roman"/>
          <w:szCs w:val="24"/>
        </w:rPr>
        <w:t>nitial</w:t>
      </w:r>
      <w:proofErr w:type="spellEnd"/>
      <w:r>
        <w:rPr>
          <w:rFonts w:cs="Times New Roman"/>
          <w:szCs w:val="24"/>
        </w:rPr>
        <w:t xml:space="preserve"> Public </w:t>
      </w:r>
      <w:proofErr w:type="spellStart"/>
      <w:r>
        <w:rPr>
          <w:rFonts w:cs="Times New Roman"/>
          <w:szCs w:val="24"/>
        </w:rPr>
        <w:t>Offering</w:t>
      </w:r>
      <w:proofErr w:type="spellEnd"/>
      <w:r>
        <w:rPr>
          <w:rFonts w:cs="Times New Roman"/>
          <w:szCs w:val="24"/>
        </w:rPr>
        <w:t xml:space="preserve"> – </w:t>
      </w:r>
      <w:r w:rsidRPr="00AD04A3">
        <w:rPr>
          <w:rFonts w:cs="Times New Roman"/>
          <w:szCs w:val="24"/>
        </w:rPr>
        <w:t>IPO</w:t>
      </w:r>
      <w:r>
        <w:rPr>
          <w:rFonts w:cs="Times New Roman"/>
          <w:szCs w:val="24"/>
        </w:rPr>
        <w:t>)</w:t>
      </w:r>
      <w:r w:rsidRPr="00AD04A3">
        <w:rPr>
          <w:rFonts w:cs="Times New Roman"/>
          <w:szCs w:val="24"/>
        </w:rPr>
        <w:t xml:space="preserve"> na GPW w Warszawie w latach 2000-2018. Wybrany do analizy przedział czasowy jest dość szeroki i zarazem wystarczający do zbadania zmian zachowania się cen akcji i ich stóp zwrotu na przestrzeni osiemnastu lat. </w:t>
      </w:r>
      <w:r>
        <w:rPr>
          <w:rFonts w:cs="Times New Roman"/>
          <w:szCs w:val="24"/>
        </w:rPr>
        <w:t xml:space="preserve">Tak szeroki okres badania jest również bardzo ciekawy z tego powodu, iż przeprowadzone do tej pory badania dotyczące krótszych podokresów wskazują na odmienne wyniki w stosunku do tych, które zostały zaobserwowane w trakcie analizy danych dotyczących wskazanego w tytule artykułu okresu. </w:t>
      </w:r>
    </w:p>
    <w:p w:rsidR="00F964BF" w:rsidRDefault="00F964BF" w:rsidP="00F964BF">
      <w:pPr>
        <w:autoSpaceDE w:val="0"/>
        <w:autoSpaceDN w:val="0"/>
        <w:adjustRightInd w:val="0"/>
        <w:spacing w:line="240" w:lineRule="auto"/>
        <w:rPr>
          <w:rFonts w:cs="Times New Roman"/>
          <w:szCs w:val="24"/>
        </w:rPr>
      </w:pPr>
    </w:p>
    <w:p w:rsidR="00F964BF" w:rsidRDefault="00F964BF" w:rsidP="00BF12A7">
      <w:pPr>
        <w:autoSpaceDE w:val="0"/>
        <w:autoSpaceDN w:val="0"/>
        <w:adjustRightInd w:val="0"/>
        <w:spacing w:line="360" w:lineRule="auto"/>
        <w:ind w:firstLine="360"/>
        <w:rPr>
          <w:rFonts w:cs="Times New Roman"/>
          <w:szCs w:val="24"/>
        </w:rPr>
      </w:pPr>
      <w:r w:rsidRPr="00690BF0">
        <w:rPr>
          <w:rFonts w:cs="Times New Roman"/>
          <w:szCs w:val="24"/>
        </w:rPr>
        <w:t>Rynek kapitałowy jest miejscem zarówno pozyskiwania, jak i inwestowania kapitału, a jego dwa podstawowe segmenty stanowią rynek pierwotny i wtórny. Na rynku</w:t>
      </w:r>
      <w:r>
        <w:rPr>
          <w:rFonts w:cs="Times New Roman"/>
          <w:szCs w:val="24"/>
        </w:rPr>
        <w:t xml:space="preserve"> </w:t>
      </w:r>
      <w:r w:rsidRPr="00690BF0">
        <w:rPr>
          <w:rFonts w:cs="Times New Roman"/>
          <w:szCs w:val="24"/>
        </w:rPr>
        <w:t>pierwotnym emitenci oferują inwestorom akcje po cenie emisyjnej. Jeżeli jest to pierwsza oferta skierowana do nieograniczonej liczby inwestorów (w Polsce co najmniej do 100), to jest to tzw. pierwsza oferta publiczna. Spółka oferuje po raz pierwszy akcje publiczności i dopiero po emisji</w:t>
      </w:r>
      <w:r>
        <w:rPr>
          <w:rFonts w:cs="Times New Roman"/>
          <w:szCs w:val="24"/>
        </w:rPr>
        <w:t xml:space="preserve"> </w:t>
      </w:r>
      <w:r w:rsidRPr="00690BF0">
        <w:rPr>
          <w:rFonts w:cs="Times New Roman"/>
          <w:szCs w:val="24"/>
        </w:rPr>
        <w:t>rozpocznie się ich notowanie na giełdzie. Optymalny mechanizm tej oferty z punktu</w:t>
      </w:r>
      <w:r>
        <w:rPr>
          <w:rFonts w:cs="Times New Roman"/>
          <w:szCs w:val="24"/>
        </w:rPr>
        <w:t xml:space="preserve"> </w:t>
      </w:r>
      <w:r w:rsidRPr="00690BF0">
        <w:rPr>
          <w:rFonts w:cs="Times New Roman"/>
          <w:szCs w:val="24"/>
        </w:rPr>
        <w:t>widzenia emitenta to taki, który pozwala na maksymalizacji dochodu z tytułu emisji</w:t>
      </w:r>
      <w:r>
        <w:rPr>
          <w:rFonts w:cs="Times New Roman"/>
          <w:szCs w:val="24"/>
        </w:rPr>
        <w:t xml:space="preserve"> </w:t>
      </w:r>
      <w:r w:rsidRPr="00690BF0">
        <w:rPr>
          <w:rFonts w:cs="Times New Roman"/>
          <w:szCs w:val="24"/>
        </w:rPr>
        <w:t>akcji.</w:t>
      </w:r>
    </w:p>
    <w:p w:rsidR="00F964BF" w:rsidRDefault="00F964BF" w:rsidP="00F964BF">
      <w:pPr>
        <w:autoSpaceDE w:val="0"/>
        <w:autoSpaceDN w:val="0"/>
        <w:adjustRightInd w:val="0"/>
        <w:spacing w:line="360" w:lineRule="auto"/>
        <w:rPr>
          <w:rFonts w:cs="Times New Roman"/>
          <w:szCs w:val="24"/>
        </w:rPr>
      </w:pPr>
    </w:p>
    <w:p w:rsidR="00F964BF" w:rsidRDefault="00F964BF" w:rsidP="00BF12A7">
      <w:pPr>
        <w:autoSpaceDE w:val="0"/>
        <w:autoSpaceDN w:val="0"/>
        <w:adjustRightInd w:val="0"/>
        <w:spacing w:line="360" w:lineRule="auto"/>
        <w:ind w:firstLine="360"/>
        <w:rPr>
          <w:rFonts w:cs="Times New Roman"/>
          <w:szCs w:val="24"/>
        </w:rPr>
      </w:pPr>
      <w:r w:rsidRPr="00BA1D3D">
        <w:rPr>
          <w:rFonts w:cs="Times New Roman"/>
          <w:szCs w:val="24"/>
        </w:rPr>
        <w:t>Szeroki nurt badawczy stanowią próby wyjaśnienia fenomenu wzrostu cen akcji w krótkim okresie (</w:t>
      </w:r>
      <w:proofErr w:type="spellStart"/>
      <w:r w:rsidRPr="00BA1D3D">
        <w:rPr>
          <w:rFonts w:cs="Times New Roman"/>
          <w:i/>
          <w:iCs/>
          <w:szCs w:val="24"/>
        </w:rPr>
        <w:t>underpricing</w:t>
      </w:r>
      <w:proofErr w:type="spellEnd"/>
      <w:r w:rsidRPr="00BA1D3D">
        <w:rPr>
          <w:rFonts w:cs="Times New Roman"/>
          <w:szCs w:val="24"/>
        </w:rPr>
        <w:t>) i długoterminowego ich spadku w długim okresie po wejściu spółki na giełdę (</w:t>
      </w:r>
      <w:proofErr w:type="spellStart"/>
      <w:r w:rsidRPr="00BA1D3D">
        <w:rPr>
          <w:rFonts w:cs="Times New Roman"/>
          <w:i/>
          <w:iCs/>
          <w:szCs w:val="24"/>
        </w:rPr>
        <w:t>underperformance</w:t>
      </w:r>
      <w:proofErr w:type="spellEnd"/>
      <w:r w:rsidRPr="00BA1D3D">
        <w:rPr>
          <w:rFonts w:cs="Times New Roman"/>
          <w:szCs w:val="24"/>
        </w:rPr>
        <w:t xml:space="preserve">). </w:t>
      </w:r>
      <w:r>
        <w:rPr>
          <w:rFonts w:cs="Times New Roman"/>
          <w:szCs w:val="24"/>
        </w:rPr>
        <w:t>Teorie opisujące zjawisko niedoszacowania można podzielić na 4 główne grupy:</w:t>
      </w:r>
    </w:p>
    <w:p w:rsidR="00F964BF" w:rsidRDefault="00F964BF" w:rsidP="00F964BF">
      <w:pPr>
        <w:pStyle w:val="Akapitzlist"/>
        <w:numPr>
          <w:ilvl w:val="0"/>
          <w:numId w:val="2"/>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teoria asymetrii informacji (</w:t>
      </w:r>
      <w:proofErr w:type="spellStart"/>
      <w:r w:rsidRPr="0014364A">
        <w:rPr>
          <w:rFonts w:ascii="Times New Roman" w:hAnsi="Times New Roman" w:cs="Times New Roman"/>
          <w:i/>
          <w:sz w:val="24"/>
          <w:szCs w:val="24"/>
        </w:rPr>
        <w:t>asymmetric</w:t>
      </w:r>
      <w:proofErr w:type="spellEnd"/>
      <w:r w:rsidRPr="0014364A">
        <w:rPr>
          <w:rFonts w:ascii="Times New Roman" w:hAnsi="Times New Roman" w:cs="Times New Roman"/>
          <w:i/>
          <w:sz w:val="24"/>
          <w:szCs w:val="24"/>
        </w:rPr>
        <w:t xml:space="preserve"> </w:t>
      </w:r>
      <w:proofErr w:type="spellStart"/>
      <w:r w:rsidRPr="0014364A">
        <w:rPr>
          <w:rFonts w:ascii="Times New Roman" w:hAnsi="Times New Roman" w:cs="Times New Roman"/>
          <w:i/>
          <w:sz w:val="24"/>
          <w:szCs w:val="24"/>
        </w:rPr>
        <w:t>information</w:t>
      </w:r>
      <w:proofErr w:type="spellEnd"/>
      <w:r w:rsidRPr="0014364A">
        <w:rPr>
          <w:rFonts w:ascii="Times New Roman" w:hAnsi="Times New Roman" w:cs="Times New Roman"/>
          <w:i/>
          <w:sz w:val="24"/>
          <w:szCs w:val="24"/>
        </w:rPr>
        <w:t xml:space="preserve"> </w:t>
      </w:r>
      <w:proofErr w:type="spellStart"/>
      <w:r w:rsidRPr="0014364A">
        <w:rPr>
          <w:rFonts w:ascii="Times New Roman" w:hAnsi="Times New Roman" w:cs="Times New Roman"/>
          <w:i/>
          <w:sz w:val="24"/>
          <w:szCs w:val="24"/>
        </w:rPr>
        <w:t>theories</w:t>
      </w:r>
      <w:proofErr w:type="spellEnd"/>
      <w:r>
        <w:rPr>
          <w:rFonts w:ascii="Times New Roman" w:hAnsi="Times New Roman" w:cs="Times New Roman"/>
          <w:sz w:val="24"/>
          <w:szCs w:val="24"/>
        </w:rPr>
        <w:t>),</w:t>
      </w:r>
    </w:p>
    <w:p w:rsidR="00F964BF" w:rsidRDefault="00F964BF" w:rsidP="00F964BF">
      <w:pPr>
        <w:pStyle w:val="Akapitzlist"/>
        <w:numPr>
          <w:ilvl w:val="0"/>
          <w:numId w:val="2"/>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teorie uwarunkowań instytucjonalnych (</w:t>
      </w:r>
      <w:proofErr w:type="spellStart"/>
      <w:r w:rsidRPr="0014364A">
        <w:rPr>
          <w:rFonts w:ascii="Times New Roman" w:hAnsi="Times New Roman" w:cs="Times New Roman"/>
          <w:i/>
          <w:sz w:val="24"/>
          <w:szCs w:val="24"/>
        </w:rPr>
        <w:t>institutional</w:t>
      </w:r>
      <w:proofErr w:type="spellEnd"/>
      <w:r w:rsidRPr="0014364A">
        <w:rPr>
          <w:rFonts w:ascii="Times New Roman" w:hAnsi="Times New Roman" w:cs="Times New Roman"/>
          <w:i/>
          <w:sz w:val="24"/>
          <w:szCs w:val="24"/>
        </w:rPr>
        <w:t xml:space="preserve"> </w:t>
      </w:r>
      <w:proofErr w:type="spellStart"/>
      <w:r w:rsidRPr="0014364A">
        <w:rPr>
          <w:rFonts w:ascii="Times New Roman" w:hAnsi="Times New Roman" w:cs="Times New Roman"/>
          <w:i/>
          <w:sz w:val="24"/>
          <w:szCs w:val="24"/>
        </w:rPr>
        <w:t>explanation</w:t>
      </w:r>
      <w:proofErr w:type="spellEnd"/>
      <w:r w:rsidRPr="0014364A">
        <w:rPr>
          <w:rFonts w:ascii="Times New Roman" w:hAnsi="Times New Roman" w:cs="Times New Roman"/>
          <w:i/>
          <w:sz w:val="24"/>
          <w:szCs w:val="24"/>
        </w:rPr>
        <w:t xml:space="preserve"> </w:t>
      </w:r>
      <w:proofErr w:type="spellStart"/>
      <w:r w:rsidRPr="0014364A">
        <w:rPr>
          <w:rFonts w:ascii="Times New Roman" w:hAnsi="Times New Roman" w:cs="Times New Roman"/>
          <w:i/>
          <w:sz w:val="24"/>
          <w:szCs w:val="24"/>
        </w:rPr>
        <w:t>theories</w:t>
      </w:r>
      <w:proofErr w:type="spellEnd"/>
      <w:r>
        <w:rPr>
          <w:rFonts w:ascii="Times New Roman" w:hAnsi="Times New Roman" w:cs="Times New Roman"/>
          <w:sz w:val="24"/>
          <w:szCs w:val="24"/>
        </w:rPr>
        <w:t>),</w:t>
      </w:r>
    </w:p>
    <w:p w:rsidR="00F964BF" w:rsidRDefault="00F964BF" w:rsidP="00F964BF">
      <w:pPr>
        <w:pStyle w:val="Akapitzlist"/>
        <w:numPr>
          <w:ilvl w:val="0"/>
          <w:numId w:val="2"/>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teorie praw własności i kontroli </w:t>
      </w:r>
      <w:r w:rsidRPr="0014364A">
        <w:rPr>
          <w:rFonts w:ascii="Times New Roman" w:hAnsi="Times New Roman" w:cs="Times New Roman"/>
          <w:i/>
          <w:sz w:val="24"/>
          <w:szCs w:val="24"/>
        </w:rPr>
        <w:t>(</w:t>
      </w:r>
      <w:proofErr w:type="spellStart"/>
      <w:r w:rsidRPr="0014364A">
        <w:rPr>
          <w:rFonts w:ascii="Times New Roman" w:hAnsi="Times New Roman" w:cs="Times New Roman"/>
          <w:i/>
          <w:sz w:val="24"/>
          <w:szCs w:val="24"/>
        </w:rPr>
        <w:t>ownership</w:t>
      </w:r>
      <w:proofErr w:type="spellEnd"/>
      <w:r w:rsidRPr="0014364A">
        <w:rPr>
          <w:rFonts w:ascii="Times New Roman" w:hAnsi="Times New Roman" w:cs="Times New Roman"/>
          <w:i/>
          <w:sz w:val="24"/>
          <w:szCs w:val="24"/>
        </w:rPr>
        <w:t xml:space="preserve"> and </w:t>
      </w:r>
      <w:proofErr w:type="spellStart"/>
      <w:r w:rsidRPr="0014364A">
        <w:rPr>
          <w:rFonts w:ascii="Times New Roman" w:hAnsi="Times New Roman" w:cs="Times New Roman"/>
          <w:i/>
          <w:sz w:val="24"/>
          <w:szCs w:val="24"/>
        </w:rPr>
        <w:t>control</w:t>
      </w:r>
      <w:proofErr w:type="spellEnd"/>
      <w:r w:rsidRPr="0014364A">
        <w:rPr>
          <w:rFonts w:ascii="Times New Roman" w:hAnsi="Times New Roman" w:cs="Times New Roman"/>
          <w:i/>
          <w:sz w:val="24"/>
          <w:szCs w:val="24"/>
        </w:rPr>
        <w:t xml:space="preserve"> </w:t>
      </w:r>
      <w:proofErr w:type="spellStart"/>
      <w:r w:rsidRPr="0014364A">
        <w:rPr>
          <w:rFonts w:ascii="Times New Roman" w:hAnsi="Times New Roman" w:cs="Times New Roman"/>
          <w:i/>
          <w:sz w:val="24"/>
          <w:szCs w:val="24"/>
        </w:rPr>
        <w:t>theories</w:t>
      </w:r>
      <w:proofErr w:type="spellEnd"/>
      <w:r>
        <w:rPr>
          <w:rFonts w:ascii="Times New Roman" w:hAnsi="Times New Roman" w:cs="Times New Roman"/>
          <w:sz w:val="24"/>
          <w:szCs w:val="24"/>
        </w:rPr>
        <w:t>),</w:t>
      </w:r>
    </w:p>
    <w:p w:rsidR="00F964BF" w:rsidRPr="00F964BF" w:rsidRDefault="00F964BF" w:rsidP="00F964BF">
      <w:pPr>
        <w:pStyle w:val="Akapitzlist"/>
        <w:numPr>
          <w:ilvl w:val="0"/>
          <w:numId w:val="2"/>
        </w:numPr>
        <w:autoSpaceDE w:val="0"/>
        <w:autoSpaceDN w:val="0"/>
        <w:adjustRightInd w:val="0"/>
        <w:spacing w:after="0" w:line="360" w:lineRule="auto"/>
        <w:rPr>
          <w:rFonts w:ascii="Times New Roman" w:hAnsi="Times New Roman" w:cs="Times New Roman"/>
          <w:sz w:val="24"/>
          <w:szCs w:val="24"/>
          <w:lang w:val="en-GB"/>
        </w:rPr>
      </w:pPr>
      <w:proofErr w:type="spellStart"/>
      <w:r w:rsidRPr="00F964BF">
        <w:rPr>
          <w:rFonts w:ascii="Times New Roman" w:hAnsi="Times New Roman" w:cs="Times New Roman"/>
          <w:sz w:val="24"/>
          <w:szCs w:val="24"/>
          <w:lang w:val="en-GB"/>
        </w:rPr>
        <w:t>teorie</w:t>
      </w:r>
      <w:proofErr w:type="spellEnd"/>
      <w:r w:rsidRPr="00F964BF">
        <w:rPr>
          <w:rFonts w:ascii="Times New Roman" w:hAnsi="Times New Roman" w:cs="Times New Roman"/>
          <w:sz w:val="24"/>
          <w:szCs w:val="24"/>
          <w:lang w:val="en-GB"/>
        </w:rPr>
        <w:t xml:space="preserve"> </w:t>
      </w:r>
      <w:proofErr w:type="spellStart"/>
      <w:r w:rsidRPr="00F964BF">
        <w:rPr>
          <w:rFonts w:ascii="Times New Roman" w:hAnsi="Times New Roman" w:cs="Times New Roman"/>
          <w:sz w:val="24"/>
          <w:szCs w:val="24"/>
          <w:lang w:val="en-GB"/>
        </w:rPr>
        <w:t>bahawioralne</w:t>
      </w:r>
      <w:proofErr w:type="spellEnd"/>
      <w:r w:rsidRPr="00F964BF">
        <w:rPr>
          <w:rFonts w:ascii="Times New Roman" w:hAnsi="Times New Roman" w:cs="Times New Roman"/>
          <w:sz w:val="24"/>
          <w:szCs w:val="24"/>
          <w:lang w:val="en-GB"/>
        </w:rPr>
        <w:t xml:space="preserve"> (</w:t>
      </w:r>
      <w:proofErr w:type="spellStart"/>
      <w:r w:rsidRPr="00F964BF">
        <w:rPr>
          <w:rFonts w:ascii="Times New Roman" w:hAnsi="Times New Roman" w:cs="Times New Roman"/>
          <w:i/>
          <w:sz w:val="24"/>
          <w:szCs w:val="24"/>
          <w:lang w:val="en-GB"/>
        </w:rPr>
        <w:t>behavioral</w:t>
      </w:r>
      <w:proofErr w:type="spellEnd"/>
      <w:r w:rsidRPr="00F964BF">
        <w:rPr>
          <w:rFonts w:ascii="Times New Roman" w:hAnsi="Times New Roman" w:cs="Times New Roman"/>
          <w:i/>
          <w:sz w:val="24"/>
          <w:szCs w:val="24"/>
          <w:lang w:val="en-GB"/>
        </w:rPr>
        <w:t xml:space="preserve"> explanations theories</w:t>
      </w:r>
      <w:r w:rsidRPr="00F964BF">
        <w:rPr>
          <w:rFonts w:ascii="Times New Roman" w:hAnsi="Times New Roman" w:cs="Times New Roman"/>
          <w:sz w:val="24"/>
          <w:szCs w:val="24"/>
          <w:lang w:val="en-GB"/>
        </w:rPr>
        <w:t>).</w:t>
      </w:r>
    </w:p>
    <w:p w:rsidR="00F964BF" w:rsidRPr="00F964BF" w:rsidRDefault="00F964BF" w:rsidP="00F964BF">
      <w:pPr>
        <w:pStyle w:val="Akapitzlist"/>
        <w:autoSpaceDE w:val="0"/>
        <w:autoSpaceDN w:val="0"/>
        <w:adjustRightInd w:val="0"/>
        <w:spacing w:after="0" w:line="360" w:lineRule="auto"/>
        <w:rPr>
          <w:rFonts w:ascii="Times New Roman" w:hAnsi="Times New Roman" w:cs="Times New Roman"/>
          <w:sz w:val="24"/>
          <w:szCs w:val="24"/>
          <w:lang w:val="en-GB"/>
        </w:rPr>
      </w:pPr>
    </w:p>
    <w:p w:rsidR="009B68DF" w:rsidRDefault="00F964BF" w:rsidP="00BF12A7">
      <w:pPr>
        <w:autoSpaceDE w:val="0"/>
        <w:autoSpaceDN w:val="0"/>
        <w:adjustRightInd w:val="0"/>
        <w:spacing w:line="360" w:lineRule="auto"/>
        <w:ind w:firstLine="360"/>
        <w:rPr>
          <w:rFonts w:cs="Times New Roman"/>
          <w:szCs w:val="24"/>
        </w:rPr>
      </w:pPr>
      <w:r w:rsidRPr="00BA1D3D">
        <w:rPr>
          <w:rFonts w:cs="Times New Roman"/>
          <w:szCs w:val="24"/>
        </w:rPr>
        <w:t xml:space="preserve">Znaczącą rolę odegrała </w:t>
      </w:r>
      <w:r>
        <w:rPr>
          <w:rFonts w:cs="Times New Roman"/>
          <w:szCs w:val="24"/>
        </w:rPr>
        <w:t xml:space="preserve">również </w:t>
      </w:r>
      <w:r w:rsidRPr="00BA1D3D">
        <w:rPr>
          <w:rFonts w:cs="Times New Roman"/>
          <w:szCs w:val="24"/>
        </w:rPr>
        <w:t>hipoteza rozbieżności opinii, opisana przez Millera, zgodnie z którą inwestorzy oceniają wartość spółki w sposób subiektywny</w:t>
      </w:r>
      <w:r>
        <w:rPr>
          <w:rFonts w:cs="Times New Roman"/>
          <w:szCs w:val="24"/>
        </w:rPr>
        <w:t xml:space="preserve">. </w:t>
      </w:r>
      <w:r w:rsidRPr="00BA1D3D">
        <w:rPr>
          <w:rFonts w:cs="Times New Roman"/>
          <w:szCs w:val="24"/>
        </w:rPr>
        <w:t xml:space="preserve">Duża rozbieżność </w:t>
      </w:r>
      <w:r w:rsidRPr="00BA1D3D">
        <w:rPr>
          <w:rFonts w:cs="Times New Roman"/>
          <w:szCs w:val="24"/>
        </w:rPr>
        <w:lastRenderedPageBreak/>
        <w:t xml:space="preserve">opinii w odniesieniu do oczekiwanych stóp zwrotu występuje zazwyczaj w momencie dokonywania emisji. Wówczas, nowym inwestorom trudno jest pozyskać informacje o kondycji spółki. Konsekwencją przyjęcia teorii Millera jest oczekiwanie wyższego poziomu krótkoterminowego </w:t>
      </w:r>
      <w:proofErr w:type="spellStart"/>
      <w:r w:rsidRPr="00BA1D3D">
        <w:rPr>
          <w:rFonts w:cs="Times New Roman"/>
          <w:i/>
          <w:iCs/>
          <w:szCs w:val="24"/>
        </w:rPr>
        <w:t>underpricingu</w:t>
      </w:r>
      <w:proofErr w:type="spellEnd"/>
      <w:r w:rsidRPr="00BA1D3D">
        <w:rPr>
          <w:rFonts w:cs="Times New Roman"/>
          <w:i/>
          <w:iCs/>
          <w:szCs w:val="24"/>
        </w:rPr>
        <w:t xml:space="preserve"> </w:t>
      </w:r>
      <w:r w:rsidRPr="00BA1D3D">
        <w:rPr>
          <w:rFonts w:cs="Times New Roman"/>
          <w:szCs w:val="24"/>
        </w:rPr>
        <w:t>i silniejszej, niekorzystnej, długoterminowej reakcji cenowej w odniesieniu do akcji tych spółek, które w momencie emisji cechowały się wyższym stopniem niepewności</w:t>
      </w:r>
      <w:r>
        <w:rPr>
          <w:rStyle w:val="Odwoanieprzypisudolnego"/>
          <w:rFonts w:cs="Times New Roman"/>
          <w:szCs w:val="24"/>
        </w:rPr>
        <w:footnoteReference w:id="2"/>
      </w:r>
      <w:r w:rsidRPr="00BA1D3D">
        <w:rPr>
          <w:rFonts w:cs="Times New Roman"/>
          <w:szCs w:val="24"/>
        </w:rPr>
        <w:t xml:space="preserve">. Poziomu niepewności w momencie przeprowadzania emisji nie sposób oszacować w sposób bezpośredni. Stąd też Miller odwołuje się do ich substytutów </w:t>
      </w:r>
      <w:r w:rsidRPr="00BA1D3D">
        <w:rPr>
          <w:rFonts w:eastAsia="SymbolMT" w:cs="Times New Roman"/>
          <w:szCs w:val="24"/>
        </w:rPr>
        <w:t xml:space="preserve"> </w:t>
      </w:r>
      <w:r w:rsidRPr="00BA1D3D">
        <w:rPr>
          <w:rFonts w:cs="Times New Roman"/>
          <w:szCs w:val="24"/>
        </w:rPr>
        <w:t xml:space="preserve">pewnych miar pośrednich, których zastosowanie pozwoli na przybliżenie skali zjawiska. Stabilność spółki może być wyrażona przez jej wielkość. Również wiek firmy umożliwia pośredni pomiar jakości przedsiębiorstwa. Miller wskazuje także, że zmienność stóp zwrotu z akcji spółek tuż po dokonaniu emisji może być pośrednią miarą niepewności (ang. </w:t>
      </w:r>
      <w:proofErr w:type="spellStart"/>
      <w:r w:rsidRPr="00BA1D3D">
        <w:rPr>
          <w:rFonts w:cs="Times New Roman"/>
          <w:i/>
          <w:iCs/>
          <w:szCs w:val="24"/>
        </w:rPr>
        <w:t>early</w:t>
      </w:r>
      <w:proofErr w:type="spellEnd"/>
      <w:r w:rsidRPr="00BA1D3D">
        <w:rPr>
          <w:rFonts w:cs="Times New Roman"/>
          <w:i/>
          <w:iCs/>
          <w:szCs w:val="24"/>
        </w:rPr>
        <w:t xml:space="preserve"> </w:t>
      </w:r>
      <w:proofErr w:type="spellStart"/>
      <w:r w:rsidRPr="00BA1D3D">
        <w:rPr>
          <w:rFonts w:cs="Times New Roman"/>
          <w:i/>
          <w:iCs/>
          <w:szCs w:val="24"/>
        </w:rPr>
        <w:t>aftermarket</w:t>
      </w:r>
      <w:proofErr w:type="spellEnd"/>
      <w:r w:rsidRPr="00BA1D3D">
        <w:rPr>
          <w:rFonts w:cs="Times New Roman"/>
          <w:i/>
          <w:iCs/>
          <w:szCs w:val="24"/>
        </w:rPr>
        <w:t xml:space="preserve"> </w:t>
      </w:r>
      <w:proofErr w:type="spellStart"/>
      <w:r w:rsidRPr="00BA1D3D">
        <w:rPr>
          <w:rFonts w:cs="Times New Roman"/>
          <w:i/>
          <w:iCs/>
          <w:szCs w:val="24"/>
        </w:rPr>
        <w:t>volatility</w:t>
      </w:r>
      <w:proofErr w:type="spellEnd"/>
      <w:r w:rsidRPr="00BA1D3D">
        <w:rPr>
          <w:rFonts w:cs="Times New Roman"/>
          <w:szCs w:val="24"/>
        </w:rPr>
        <w:t xml:space="preserve">). Kondycja debiutujących spółek może być oceniana przez potencjalnych inwestorów na podstawie informacji płynących ze sprawozdań finansowych. </w:t>
      </w:r>
      <w:r w:rsidRPr="008D55BD">
        <w:rPr>
          <w:rFonts w:cs="Times New Roman"/>
          <w:szCs w:val="24"/>
        </w:rPr>
        <w:t xml:space="preserve">Wówczas, również rentowność spółki </w:t>
      </w:r>
      <w:r w:rsidRPr="00BA1D3D">
        <w:rPr>
          <w:rFonts w:cs="Times New Roman"/>
          <w:szCs w:val="24"/>
        </w:rPr>
        <w:t>może stanowić podstawę do oszacowania poziomu niepewności w odniesieniu do spółki.</w:t>
      </w:r>
      <w:r w:rsidR="00BF12A7">
        <w:rPr>
          <w:rFonts w:cs="Times New Roman"/>
          <w:szCs w:val="24"/>
        </w:rPr>
        <w:t xml:space="preserve"> </w:t>
      </w:r>
      <w:r w:rsidRPr="00E56B7F">
        <w:rPr>
          <w:rFonts w:cs="Times New Roman"/>
          <w:szCs w:val="24"/>
        </w:rPr>
        <w:t xml:space="preserve">Teorie bazujące na asymetrii informacji wskazują, że inwestorzy powinni zostać wynagrodzeni w większym stopniu za inwestycje w akcje tych spółek, które cechują się większym poziomem niepewności. W tym kontekście, </w:t>
      </w:r>
      <w:proofErr w:type="spellStart"/>
      <w:r w:rsidRPr="00E56B7F">
        <w:rPr>
          <w:rFonts w:cs="Times New Roman"/>
          <w:i/>
          <w:iCs/>
          <w:szCs w:val="24"/>
        </w:rPr>
        <w:t>underpricing</w:t>
      </w:r>
      <w:proofErr w:type="spellEnd"/>
      <w:r w:rsidRPr="00E56B7F">
        <w:rPr>
          <w:rFonts w:cs="Times New Roman"/>
          <w:i/>
          <w:iCs/>
          <w:szCs w:val="24"/>
        </w:rPr>
        <w:t xml:space="preserve"> </w:t>
      </w:r>
      <w:r w:rsidRPr="00E56B7F">
        <w:rPr>
          <w:rFonts w:cs="Times New Roman"/>
          <w:szCs w:val="24"/>
        </w:rPr>
        <w:t>może być postrzegany jako pewnego rodzaju „zapłata” za ponoszone ryzyko. Specyficzną cechą publicznego rynku papierów wartościowych jest konieczność podejmowania decyzji inwestycyjnych w warunkach ograniczonego dostępu do informacji oraz braku możliwości pełnej oceny jej rzetelności. Asymetria</w:t>
      </w:r>
      <w:r>
        <w:rPr>
          <w:rFonts w:cs="Times New Roman"/>
          <w:szCs w:val="24"/>
        </w:rPr>
        <w:t xml:space="preserve"> </w:t>
      </w:r>
      <w:r w:rsidRPr="00E56B7F">
        <w:rPr>
          <w:rFonts w:cs="Times New Roman"/>
          <w:szCs w:val="24"/>
        </w:rPr>
        <w:t>informacji występująca między różnymi uczestnikami rynku i będąca efektem ich zróżnicowanej zdolności do pozyskania, przetworzenia i wykorzystania informacji o przedmiocie transakcji to zjawisko powszechne, którego negatywnym skutkiem jest wzrost ryzyka inwestycyjnego</w:t>
      </w:r>
      <w:r>
        <w:rPr>
          <w:rStyle w:val="Odwoanieprzypisudolnego"/>
          <w:rFonts w:cs="Times New Roman"/>
          <w:szCs w:val="24"/>
        </w:rPr>
        <w:footnoteReference w:id="3"/>
      </w:r>
      <w:r>
        <w:rPr>
          <w:rStyle w:val="Odwoanieprzypisudolnego"/>
          <w:rFonts w:cs="Times New Roman"/>
          <w:szCs w:val="24"/>
        </w:rPr>
        <w:footnoteReference w:id="4"/>
      </w:r>
      <w:r w:rsidRPr="00E56B7F">
        <w:rPr>
          <w:rFonts w:cs="Times New Roman"/>
          <w:szCs w:val="24"/>
        </w:rPr>
        <w:t>. Problem asymetrii informacji przybiera na sile i jest szczególnie zauważalny w procesie realiza</w:t>
      </w:r>
      <w:r>
        <w:rPr>
          <w:rFonts w:cs="Times New Roman"/>
          <w:szCs w:val="24"/>
        </w:rPr>
        <w:t>cji pierwszej oferty publicznej</w:t>
      </w:r>
      <w:r w:rsidRPr="00E56B7F">
        <w:rPr>
          <w:rFonts w:cs="Times New Roman"/>
          <w:szCs w:val="24"/>
        </w:rPr>
        <w:t xml:space="preserve">, gdy inwestorom giełdowym do nabycia są oferowane akcje przedsiębiorstwa relatywnie mało znanego rynkom finansowym. Podjęcie właściwych decyzji inwestycyjnych wymaga pozyskania odpowiednich informacji o zbywanych w ofercie papierach wartościowych. Ponieważ przed uzyskaniem przez dany podmiot statusu spółki publicznej </w:t>
      </w:r>
      <w:r w:rsidRPr="00E56B7F">
        <w:rPr>
          <w:rFonts w:cs="Times New Roman"/>
          <w:szCs w:val="24"/>
        </w:rPr>
        <w:lastRenderedPageBreak/>
        <w:t>dostęp</w:t>
      </w:r>
      <w:r>
        <w:rPr>
          <w:rFonts w:cs="Times New Roman"/>
          <w:szCs w:val="24"/>
        </w:rPr>
        <w:t xml:space="preserve"> </w:t>
      </w:r>
      <w:r w:rsidRPr="00E56B7F">
        <w:rPr>
          <w:rFonts w:cs="Times New Roman"/>
          <w:szCs w:val="24"/>
        </w:rPr>
        <w:t>do informacji o emitencie pozostaje ograniczony, jednym z kluczowych źródeł wiedzy o przedsiębiorstwie, które planuje debiut na rynku giełdowym, jest prospekt emisyjny</w:t>
      </w:r>
      <w:r>
        <w:rPr>
          <w:rStyle w:val="Odwoanieprzypisudolnego"/>
          <w:rFonts w:cs="Times New Roman"/>
          <w:szCs w:val="24"/>
        </w:rPr>
        <w:footnoteReference w:id="5"/>
      </w:r>
      <w:r w:rsidRPr="00E56B7F">
        <w:rPr>
          <w:rFonts w:cs="Times New Roman"/>
          <w:szCs w:val="24"/>
        </w:rPr>
        <w:t>. Stanowi on główne narzędzie minimalizacji luki informacyjnej obecnej w trakcie realizacji pierwszej oferty publicznej, a jego treść jest podstawą oceny adekwatności ustalonej ceny sprzedaży akcji. Dążąc do redukcji asymetrii informacji, a tym samym do uzyskania wyższej wyceny oferowanych papierów wartościowych, część spółek dobrowolnie przyjmuje dodatkowe obowiązki w postaci pu</w:t>
      </w:r>
      <w:r>
        <w:rPr>
          <w:rFonts w:cs="Times New Roman"/>
          <w:szCs w:val="24"/>
        </w:rPr>
        <w:t>blikacji informacji o danych finansowych. Mimo to, nadal na rynku kapitałowym panują pewne trendy w zachowaniu się cen akcji i stóp zwrotu w trakcie pierwszego dnia notowań walorów po przeprowadzeniu IPO.</w:t>
      </w:r>
    </w:p>
    <w:p w:rsidR="00CC65AF" w:rsidRDefault="00CC65AF" w:rsidP="00BF12A7">
      <w:pPr>
        <w:autoSpaceDE w:val="0"/>
        <w:autoSpaceDN w:val="0"/>
        <w:adjustRightInd w:val="0"/>
        <w:spacing w:line="360" w:lineRule="auto"/>
        <w:ind w:firstLine="360"/>
        <w:rPr>
          <w:rFonts w:cs="Times New Roman"/>
          <w:szCs w:val="24"/>
        </w:rPr>
      </w:pPr>
    </w:p>
    <w:p w:rsidR="00CC65AF" w:rsidRDefault="00CC65AF" w:rsidP="00BF12A7">
      <w:pPr>
        <w:autoSpaceDE w:val="0"/>
        <w:autoSpaceDN w:val="0"/>
        <w:adjustRightInd w:val="0"/>
        <w:spacing w:line="360" w:lineRule="auto"/>
        <w:ind w:firstLine="360"/>
        <w:rPr>
          <w:rFonts w:cs="Times New Roman"/>
          <w:szCs w:val="24"/>
        </w:rPr>
      </w:pPr>
    </w:p>
    <w:p w:rsidR="009B68DF" w:rsidRDefault="009B68DF" w:rsidP="009B68DF">
      <w:pPr>
        <w:pStyle w:val="Akapitzlist"/>
        <w:numPr>
          <w:ilvl w:val="0"/>
          <w:numId w:val="1"/>
        </w:numPr>
        <w:autoSpaceDE w:val="0"/>
        <w:autoSpaceDN w:val="0"/>
        <w:adjustRightInd w:val="0"/>
        <w:spacing w:after="0" w:line="360" w:lineRule="auto"/>
        <w:rPr>
          <w:rFonts w:ascii="Times New Roman" w:hAnsi="Times New Roman" w:cs="Times New Roman"/>
          <w:b/>
          <w:sz w:val="24"/>
          <w:szCs w:val="24"/>
        </w:rPr>
      </w:pPr>
      <w:r w:rsidRPr="00C260BC">
        <w:rPr>
          <w:rFonts w:ascii="Times New Roman" w:hAnsi="Times New Roman" w:cs="Times New Roman"/>
          <w:b/>
          <w:sz w:val="24"/>
          <w:szCs w:val="24"/>
        </w:rPr>
        <w:t xml:space="preserve">Przegląd literatury i badań dotyczących niedoszacowania pierwszej oferty publicznej spółek zasilanych funduszami </w:t>
      </w:r>
      <w:proofErr w:type="spellStart"/>
      <w:r w:rsidRPr="00C260BC">
        <w:rPr>
          <w:rFonts w:ascii="Times New Roman" w:hAnsi="Times New Roman" w:cs="Times New Roman"/>
          <w:b/>
          <w:sz w:val="24"/>
          <w:szCs w:val="24"/>
        </w:rPr>
        <w:t>private</w:t>
      </w:r>
      <w:proofErr w:type="spellEnd"/>
      <w:r w:rsidRPr="00C260BC">
        <w:rPr>
          <w:rFonts w:ascii="Times New Roman" w:hAnsi="Times New Roman" w:cs="Times New Roman"/>
          <w:b/>
          <w:sz w:val="24"/>
          <w:szCs w:val="24"/>
        </w:rPr>
        <w:t xml:space="preserve"> equity</w:t>
      </w:r>
    </w:p>
    <w:p w:rsidR="009B68DF" w:rsidRDefault="009B68DF" w:rsidP="009B68DF">
      <w:pPr>
        <w:pStyle w:val="Akapitzlist"/>
        <w:autoSpaceDE w:val="0"/>
        <w:autoSpaceDN w:val="0"/>
        <w:adjustRightInd w:val="0"/>
        <w:spacing w:after="0" w:line="360" w:lineRule="auto"/>
        <w:rPr>
          <w:rFonts w:ascii="Times New Roman" w:hAnsi="Times New Roman" w:cs="Times New Roman"/>
          <w:b/>
          <w:sz w:val="24"/>
          <w:szCs w:val="24"/>
        </w:rPr>
      </w:pPr>
    </w:p>
    <w:p w:rsidR="009B68DF" w:rsidRDefault="009B68DF" w:rsidP="009B68DF">
      <w:pPr>
        <w:pStyle w:val="Akapitzlist"/>
        <w:autoSpaceDE w:val="0"/>
        <w:autoSpaceDN w:val="0"/>
        <w:adjustRightInd w:val="0"/>
        <w:spacing w:after="0" w:line="360" w:lineRule="auto"/>
        <w:rPr>
          <w:rFonts w:ascii="Times New Roman" w:hAnsi="Times New Roman" w:cs="Times New Roman"/>
          <w:b/>
          <w:sz w:val="24"/>
          <w:szCs w:val="24"/>
        </w:rPr>
      </w:pPr>
    </w:p>
    <w:p w:rsidR="009B68DF" w:rsidRPr="009B68DF" w:rsidRDefault="00F964BF" w:rsidP="009B68DF">
      <w:pPr>
        <w:autoSpaceDE w:val="0"/>
        <w:autoSpaceDN w:val="0"/>
        <w:adjustRightInd w:val="0"/>
        <w:spacing w:line="360" w:lineRule="auto"/>
        <w:ind w:firstLine="360"/>
      </w:pPr>
      <w:r>
        <w:rPr>
          <w:rFonts w:cs="Times New Roman"/>
          <w:szCs w:val="24"/>
        </w:rPr>
        <w:t xml:space="preserve"> </w:t>
      </w:r>
      <w:r w:rsidRPr="00282D0A">
        <w:rPr>
          <w:rFonts w:ascii="TimesNewRomanPSMT" w:hAnsi="TimesNewRomanPSMT" w:cs="TimesNewRomanPSMT"/>
          <w:szCs w:val="24"/>
        </w:rPr>
        <w:t xml:space="preserve">Wśród opracowań dotyczących polskiego rynku kapitałowego można wprawdzie wskazać liczne badania poświęcone zjawisku niedoszacowania pierwszych ofert publicznych (zob. Sieradzki 2013; </w:t>
      </w:r>
      <w:proofErr w:type="spellStart"/>
      <w:r w:rsidRPr="00282D0A">
        <w:rPr>
          <w:rFonts w:ascii="TimesNewRomanPSMT" w:hAnsi="TimesNewRomanPSMT" w:cs="TimesNewRomanPSMT"/>
          <w:szCs w:val="24"/>
        </w:rPr>
        <w:t>Lizińska</w:t>
      </w:r>
      <w:proofErr w:type="spellEnd"/>
      <w:r w:rsidRPr="00282D0A">
        <w:rPr>
          <w:rFonts w:ascii="TimesNewRomanPSMT" w:hAnsi="TimesNewRomanPSMT" w:cs="TimesNewRomanPSMT"/>
          <w:szCs w:val="24"/>
        </w:rPr>
        <w:t xml:space="preserve">, Czapiewski 2014, 2015; Zaremba, Żmudziński 2014; Sieradzki, Zasępa 2016) czy nawet publikacje dotyczące prognoz wyniku finansowego (Czerwonka 2009; Wójtowicz 2015). </w:t>
      </w:r>
      <w:r w:rsidR="00CC65AF">
        <w:rPr>
          <w:rFonts w:ascii="TimesNewRomanPSMT" w:hAnsi="TimesNewRomanPSMT" w:cs="TimesNewRomanPSMT"/>
          <w:szCs w:val="24"/>
        </w:rPr>
        <w:t xml:space="preserve">Jednak, niewielu autorów opisuje podział wyników niedoszacowania z podziałem na spółki zasilane funduszami </w:t>
      </w:r>
      <w:proofErr w:type="spellStart"/>
      <w:r w:rsidR="00CC65AF">
        <w:rPr>
          <w:rFonts w:ascii="TimesNewRomanPSMT" w:hAnsi="TimesNewRomanPSMT" w:cs="TimesNewRomanPSMT"/>
          <w:szCs w:val="24"/>
        </w:rPr>
        <w:t>private</w:t>
      </w:r>
      <w:proofErr w:type="spellEnd"/>
      <w:r w:rsidR="00CC65AF">
        <w:rPr>
          <w:rFonts w:ascii="TimesNewRomanPSMT" w:hAnsi="TimesNewRomanPSMT" w:cs="TimesNewRomanPSMT"/>
          <w:szCs w:val="24"/>
        </w:rPr>
        <w:t xml:space="preserve"> equity a tradycyjnymi transakcjami IPO. </w:t>
      </w:r>
      <w:proofErr w:type="spellStart"/>
      <w:r w:rsidR="009B68DF">
        <w:t>Lyn</w:t>
      </w:r>
      <w:proofErr w:type="spellEnd"/>
      <w:r w:rsidR="009B68DF">
        <w:t xml:space="preserve"> i Zychowicz (2002) analizują wyniki 103 IPO przeprowadzonych na rynku polskim</w:t>
      </w:r>
      <w:r w:rsidR="00CC65AF">
        <w:t xml:space="preserve"> i węgierskim</w:t>
      </w:r>
      <w:r w:rsidR="009B68DF">
        <w:t xml:space="preserve"> w latach 1991–1998. Uważają, że rynek został dostosowany w pierwszym dniu średni zwrot w Polsce wyniósł 15,1%, podczas</w:t>
      </w:r>
      <w:r w:rsidR="00CC65AF">
        <w:t xml:space="preserve"> gdy na Węgrzech 54,4%. Autorki</w:t>
      </w:r>
      <w:r w:rsidR="009B68DF">
        <w:t xml:space="preserve"> sugerują, że jedno z możliwych wyjaśnień tej dysproporcji jest inne struktura inwestorów na obu rynkach. Na Węgrzech w 1996 r. Kontrolowano inwestorów zagranicznych około 85% wolnego rynku, podczas gdy w Polsce tylko 30%. Twierdzą, że zagraniczni inwestorzy prawdopodobnie dysponują tym doświadczeniem, wiedzą i zasobami może zmniejszyć asymetrie informacyjne, które powinny odpowiadać mniejszej zaniżanie cen. Jednak to wyjaśnienie sugeruje raczej zaniżanie cen w Węgry powinny być niższe niż w Polsce, biorąc pod uwagę prawie trzy razy. </w:t>
      </w:r>
      <w:r w:rsidR="008719CC">
        <w:t xml:space="preserve">D. </w:t>
      </w:r>
      <w:proofErr w:type="spellStart"/>
      <w:r w:rsidR="008719CC">
        <w:t>Sukacz</w:t>
      </w:r>
      <w:proofErr w:type="spellEnd"/>
      <w:r w:rsidR="008719CC">
        <w:t xml:space="preserve"> w </w:t>
      </w:r>
      <w:r w:rsidR="009B68DF">
        <w:t>2005</w:t>
      </w:r>
      <w:r w:rsidR="008719CC">
        <w:t xml:space="preserve"> r.</w:t>
      </w:r>
      <w:r w:rsidR="009B68DF">
        <w:t xml:space="preserve"> zbadał 185 ofert publicznych </w:t>
      </w:r>
      <w:r w:rsidR="009B68DF">
        <w:lastRenderedPageBreak/>
        <w:t xml:space="preserve">przeprowadzonych na rynku polskim w latach 1991–2001. Odkrywa, że </w:t>
      </w:r>
      <w:r w:rsidR="009B68DF">
        <w:rPr>
          <w:rFonts w:ascii="Cambria Math" w:hAnsi="Cambria Math" w:cs="Cambria Math"/>
        </w:rPr>
        <w:t>​​</w:t>
      </w:r>
      <w:r w:rsidR="009B68DF">
        <w:rPr>
          <w:rFonts w:ascii="Courier New" w:hAnsi="Courier New" w:cs="Courier New"/>
        </w:rPr>
        <w:t>ś</w:t>
      </w:r>
      <w:r w:rsidR="009B68DF">
        <w:t>rednie zani</w:t>
      </w:r>
      <w:r w:rsidR="009B68DF">
        <w:rPr>
          <w:rFonts w:ascii="Courier New" w:hAnsi="Courier New" w:cs="Courier New"/>
        </w:rPr>
        <w:t>ż</w:t>
      </w:r>
      <w:r w:rsidR="009B68DF">
        <w:t>anie cen w pierwszym dniu notowania wynios</w:t>
      </w:r>
      <w:r w:rsidR="009B68DF">
        <w:rPr>
          <w:rFonts w:ascii="Courier New" w:hAnsi="Courier New" w:cs="Courier New"/>
        </w:rPr>
        <w:t>ł</w:t>
      </w:r>
      <w:r w:rsidR="009B68DF">
        <w:t>o 26%. Niska wycena IPO była pozytywnie powiązana z liczbą dni i zmianą szerokości indeks rynku WIG od ostatniego dnia okresu subskrypcji do pierwszego dnia notowania i miało to negatywny związek ze wskaźnikami finansowymi P / E i P / BV</w:t>
      </w:r>
      <w:r w:rsidR="008719CC">
        <w:rPr>
          <w:rStyle w:val="Odwoanieprzypisudolnego"/>
        </w:rPr>
        <w:footnoteReference w:id="6"/>
      </w:r>
      <w:r w:rsidR="009B68DF">
        <w:t xml:space="preserve">. W przeciwieństwie do </w:t>
      </w:r>
      <w:proofErr w:type="spellStart"/>
      <w:r w:rsidR="009B68DF">
        <w:t>Aussenegg</w:t>
      </w:r>
      <w:proofErr w:type="spellEnd"/>
      <w:r w:rsidR="009B68DF">
        <w:t xml:space="preserve"> (2000) twierdzi, że średni początkowy zwrot z IPO spółek prywatnych firmy były wyższe niż na IPO spółek sprywatyzowanych i wyniosły 27,4% oraz Odpowiednio 25,5%. Co więcej, stwierdza, że </w:t>
      </w:r>
      <w:r w:rsidR="009B68DF">
        <w:rPr>
          <w:rFonts w:ascii="Cambria Math" w:hAnsi="Cambria Math" w:cs="Cambria Math"/>
        </w:rPr>
        <w:t>​​</w:t>
      </w:r>
      <w:r w:rsidR="009B68DF">
        <w:t>pocz</w:t>
      </w:r>
      <w:r w:rsidR="009B68DF">
        <w:rPr>
          <w:rFonts w:ascii="Courier New" w:hAnsi="Courier New" w:cs="Courier New"/>
        </w:rPr>
        <w:t>ą</w:t>
      </w:r>
      <w:r w:rsidR="009B68DF">
        <w:t>tkowy zwrot z IPO mniejszych spółki (tj. notowane na rynku równoległym GPW) były wyższe niż większych firm (tj. notowane na rynku podstawowym GPW).</w:t>
      </w:r>
      <w:r w:rsidR="00CC65AF">
        <w:t xml:space="preserve"> R. Sieradzki w 2013 przeprowadził badania niedoszacowania IPO w okresie 2003-2011, gdzie średnie niedoszacowanie w pierwszy dniu notowań wyniosło 14,2%</w:t>
      </w:r>
      <w:r w:rsidR="000F07D8">
        <w:rPr>
          <w:rStyle w:val="Odwoanieprzypisudolnego"/>
        </w:rPr>
        <w:footnoteReference w:id="7"/>
      </w:r>
      <w:r w:rsidR="00CC65AF">
        <w:t>.</w:t>
      </w:r>
      <w:r w:rsidR="00CB08C7">
        <w:t xml:space="preserve">W przypadku badań K. </w:t>
      </w:r>
      <w:proofErr w:type="spellStart"/>
      <w:r w:rsidR="00CB08C7">
        <w:t>Mamcarz</w:t>
      </w:r>
      <w:proofErr w:type="spellEnd"/>
      <w:r w:rsidR="00CB08C7">
        <w:t xml:space="preserve"> dla okresu 2006-2010 średnia stopa niedoszacowania IPO wyniosła 19,95%</w:t>
      </w:r>
      <w:r w:rsidR="00CB08C7">
        <w:rPr>
          <w:rStyle w:val="Odwoanieprzypisudolnego"/>
        </w:rPr>
        <w:footnoteReference w:id="8"/>
      </w:r>
      <w:r w:rsidR="00CB08C7">
        <w:t>.</w:t>
      </w:r>
    </w:p>
    <w:p w:rsidR="00F964BF" w:rsidRPr="00804889" w:rsidRDefault="00F964BF" w:rsidP="00F964BF">
      <w:pPr>
        <w:autoSpaceDE w:val="0"/>
        <w:autoSpaceDN w:val="0"/>
        <w:adjustRightInd w:val="0"/>
        <w:spacing w:line="240" w:lineRule="auto"/>
        <w:rPr>
          <w:rFonts w:cs="Times New Roman"/>
          <w:szCs w:val="24"/>
        </w:rPr>
      </w:pPr>
    </w:p>
    <w:p w:rsidR="00F964BF" w:rsidRPr="00C260BC" w:rsidRDefault="00F964BF" w:rsidP="00F964BF">
      <w:pPr>
        <w:pStyle w:val="Akapitzlist"/>
        <w:numPr>
          <w:ilvl w:val="0"/>
          <w:numId w:val="1"/>
        </w:numPr>
        <w:autoSpaceDE w:val="0"/>
        <w:autoSpaceDN w:val="0"/>
        <w:adjustRightInd w:val="0"/>
        <w:spacing w:after="0" w:line="240" w:lineRule="auto"/>
        <w:rPr>
          <w:rFonts w:ascii="Times New Roman" w:hAnsi="Times New Roman" w:cs="Times New Roman"/>
          <w:b/>
          <w:sz w:val="24"/>
          <w:szCs w:val="24"/>
        </w:rPr>
      </w:pPr>
      <w:r w:rsidRPr="00C260BC">
        <w:rPr>
          <w:rFonts w:ascii="Times New Roman" w:hAnsi="Times New Roman" w:cs="Times New Roman"/>
          <w:b/>
          <w:sz w:val="24"/>
          <w:szCs w:val="24"/>
        </w:rPr>
        <w:t xml:space="preserve">Mierniki </w:t>
      </w:r>
      <w:r w:rsidR="00804889">
        <w:rPr>
          <w:rFonts w:ascii="Times New Roman" w:hAnsi="Times New Roman" w:cs="Times New Roman"/>
          <w:b/>
          <w:sz w:val="24"/>
          <w:szCs w:val="24"/>
        </w:rPr>
        <w:t xml:space="preserve">stosowane przy ocenie </w:t>
      </w:r>
      <w:r w:rsidRPr="00C260BC">
        <w:rPr>
          <w:rFonts w:ascii="Times New Roman" w:hAnsi="Times New Roman" w:cs="Times New Roman"/>
          <w:b/>
          <w:sz w:val="24"/>
          <w:szCs w:val="24"/>
        </w:rPr>
        <w:t>niedoszacowania</w:t>
      </w:r>
      <w:r>
        <w:rPr>
          <w:rFonts w:ascii="Times New Roman" w:hAnsi="Times New Roman" w:cs="Times New Roman"/>
          <w:b/>
          <w:sz w:val="24"/>
          <w:szCs w:val="24"/>
        </w:rPr>
        <w:t xml:space="preserve"> cen akcji</w:t>
      </w:r>
    </w:p>
    <w:p w:rsidR="00F964BF" w:rsidRDefault="00F964BF" w:rsidP="00F964BF">
      <w:pPr>
        <w:autoSpaceDE w:val="0"/>
        <w:autoSpaceDN w:val="0"/>
        <w:adjustRightInd w:val="0"/>
        <w:spacing w:line="240" w:lineRule="auto"/>
        <w:rPr>
          <w:rFonts w:cs="Times New Roman"/>
          <w:szCs w:val="24"/>
        </w:rPr>
      </w:pPr>
    </w:p>
    <w:p w:rsidR="00F964BF" w:rsidRPr="008A5A3D" w:rsidRDefault="00F964BF" w:rsidP="00BF12A7">
      <w:pPr>
        <w:spacing w:line="360" w:lineRule="auto"/>
        <w:ind w:firstLine="360"/>
        <w:rPr>
          <w:rFonts w:eastAsia="Times New Roman" w:cs="Times New Roman"/>
          <w:szCs w:val="24"/>
          <w:lang w:eastAsia="en-GB"/>
        </w:rPr>
      </w:pPr>
      <w:r w:rsidRPr="008A5A3D">
        <w:rPr>
          <w:rFonts w:eastAsia="Times New Roman" w:cs="Times New Roman"/>
          <w:szCs w:val="24"/>
          <w:lang w:eastAsia="en-GB"/>
        </w:rPr>
        <w:t>Problematyka niedoszacowania może być rozpatrywana z dwu punktów widzen</w:t>
      </w:r>
      <w:r w:rsidRPr="004A445C">
        <w:rPr>
          <w:rFonts w:eastAsia="Times New Roman" w:cs="Times New Roman"/>
          <w:szCs w:val="24"/>
          <w:lang w:eastAsia="en-GB"/>
        </w:rPr>
        <w:t>ia, tj. odpowiednio emitenta lub inwestora. W pierwszym</w:t>
      </w:r>
      <w:r w:rsidRPr="008A5A3D">
        <w:rPr>
          <w:rFonts w:eastAsia="Times New Roman" w:cs="Times New Roman"/>
          <w:szCs w:val="24"/>
          <w:lang w:eastAsia="en-GB"/>
        </w:rPr>
        <w:t xml:space="preserve"> przypadku oznacza ono rezygna</w:t>
      </w:r>
      <w:r w:rsidRPr="004A445C">
        <w:rPr>
          <w:rFonts w:eastAsia="Times New Roman" w:cs="Times New Roman"/>
          <w:szCs w:val="24"/>
          <w:lang w:eastAsia="en-GB"/>
        </w:rPr>
        <w:t>cję emitenta z pewnej części dochodu z emisji, w drugim natomiast inwestor otrzymuje często znaczący zysk subskrypcyjny. Emitenci powinni oczywiście być zainteresowani uzyskiwaniem wysokich dochodów, a inwestorzy maksym</w:t>
      </w:r>
      <w:r w:rsidRPr="008A5A3D">
        <w:rPr>
          <w:rFonts w:eastAsia="Times New Roman" w:cs="Times New Roman"/>
          <w:szCs w:val="24"/>
          <w:lang w:eastAsia="en-GB"/>
        </w:rPr>
        <w:t>alnych zysków. Te zyski sub</w:t>
      </w:r>
      <w:r w:rsidRPr="004A445C">
        <w:rPr>
          <w:rFonts w:eastAsia="Times New Roman" w:cs="Times New Roman"/>
          <w:szCs w:val="24"/>
          <w:lang w:eastAsia="en-GB"/>
        </w:rPr>
        <w:t>skrypcyjne są nagłaśniane przez media, a emisje określane jako wielki sukces. Powstaje jednak pytanie, czy sytuacja ta ma charakter przypadkowy, czy powtarza się w dłuższym okresie i jest niejako zamierzona. W pierwszym przypadku można to sprowadzić do niskiej efektywności informacyjnej rynku, w drugim natomiast długotrwałe i duże zyski subskrypcyjne inwestora oznaczają trwałą rezygnację</w:t>
      </w:r>
      <w:r w:rsidRPr="008A5A3D">
        <w:rPr>
          <w:rFonts w:eastAsia="Times New Roman" w:cs="Times New Roman"/>
          <w:szCs w:val="24"/>
          <w:lang w:eastAsia="en-GB"/>
        </w:rPr>
        <w:t xml:space="preserve"> </w:t>
      </w:r>
      <w:r w:rsidRPr="004A445C">
        <w:rPr>
          <w:rFonts w:eastAsia="Times New Roman" w:cs="Times New Roman"/>
          <w:szCs w:val="24"/>
          <w:lang w:eastAsia="en-GB"/>
        </w:rPr>
        <w:t xml:space="preserve">emitenta z pewnej części dochodu z emisji, gdyż cena emisyjna mogłaby być ustalona na znacznie wyższym poziomie. </w:t>
      </w:r>
      <w:r w:rsidRPr="00C8175D">
        <w:rPr>
          <w:rFonts w:eastAsia="Times New Roman" w:cs="Times New Roman"/>
          <w:szCs w:val="24"/>
          <w:lang w:eastAsia="en-GB"/>
        </w:rPr>
        <w:t xml:space="preserve">Niedoszacowanie ceny emisyjnej akcji podczas pierwszej oferty publicznej można określić w </w:t>
      </w:r>
      <w:r w:rsidRPr="00C8175D">
        <w:rPr>
          <w:rFonts w:eastAsia="Times New Roman" w:cs="Times New Roman"/>
          <w:szCs w:val="24"/>
          <w:lang w:eastAsia="en-GB"/>
        </w:rPr>
        <w:lastRenderedPageBreak/>
        <w:t>różny sposób</w:t>
      </w:r>
      <w:r w:rsidRPr="008A5A3D">
        <w:rPr>
          <w:rFonts w:eastAsia="Times New Roman" w:cs="Times New Roman"/>
          <w:szCs w:val="24"/>
          <w:lang w:eastAsia="en-GB"/>
        </w:rPr>
        <w:t xml:space="preserve">. Najczęściej stosuję się następujące trzy koncepcje wskazujące na poziom niedoszacowania IPO. </w:t>
      </w:r>
    </w:p>
    <w:p w:rsidR="00F964BF" w:rsidRPr="008A5A3D" w:rsidRDefault="00F964BF" w:rsidP="00F964BF">
      <w:pPr>
        <w:spacing w:line="360" w:lineRule="auto"/>
        <w:rPr>
          <w:rFonts w:eastAsia="Times New Roman" w:cs="Times New Roman"/>
          <w:szCs w:val="24"/>
          <w:lang w:eastAsia="en-GB"/>
        </w:rPr>
      </w:pPr>
      <w:r w:rsidRPr="008A5A3D">
        <w:rPr>
          <w:rFonts w:eastAsia="Times New Roman" w:cs="Times New Roman"/>
          <w:szCs w:val="24"/>
          <w:lang w:eastAsia="en-GB"/>
        </w:rPr>
        <w:t>Pierwsza koncepcja określa ją jako absolutną różnię między kursem giełdowym akcji w pierwszym dniu notowań a pierwszą ceną emisyjną wg następującego wzoru:</w:t>
      </w:r>
    </w:p>
    <w:p w:rsidR="00F964BF" w:rsidRPr="00F13AE7" w:rsidRDefault="00F964BF" w:rsidP="00F964BF">
      <w:pPr>
        <w:spacing w:line="360" w:lineRule="auto"/>
        <w:rPr>
          <w:rFonts w:eastAsia="Times New Roman" w:cs="Times New Roman"/>
          <w:szCs w:val="24"/>
          <w:lang w:eastAsia="en-GB"/>
        </w:rPr>
      </w:pPr>
      <w:r w:rsidRPr="00F13AE7">
        <w:rPr>
          <w:rFonts w:eastAsia="Times New Roman" w:cs="Times New Roman"/>
          <w:szCs w:val="24"/>
          <w:lang w:eastAsia="en-GB"/>
        </w:rPr>
        <w:t xml:space="preserve"> </w:t>
      </w:r>
      <m:oMath>
        <m:r>
          <w:rPr>
            <w:rFonts w:ascii="Cambria Math" w:eastAsia="Times New Roman" w:hAnsi="Cambria Math" w:cs="Times New Roman"/>
            <w:szCs w:val="24"/>
            <w:lang w:eastAsia="en-GB"/>
          </w:rPr>
          <m:t>U</m:t>
        </m:r>
        <m:sSub>
          <m:sSubPr>
            <m:ctrlPr>
              <w:rPr>
                <w:rFonts w:ascii="Cambria Math" w:eastAsia="Times New Roman" w:hAnsi="Cambria Math" w:cs="Times New Roman"/>
                <w:i/>
                <w:szCs w:val="24"/>
                <w:lang w:eastAsia="en-GB"/>
              </w:rPr>
            </m:ctrlPr>
          </m:sSubPr>
          <m:e>
            <m:r>
              <w:rPr>
                <w:rFonts w:ascii="Cambria Math" w:eastAsia="Times New Roman" w:hAnsi="Cambria Math" w:cs="Times New Roman"/>
                <w:szCs w:val="24"/>
                <w:lang w:eastAsia="en-GB"/>
              </w:rPr>
              <m:t>D</m:t>
            </m:r>
          </m:e>
          <m:sub>
            <m:r>
              <w:rPr>
                <w:rFonts w:ascii="Cambria Math" w:eastAsia="Times New Roman" w:hAnsi="Cambria Math" w:cs="Times New Roman"/>
                <w:szCs w:val="24"/>
                <w:lang w:eastAsia="en-GB"/>
              </w:rPr>
              <m:t>i</m:t>
            </m:r>
          </m:sub>
        </m:sSub>
        <m:r>
          <w:rPr>
            <w:rFonts w:ascii="Cambria Math" w:eastAsia="Times New Roman" w:hAnsi="Cambria Math" w:cs="Times New Roman"/>
            <w:szCs w:val="24"/>
            <w:lang w:eastAsia="en-GB"/>
          </w:rPr>
          <m:t>=</m:t>
        </m:r>
        <m:sSub>
          <m:sSubPr>
            <m:ctrlPr>
              <w:rPr>
                <w:rFonts w:ascii="Cambria Math" w:eastAsia="Times New Roman" w:hAnsi="Cambria Math" w:cs="Times New Roman"/>
                <w:i/>
                <w:szCs w:val="24"/>
                <w:lang w:eastAsia="en-GB"/>
              </w:rPr>
            </m:ctrlPr>
          </m:sSubPr>
          <m:e>
            <m:r>
              <w:rPr>
                <w:rFonts w:ascii="Cambria Math" w:eastAsia="Times New Roman" w:hAnsi="Cambria Math" w:cs="Times New Roman"/>
                <w:szCs w:val="24"/>
                <w:lang w:eastAsia="en-GB"/>
              </w:rPr>
              <m:t>P</m:t>
            </m:r>
          </m:e>
          <m:sub>
            <m:r>
              <w:rPr>
                <w:rFonts w:ascii="Cambria Math" w:eastAsia="Times New Roman" w:hAnsi="Cambria Math" w:cs="Times New Roman"/>
                <w:szCs w:val="24"/>
                <w:lang w:eastAsia="en-GB"/>
              </w:rPr>
              <m:t>i</m:t>
            </m:r>
          </m:sub>
        </m:sSub>
        <m:r>
          <w:rPr>
            <w:rFonts w:ascii="Cambria Math" w:eastAsia="Times New Roman" w:hAnsi="Cambria Math" w:cs="Times New Roman"/>
            <w:szCs w:val="24"/>
            <w:lang w:eastAsia="en-GB"/>
          </w:rPr>
          <m:t>-</m:t>
        </m:r>
        <m:sSub>
          <m:sSubPr>
            <m:ctrlPr>
              <w:rPr>
                <w:rFonts w:ascii="Cambria Math" w:eastAsia="Times New Roman" w:hAnsi="Cambria Math" w:cs="Times New Roman"/>
                <w:i/>
                <w:szCs w:val="24"/>
                <w:lang w:eastAsia="en-GB"/>
              </w:rPr>
            </m:ctrlPr>
          </m:sSubPr>
          <m:e>
            <m:r>
              <w:rPr>
                <w:rFonts w:ascii="Cambria Math" w:eastAsia="Times New Roman" w:hAnsi="Cambria Math" w:cs="Times New Roman"/>
                <w:szCs w:val="24"/>
                <w:lang w:eastAsia="en-GB"/>
              </w:rPr>
              <m:t>E</m:t>
            </m:r>
          </m:e>
          <m:sub>
            <m:r>
              <w:rPr>
                <w:rFonts w:ascii="Cambria Math" w:eastAsia="Times New Roman" w:hAnsi="Cambria Math" w:cs="Times New Roman"/>
                <w:szCs w:val="24"/>
                <w:lang w:eastAsia="en-GB"/>
              </w:rPr>
              <m:t>i</m:t>
            </m:r>
          </m:sub>
        </m:sSub>
      </m:oMath>
    </w:p>
    <w:p w:rsidR="00F964BF" w:rsidRPr="00F13AE7" w:rsidRDefault="00F964BF" w:rsidP="00F964BF">
      <w:pPr>
        <w:spacing w:line="360" w:lineRule="auto"/>
        <w:rPr>
          <w:rFonts w:eastAsia="Times New Roman" w:cs="Times New Roman"/>
          <w:szCs w:val="24"/>
          <w:lang w:eastAsia="en-GB"/>
        </w:rPr>
      </w:pPr>
      <w:r w:rsidRPr="00F13AE7">
        <w:rPr>
          <w:rFonts w:eastAsia="Times New Roman" w:cs="Times New Roman"/>
          <w:szCs w:val="24"/>
          <w:lang w:eastAsia="en-GB"/>
        </w:rPr>
        <w:t xml:space="preserve">Gdzie: </w:t>
      </w:r>
    </w:p>
    <w:p w:rsidR="00F964BF" w:rsidRPr="00F13AE7" w:rsidRDefault="00F964BF" w:rsidP="00F964BF">
      <w:pPr>
        <w:pStyle w:val="Akapitzlist"/>
        <w:numPr>
          <w:ilvl w:val="0"/>
          <w:numId w:val="3"/>
        </w:numPr>
        <w:spacing w:after="0" w:line="360" w:lineRule="auto"/>
        <w:rPr>
          <w:rFonts w:ascii="Times New Roman" w:eastAsia="Times New Roman" w:hAnsi="Times New Roman" w:cs="Times New Roman"/>
          <w:sz w:val="24"/>
          <w:szCs w:val="24"/>
          <w:lang w:eastAsia="en-GB"/>
        </w:rPr>
      </w:pPr>
      <w:proofErr w:type="spellStart"/>
      <w:r w:rsidRPr="00F13AE7">
        <w:rPr>
          <w:rFonts w:ascii="Times New Roman" w:eastAsia="Times New Roman" w:hAnsi="Times New Roman" w:cs="Times New Roman"/>
          <w:i/>
          <w:sz w:val="24"/>
          <w:szCs w:val="24"/>
          <w:lang w:eastAsia="en-GB"/>
        </w:rPr>
        <w:t>UD</w:t>
      </w:r>
      <w:r w:rsidRPr="00F13AE7">
        <w:rPr>
          <w:rFonts w:ascii="Times New Roman" w:eastAsia="Times New Roman" w:hAnsi="Times New Roman" w:cs="Times New Roman"/>
          <w:i/>
          <w:sz w:val="24"/>
          <w:szCs w:val="24"/>
          <w:vertAlign w:val="subscript"/>
          <w:lang w:eastAsia="en-GB"/>
        </w:rPr>
        <w:t>i</w:t>
      </w:r>
      <w:proofErr w:type="spellEnd"/>
      <w:r w:rsidRPr="00F13AE7">
        <w:rPr>
          <w:rFonts w:ascii="Times New Roman" w:eastAsia="Times New Roman" w:hAnsi="Times New Roman" w:cs="Times New Roman"/>
          <w:sz w:val="24"/>
          <w:szCs w:val="24"/>
          <w:vertAlign w:val="subscript"/>
          <w:lang w:eastAsia="en-GB"/>
        </w:rPr>
        <w:t xml:space="preserve"> </w:t>
      </w:r>
      <w:r w:rsidRPr="00F13AE7">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nie</w:t>
      </w:r>
      <w:r w:rsidRPr="00F13AE7">
        <w:rPr>
          <w:rFonts w:ascii="Times New Roman" w:eastAsia="Times New Roman" w:hAnsi="Times New Roman" w:cs="Times New Roman"/>
          <w:sz w:val="24"/>
          <w:szCs w:val="24"/>
          <w:lang w:eastAsia="en-GB"/>
        </w:rPr>
        <w:t>doszacow</w:t>
      </w:r>
      <w:r>
        <w:rPr>
          <w:rFonts w:ascii="Times New Roman" w:eastAsia="Times New Roman" w:hAnsi="Times New Roman" w:cs="Times New Roman"/>
          <w:sz w:val="24"/>
          <w:szCs w:val="24"/>
          <w:lang w:eastAsia="en-GB"/>
        </w:rPr>
        <w:t>a</w:t>
      </w:r>
      <w:r w:rsidRPr="00F13AE7">
        <w:rPr>
          <w:rFonts w:ascii="Times New Roman" w:eastAsia="Times New Roman" w:hAnsi="Times New Roman" w:cs="Times New Roman"/>
          <w:sz w:val="24"/>
          <w:szCs w:val="24"/>
          <w:lang w:eastAsia="en-GB"/>
        </w:rPr>
        <w:t xml:space="preserve">nie kursu i-tej akcji, </w:t>
      </w:r>
      <w:r w:rsidRPr="00F13AE7">
        <w:rPr>
          <w:rFonts w:ascii="Times New Roman" w:eastAsia="Times New Roman" w:hAnsi="Times New Roman" w:cs="Times New Roman"/>
          <w:i/>
          <w:sz w:val="24"/>
          <w:szCs w:val="24"/>
          <w:lang w:eastAsia="en-GB"/>
        </w:rPr>
        <w:t>P</w:t>
      </w:r>
      <w:r w:rsidRPr="00F13AE7">
        <w:rPr>
          <w:rFonts w:ascii="Times New Roman" w:eastAsia="Times New Roman" w:hAnsi="Times New Roman" w:cs="Times New Roman"/>
          <w:i/>
          <w:sz w:val="24"/>
          <w:szCs w:val="24"/>
          <w:vertAlign w:val="subscript"/>
          <w:lang w:eastAsia="en-GB"/>
        </w:rPr>
        <w:t>i</w:t>
      </w:r>
      <w:r w:rsidRPr="00F13AE7">
        <w:rPr>
          <w:rFonts w:ascii="Times New Roman" w:eastAsia="Times New Roman" w:hAnsi="Times New Roman" w:cs="Times New Roman"/>
          <w:sz w:val="24"/>
          <w:szCs w:val="24"/>
          <w:lang w:eastAsia="en-GB"/>
        </w:rPr>
        <w:t xml:space="preserve"> – kurs giełdowy i tej akcji na pierwszym dniu notowań, </w:t>
      </w:r>
      <w:proofErr w:type="spellStart"/>
      <w:r w:rsidRPr="00F13AE7">
        <w:rPr>
          <w:rFonts w:ascii="Times New Roman" w:eastAsia="Times New Roman" w:hAnsi="Times New Roman" w:cs="Times New Roman"/>
          <w:i/>
          <w:sz w:val="24"/>
          <w:szCs w:val="24"/>
          <w:lang w:eastAsia="en-GB"/>
        </w:rPr>
        <w:t>E</w:t>
      </w:r>
      <w:r w:rsidRPr="00F13AE7">
        <w:rPr>
          <w:rFonts w:ascii="Times New Roman" w:eastAsia="Times New Roman" w:hAnsi="Times New Roman" w:cs="Times New Roman"/>
          <w:i/>
          <w:sz w:val="24"/>
          <w:szCs w:val="24"/>
          <w:vertAlign w:val="subscript"/>
          <w:lang w:eastAsia="en-GB"/>
        </w:rPr>
        <w:t>i</w:t>
      </w:r>
      <w:proofErr w:type="spellEnd"/>
      <w:r w:rsidRPr="00F13AE7">
        <w:rPr>
          <w:rFonts w:ascii="Times New Roman" w:eastAsia="Times New Roman" w:hAnsi="Times New Roman" w:cs="Times New Roman"/>
          <w:sz w:val="24"/>
          <w:szCs w:val="24"/>
          <w:lang w:eastAsia="en-GB"/>
        </w:rPr>
        <w:t xml:space="preserve"> – cen emisyjna i-tej akcji. </w:t>
      </w:r>
    </w:p>
    <w:p w:rsidR="00F964BF" w:rsidRPr="00F13AE7" w:rsidRDefault="00F964BF" w:rsidP="00F964BF">
      <w:pPr>
        <w:spacing w:line="360" w:lineRule="auto"/>
        <w:rPr>
          <w:rFonts w:eastAsia="Times New Roman" w:cs="Times New Roman"/>
          <w:szCs w:val="24"/>
          <w:lang w:eastAsia="en-GB"/>
        </w:rPr>
      </w:pPr>
    </w:p>
    <w:p w:rsidR="00F964BF" w:rsidRPr="00F13AE7" w:rsidRDefault="00F964BF" w:rsidP="00BF12A7">
      <w:pPr>
        <w:spacing w:line="360" w:lineRule="auto"/>
        <w:ind w:firstLine="360"/>
        <w:rPr>
          <w:rFonts w:eastAsia="Times New Roman" w:cs="Times New Roman"/>
          <w:szCs w:val="24"/>
          <w:lang w:eastAsia="en-GB"/>
        </w:rPr>
      </w:pPr>
      <w:r w:rsidRPr="00F13AE7">
        <w:rPr>
          <w:rFonts w:eastAsia="Times New Roman" w:cs="Times New Roman"/>
          <w:szCs w:val="24"/>
          <w:lang w:eastAsia="en-GB"/>
        </w:rPr>
        <w:t>Druga koncepcja to względna różnica między kursem giełdowym i-tej akcji w pierwszym dniu notowań a cena emisyjną tej akcji, określonej mianem pierwotnej stopy zwrotu (</w:t>
      </w:r>
      <w:proofErr w:type="spellStart"/>
      <w:r w:rsidRPr="00F13AE7">
        <w:rPr>
          <w:rFonts w:eastAsia="Times New Roman" w:cs="Times New Roman"/>
          <w:i/>
          <w:szCs w:val="24"/>
          <w:lang w:eastAsia="en-GB"/>
        </w:rPr>
        <w:t>initial</w:t>
      </w:r>
      <w:proofErr w:type="spellEnd"/>
      <w:r w:rsidRPr="00F13AE7">
        <w:rPr>
          <w:rFonts w:eastAsia="Times New Roman" w:cs="Times New Roman"/>
          <w:i/>
          <w:szCs w:val="24"/>
          <w:lang w:eastAsia="en-GB"/>
        </w:rPr>
        <w:t xml:space="preserve"> return</w:t>
      </w:r>
      <w:r w:rsidRPr="00F13AE7">
        <w:rPr>
          <w:rFonts w:eastAsia="Times New Roman" w:cs="Times New Roman"/>
          <w:szCs w:val="24"/>
          <w:lang w:eastAsia="en-GB"/>
        </w:rPr>
        <w:t>) wg następującej formuły:</w:t>
      </w:r>
    </w:p>
    <w:p w:rsidR="00F964BF" w:rsidRPr="00F13AE7" w:rsidRDefault="00F964BF" w:rsidP="00F964BF">
      <w:pPr>
        <w:pStyle w:val="Akapitzlist"/>
        <w:spacing w:after="0" w:line="360" w:lineRule="auto"/>
        <w:rPr>
          <w:rFonts w:ascii="Times New Roman" w:eastAsia="Times New Roman" w:hAnsi="Times New Roman" w:cs="Times New Roman"/>
          <w:sz w:val="24"/>
          <w:szCs w:val="24"/>
          <w:lang w:eastAsia="en-GB"/>
        </w:rPr>
      </w:pPr>
      <m:oMathPara>
        <m:oMath>
          <m:r>
            <w:rPr>
              <w:rFonts w:ascii="Cambria Math" w:eastAsia="Times New Roman" w:hAnsi="Cambria Math" w:cs="Times New Roman"/>
              <w:sz w:val="24"/>
              <w:szCs w:val="24"/>
              <w:lang w:eastAsia="en-GB"/>
            </w:rPr>
            <m:t>IR=</m:t>
          </m:r>
          <m:f>
            <m:fPr>
              <m:ctrlPr>
                <w:rPr>
                  <w:rFonts w:ascii="Cambria Math" w:eastAsia="Times New Roman" w:hAnsi="Cambria Math" w:cs="Times New Roman"/>
                  <w:i/>
                  <w:sz w:val="24"/>
                  <w:szCs w:val="24"/>
                  <w:lang w:eastAsia="en-GB"/>
                </w:rPr>
              </m:ctrlPr>
            </m:fPr>
            <m:num>
              <m:sSub>
                <m:sSubPr>
                  <m:ctrlPr>
                    <w:rPr>
                      <w:rFonts w:ascii="Cambria Math" w:eastAsia="Times New Roman" w:hAnsi="Cambria Math" w:cs="Times New Roman"/>
                      <w:i/>
                      <w:sz w:val="24"/>
                      <w:szCs w:val="24"/>
                      <w:lang w:eastAsia="en-GB"/>
                    </w:rPr>
                  </m:ctrlPr>
                </m:sSubPr>
                <m:e>
                  <m:r>
                    <w:rPr>
                      <w:rFonts w:ascii="Cambria Math" w:eastAsia="Times New Roman" w:hAnsi="Cambria Math" w:cs="Times New Roman"/>
                      <w:sz w:val="24"/>
                      <w:szCs w:val="24"/>
                      <w:lang w:eastAsia="en-GB"/>
                    </w:rPr>
                    <m:t>P</m:t>
                  </m:r>
                </m:e>
                <m:sub>
                  <m:r>
                    <w:rPr>
                      <w:rFonts w:ascii="Cambria Math" w:eastAsia="Times New Roman" w:hAnsi="Cambria Math" w:cs="Times New Roman"/>
                      <w:sz w:val="24"/>
                      <w:szCs w:val="24"/>
                      <w:lang w:eastAsia="en-GB"/>
                    </w:rPr>
                    <m:t>i</m:t>
                  </m:r>
                </m:sub>
              </m:sSub>
              <m:r>
                <w:rPr>
                  <w:rFonts w:ascii="Cambria Math" w:eastAsia="Times New Roman" w:hAnsi="Cambria Math" w:cs="Times New Roman"/>
                  <w:sz w:val="24"/>
                  <w:szCs w:val="24"/>
                  <w:lang w:eastAsia="en-GB"/>
                </w:rPr>
                <m:t>-</m:t>
              </m:r>
              <m:sSub>
                <m:sSubPr>
                  <m:ctrlPr>
                    <w:rPr>
                      <w:rFonts w:ascii="Cambria Math" w:eastAsia="Times New Roman" w:hAnsi="Cambria Math" w:cs="Times New Roman"/>
                      <w:i/>
                      <w:sz w:val="24"/>
                      <w:szCs w:val="24"/>
                      <w:lang w:eastAsia="en-GB"/>
                    </w:rPr>
                  </m:ctrlPr>
                </m:sSubPr>
                <m:e>
                  <m:r>
                    <w:rPr>
                      <w:rFonts w:ascii="Cambria Math" w:eastAsia="Times New Roman" w:hAnsi="Cambria Math" w:cs="Times New Roman"/>
                      <w:sz w:val="24"/>
                      <w:szCs w:val="24"/>
                      <w:lang w:eastAsia="en-GB"/>
                    </w:rPr>
                    <m:t>E</m:t>
                  </m:r>
                </m:e>
                <m:sub>
                  <m:r>
                    <w:rPr>
                      <w:rFonts w:ascii="Cambria Math" w:eastAsia="Times New Roman" w:hAnsi="Cambria Math" w:cs="Times New Roman"/>
                      <w:sz w:val="24"/>
                      <w:szCs w:val="24"/>
                      <w:lang w:eastAsia="en-GB"/>
                    </w:rPr>
                    <m:t>i</m:t>
                  </m:r>
                </m:sub>
              </m:sSub>
            </m:num>
            <m:den>
              <m:sSub>
                <m:sSubPr>
                  <m:ctrlPr>
                    <w:rPr>
                      <w:rFonts w:ascii="Cambria Math" w:eastAsia="Times New Roman" w:hAnsi="Cambria Math" w:cs="Times New Roman"/>
                      <w:i/>
                      <w:sz w:val="24"/>
                      <w:szCs w:val="24"/>
                      <w:lang w:eastAsia="en-GB"/>
                    </w:rPr>
                  </m:ctrlPr>
                </m:sSubPr>
                <m:e>
                  <m:r>
                    <w:rPr>
                      <w:rFonts w:ascii="Cambria Math" w:eastAsia="Times New Roman" w:hAnsi="Cambria Math" w:cs="Times New Roman"/>
                      <w:sz w:val="24"/>
                      <w:szCs w:val="24"/>
                      <w:lang w:eastAsia="en-GB"/>
                    </w:rPr>
                    <m:t>E</m:t>
                  </m:r>
                </m:e>
                <m:sub>
                  <m:r>
                    <w:rPr>
                      <w:rFonts w:ascii="Cambria Math" w:eastAsia="Times New Roman" w:hAnsi="Cambria Math" w:cs="Times New Roman"/>
                      <w:sz w:val="24"/>
                      <w:szCs w:val="24"/>
                      <w:lang w:eastAsia="en-GB"/>
                    </w:rPr>
                    <m:t>i</m:t>
                  </m:r>
                </m:sub>
              </m:sSub>
            </m:den>
          </m:f>
        </m:oMath>
      </m:oMathPara>
    </w:p>
    <w:p w:rsidR="00F964BF" w:rsidRPr="00F13AE7" w:rsidRDefault="00F964BF" w:rsidP="00F964BF">
      <w:pPr>
        <w:spacing w:line="360" w:lineRule="auto"/>
        <w:rPr>
          <w:rFonts w:eastAsia="Times New Roman" w:cs="Times New Roman"/>
          <w:szCs w:val="24"/>
          <w:lang w:eastAsia="en-GB"/>
        </w:rPr>
      </w:pPr>
      <w:r w:rsidRPr="00F13AE7">
        <w:rPr>
          <w:rFonts w:eastAsia="Times New Roman" w:cs="Times New Roman"/>
          <w:szCs w:val="24"/>
          <w:lang w:eastAsia="en-GB"/>
        </w:rPr>
        <w:t xml:space="preserve">Gdzie: </w:t>
      </w:r>
    </w:p>
    <w:p w:rsidR="00F964BF" w:rsidRDefault="00F964BF" w:rsidP="00F964BF">
      <w:pPr>
        <w:pStyle w:val="Akapitzlist"/>
        <w:numPr>
          <w:ilvl w:val="0"/>
          <w:numId w:val="3"/>
        </w:num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IR to pierwotna stopa zwrotu, </w:t>
      </w:r>
      <w:proofErr w:type="spellStart"/>
      <w:r w:rsidRPr="00F13AE7">
        <w:rPr>
          <w:rFonts w:ascii="Times New Roman" w:eastAsia="Times New Roman" w:hAnsi="Times New Roman" w:cs="Times New Roman"/>
          <w:i/>
          <w:sz w:val="24"/>
          <w:szCs w:val="24"/>
          <w:lang w:eastAsia="en-GB"/>
        </w:rPr>
        <w:t>E</w:t>
      </w:r>
      <w:r w:rsidRPr="00F13AE7">
        <w:rPr>
          <w:rFonts w:ascii="Times New Roman" w:eastAsia="Times New Roman" w:hAnsi="Times New Roman" w:cs="Times New Roman"/>
          <w:i/>
          <w:sz w:val="24"/>
          <w:szCs w:val="24"/>
          <w:vertAlign w:val="subscript"/>
          <w:lang w:eastAsia="en-GB"/>
        </w:rPr>
        <w:t>i</w:t>
      </w:r>
      <w:proofErr w:type="spellEnd"/>
      <w:r w:rsidRPr="00F13AE7">
        <w:rPr>
          <w:rFonts w:ascii="Times New Roman" w:eastAsia="Times New Roman" w:hAnsi="Times New Roman" w:cs="Times New Roman"/>
          <w:sz w:val="24"/>
          <w:szCs w:val="24"/>
          <w:lang w:eastAsia="en-GB"/>
        </w:rPr>
        <w:t xml:space="preserve"> – cen emisyjna i-tej akcji</w:t>
      </w:r>
    </w:p>
    <w:p w:rsidR="00F964BF" w:rsidRDefault="00F964BF" w:rsidP="00BF12A7">
      <w:pPr>
        <w:spacing w:line="360" w:lineRule="auto"/>
        <w:ind w:firstLine="360"/>
        <w:rPr>
          <w:rFonts w:eastAsia="Times New Roman" w:cs="Times New Roman"/>
          <w:szCs w:val="24"/>
          <w:lang w:eastAsia="en-GB"/>
        </w:rPr>
      </w:pPr>
      <w:r>
        <w:rPr>
          <w:rFonts w:eastAsia="Times New Roman" w:cs="Times New Roman"/>
          <w:szCs w:val="24"/>
          <w:lang w:eastAsia="en-GB"/>
        </w:rPr>
        <w:t>Trzecia postać to pierwotna stopa zwrotu skorygowana o względną zmianę indeksu giełdowego w okresie między dniem zamknięcia subskrypcji a dniem debiutu giełdowego (stopa zwrotu z indeksu) obliczana wg wzoru:</w:t>
      </w:r>
    </w:p>
    <w:p w:rsidR="00F964BF" w:rsidRDefault="00F964BF" w:rsidP="00F964BF">
      <w:pPr>
        <w:spacing w:line="360" w:lineRule="auto"/>
        <w:rPr>
          <w:rFonts w:eastAsia="Times New Roman" w:cs="Times New Roman"/>
          <w:szCs w:val="24"/>
          <w:lang w:eastAsia="en-GB"/>
        </w:rPr>
      </w:pPr>
      <m:oMathPara>
        <m:oMath>
          <m:r>
            <w:rPr>
              <w:rFonts w:ascii="Cambria Math" w:eastAsia="Times New Roman" w:hAnsi="Cambria Math" w:cs="Times New Roman"/>
              <w:szCs w:val="24"/>
              <w:lang w:eastAsia="en-GB"/>
            </w:rPr>
            <m:t>AIR=</m:t>
          </m:r>
          <m:f>
            <m:fPr>
              <m:ctrlPr>
                <w:rPr>
                  <w:rFonts w:ascii="Cambria Math" w:eastAsia="Times New Roman" w:hAnsi="Cambria Math" w:cs="Times New Roman"/>
                  <w:i/>
                  <w:szCs w:val="24"/>
                  <w:lang w:eastAsia="en-GB"/>
                </w:rPr>
              </m:ctrlPr>
            </m:fPr>
            <m:num>
              <m:sSub>
                <m:sSubPr>
                  <m:ctrlPr>
                    <w:rPr>
                      <w:rFonts w:ascii="Cambria Math" w:eastAsia="Times New Roman" w:hAnsi="Cambria Math" w:cs="Times New Roman"/>
                      <w:i/>
                      <w:szCs w:val="24"/>
                      <w:lang w:eastAsia="en-GB"/>
                    </w:rPr>
                  </m:ctrlPr>
                </m:sSubPr>
                <m:e>
                  <m:r>
                    <w:rPr>
                      <w:rFonts w:ascii="Cambria Math" w:eastAsia="Times New Roman" w:hAnsi="Cambria Math" w:cs="Times New Roman"/>
                      <w:szCs w:val="24"/>
                      <w:lang w:eastAsia="en-GB"/>
                    </w:rPr>
                    <m:t>P</m:t>
                  </m:r>
                </m:e>
                <m:sub>
                  <m:r>
                    <w:rPr>
                      <w:rFonts w:ascii="Cambria Math" w:eastAsia="Times New Roman" w:hAnsi="Cambria Math" w:cs="Times New Roman"/>
                      <w:szCs w:val="24"/>
                      <w:lang w:eastAsia="en-GB"/>
                    </w:rPr>
                    <m:t>i</m:t>
                  </m:r>
                </m:sub>
              </m:sSub>
              <m:r>
                <w:rPr>
                  <w:rFonts w:ascii="Cambria Math" w:eastAsia="Times New Roman" w:hAnsi="Cambria Math" w:cs="Times New Roman"/>
                  <w:szCs w:val="24"/>
                  <w:lang w:eastAsia="en-GB"/>
                </w:rPr>
                <m:t>-</m:t>
              </m:r>
              <m:sSub>
                <m:sSubPr>
                  <m:ctrlPr>
                    <w:rPr>
                      <w:rFonts w:ascii="Cambria Math" w:eastAsia="Times New Roman" w:hAnsi="Cambria Math" w:cs="Times New Roman"/>
                      <w:i/>
                      <w:szCs w:val="24"/>
                      <w:lang w:eastAsia="en-GB"/>
                    </w:rPr>
                  </m:ctrlPr>
                </m:sSubPr>
                <m:e>
                  <m:r>
                    <w:rPr>
                      <w:rFonts w:ascii="Cambria Math" w:eastAsia="Times New Roman" w:hAnsi="Cambria Math" w:cs="Times New Roman"/>
                      <w:szCs w:val="24"/>
                      <w:lang w:eastAsia="en-GB"/>
                    </w:rPr>
                    <m:t>E</m:t>
                  </m:r>
                </m:e>
                <m:sub>
                  <m:r>
                    <w:rPr>
                      <w:rFonts w:ascii="Cambria Math" w:eastAsia="Times New Roman" w:hAnsi="Cambria Math" w:cs="Times New Roman"/>
                      <w:szCs w:val="24"/>
                      <w:lang w:eastAsia="en-GB"/>
                    </w:rPr>
                    <m:t>i</m:t>
                  </m:r>
                </m:sub>
              </m:sSub>
            </m:num>
            <m:den>
              <m:sSub>
                <m:sSubPr>
                  <m:ctrlPr>
                    <w:rPr>
                      <w:rFonts w:ascii="Cambria Math" w:eastAsia="Times New Roman" w:hAnsi="Cambria Math" w:cs="Times New Roman"/>
                      <w:i/>
                      <w:szCs w:val="24"/>
                      <w:lang w:eastAsia="en-GB"/>
                    </w:rPr>
                  </m:ctrlPr>
                </m:sSubPr>
                <m:e>
                  <m:r>
                    <w:rPr>
                      <w:rFonts w:ascii="Cambria Math" w:eastAsia="Times New Roman" w:hAnsi="Cambria Math" w:cs="Times New Roman"/>
                      <w:szCs w:val="24"/>
                      <w:lang w:eastAsia="en-GB"/>
                    </w:rPr>
                    <m:t>E</m:t>
                  </m:r>
                </m:e>
                <m:sub>
                  <m:r>
                    <w:rPr>
                      <w:rFonts w:ascii="Cambria Math" w:eastAsia="Times New Roman" w:hAnsi="Cambria Math" w:cs="Times New Roman"/>
                      <w:szCs w:val="24"/>
                      <w:lang w:eastAsia="en-GB"/>
                    </w:rPr>
                    <m:t>i</m:t>
                  </m:r>
                </m:sub>
              </m:sSub>
            </m:den>
          </m:f>
          <m:r>
            <w:rPr>
              <w:rFonts w:ascii="Cambria Math" w:eastAsia="Times New Roman" w:hAnsi="Cambria Math" w:cs="Times New Roman"/>
              <w:szCs w:val="24"/>
              <w:lang w:eastAsia="en-GB"/>
            </w:rPr>
            <m:t>-</m:t>
          </m:r>
          <m:f>
            <m:fPr>
              <m:ctrlPr>
                <w:rPr>
                  <w:rFonts w:ascii="Cambria Math" w:eastAsia="Times New Roman" w:hAnsi="Cambria Math" w:cs="Times New Roman"/>
                  <w:i/>
                  <w:szCs w:val="24"/>
                  <w:lang w:eastAsia="en-GB"/>
                </w:rPr>
              </m:ctrlPr>
            </m:fPr>
            <m:num>
              <m:sSub>
                <m:sSubPr>
                  <m:ctrlPr>
                    <w:rPr>
                      <w:rFonts w:ascii="Cambria Math" w:eastAsia="Times New Roman" w:hAnsi="Cambria Math" w:cs="Times New Roman"/>
                      <w:i/>
                      <w:szCs w:val="24"/>
                      <w:lang w:eastAsia="en-GB"/>
                    </w:rPr>
                  </m:ctrlPr>
                </m:sSubPr>
                <m:e>
                  <m:r>
                    <w:rPr>
                      <w:rFonts w:ascii="Cambria Math" w:eastAsia="Times New Roman" w:hAnsi="Cambria Math" w:cs="Times New Roman"/>
                      <w:szCs w:val="24"/>
                      <w:lang w:eastAsia="en-GB"/>
                    </w:rPr>
                    <m:t>I</m:t>
                  </m:r>
                </m:e>
                <m:sub>
                  <m:r>
                    <w:rPr>
                      <w:rFonts w:ascii="Cambria Math" w:eastAsia="Times New Roman" w:hAnsi="Cambria Math" w:cs="Times New Roman"/>
                      <w:szCs w:val="24"/>
                      <w:lang w:eastAsia="en-GB"/>
                    </w:rPr>
                    <m:t>t</m:t>
                  </m:r>
                </m:sub>
              </m:sSub>
              <m:r>
                <w:rPr>
                  <w:rFonts w:ascii="Cambria Math" w:eastAsia="Times New Roman" w:hAnsi="Cambria Math" w:cs="Times New Roman"/>
                  <w:szCs w:val="24"/>
                  <w:lang w:eastAsia="en-GB"/>
                </w:rPr>
                <m:t>-</m:t>
              </m:r>
              <m:sSub>
                <m:sSubPr>
                  <m:ctrlPr>
                    <w:rPr>
                      <w:rFonts w:ascii="Cambria Math" w:eastAsia="Times New Roman" w:hAnsi="Cambria Math" w:cs="Times New Roman"/>
                      <w:i/>
                      <w:szCs w:val="24"/>
                      <w:lang w:eastAsia="en-GB"/>
                    </w:rPr>
                  </m:ctrlPr>
                </m:sSubPr>
                <m:e>
                  <m:r>
                    <w:rPr>
                      <w:rFonts w:ascii="Cambria Math" w:eastAsia="Times New Roman" w:hAnsi="Cambria Math" w:cs="Times New Roman"/>
                      <w:szCs w:val="24"/>
                      <w:lang w:eastAsia="en-GB"/>
                    </w:rPr>
                    <m:t>I</m:t>
                  </m:r>
                </m:e>
                <m:sub>
                  <m:r>
                    <w:rPr>
                      <w:rFonts w:ascii="Cambria Math" w:eastAsia="Times New Roman" w:hAnsi="Cambria Math" w:cs="Times New Roman"/>
                      <w:szCs w:val="24"/>
                      <w:lang w:eastAsia="en-GB"/>
                    </w:rPr>
                    <m:t>0</m:t>
                  </m:r>
                </m:sub>
              </m:sSub>
            </m:num>
            <m:den>
              <m:sSub>
                <m:sSubPr>
                  <m:ctrlPr>
                    <w:rPr>
                      <w:rFonts w:ascii="Cambria Math" w:eastAsia="Times New Roman" w:hAnsi="Cambria Math" w:cs="Times New Roman"/>
                      <w:i/>
                      <w:szCs w:val="24"/>
                      <w:lang w:eastAsia="en-GB"/>
                    </w:rPr>
                  </m:ctrlPr>
                </m:sSubPr>
                <m:e>
                  <m:r>
                    <w:rPr>
                      <w:rFonts w:ascii="Cambria Math" w:eastAsia="Times New Roman" w:hAnsi="Cambria Math" w:cs="Times New Roman"/>
                      <w:szCs w:val="24"/>
                      <w:lang w:eastAsia="en-GB"/>
                    </w:rPr>
                    <m:t>I</m:t>
                  </m:r>
                </m:e>
                <m:sub>
                  <m:r>
                    <w:rPr>
                      <w:rFonts w:ascii="Cambria Math" w:eastAsia="Times New Roman" w:hAnsi="Cambria Math" w:cs="Times New Roman"/>
                      <w:szCs w:val="24"/>
                      <w:lang w:eastAsia="en-GB"/>
                    </w:rPr>
                    <m:t>0</m:t>
                  </m:r>
                </m:sub>
              </m:sSub>
            </m:den>
          </m:f>
        </m:oMath>
      </m:oMathPara>
    </w:p>
    <w:p w:rsidR="00F964BF" w:rsidRPr="004340C3" w:rsidRDefault="00F964BF" w:rsidP="00F964BF">
      <w:pPr>
        <w:spacing w:line="360" w:lineRule="auto"/>
        <w:rPr>
          <w:rFonts w:eastAsia="Times New Roman" w:cs="Times New Roman"/>
          <w:szCs w:val="24"/>
          <w:lang w:eastAsia="en-GB"/>
        </w:rPr>
      </w:pPr>
      <w:r w:rsidRPr="004340C3">
        <w:rPr>
          <w:rFonts w:eastAsia="Times New Roman" w:cs="Times New Roman"/>
          <w:szCs w:val="24"/>
          <w:lang w:eastAsia="en-GB"/>
        </w:rPr>
        <w:t>Gdzie:</w:t>
      </w:r>
    </w:p>
    <w:p w:rsidR="00F964BF" w:rsidRPr="004340C3" w:rsidRDefault="00F964BF" w:rsidP="00F964BF">
      <w:pPr>
        <w:pStyle w:val="Akapitzlist"/>
        <w:numPr>
          <w:ilvl w:val="0"/>
          <w:numId w:val="3"/>
        </w:numPr>
        <w:spacing w:line="360" w:lineRule="auto"/>
        <w:jc w:val="left"/>
        <w:rPr>
          <w:rFonts w:ascii="Times New Roman" w:eastAsia="Times New Roman" w:hAnsi="Times New Roman" w:cs="Times New Roman"/>
          <w:sz w:val="24"/>
          <w:szCs w:val="24"/>
          <w:lang w:eastAsia="en-GB"/>
        </w:rPr>
      </w:pPr>
      <w:r w:rsidRPr="004340C3">
        <w:rPr>
          <w:rFonts w:ascii="Times New Roman" w:eastAsia="Times New Roman" w:hAnsi="Times New Roman" w:cs="Times New Roman"/>
          <w:i/>
          <w:sz w:val="24"/>
          <w:szCs w:val="24"/>
          <w:lang w:eastAsia="en-GB"/>
        </w:rPr>
        <w:t>AIR</w:t>
      </w:r>
      <w:r w:rsidRPr="004340C3">
        <w:rPr>
          <w:rFonts w:ascii="Times New Roman" w:eastAsia="Times New Roman" w:hAnsi="Times New Roman" w:cs="Times New Roman"/>
          <w:sz w:val="24"/>
          <w:szCs w:val="24"/>
          <w:lang w:eastAsia="en-GB"/>
        </w:rPr>
        <w:t xml:space="preserve"> – skorygowane niedoszacowanie pierwotnej oferty publicznej, </w:t>
      </w:r>
      <w:r w:rsidRPr="004340C3">
        <w:rPr>
          <w:rFonts w:ascii="Times New Roman" w:eastAsia="Times New Roman" w:hAnsi="Times New Roman" w:cs="Times New Roman"/>
          <w:i/>
          <w:sz w:val="24"/>
          <w:szCs w:val="24"/>
          <w:lang w:eastAsia="en-GB"/>
        </w:rPr>
        <w:t>I</w:t>
      </w:r>
      <w:r w:rsidRPr="004340C3">
        <w:rPr>
          <w:rFonts w:ascii="Times New Roman" w:eastAsia="Times New Roman" w:hAnsi="Times New Roman" w:cs="Times New Roman"/>
          <w:i/>
          <w:sz w:val="24"/>
          <w:szCs w:val="24"/>
          <w:vertAlign w:val="subscript"/>
          <w:lang w:eastAsia="en-GB"/>
        </w:rPr>
        <w:t>t</w:t>
      </w:r>
      <w:r w:rsidRPr="004340C3">
        <w:rPr>
          <w:rFonts w:ascii="Times New Roman" w:eastAsia="Times New Roman" w:hAnsi="Times New Roman" w:cs="Times New Roman"/>
          <w:sz w:val="24"/>
          <w:szCs w:val="24"/>
          <w:lang w:eastAsia="en-GB"/>
        </w:rPr>
        <w:t xml:space="preserve"> – wartość portfela rynkowego na zamknięciu pierwszego dnia notowań, </w:t>
      </w:r>
      <w:r w:rsidRPr="004340C3">
        <w:rPr>
          <w:rFonts w:ascii="Times New Roman" w:eastAsia="Times New Roman" w:hAnsi="Times New Roman" w:cs="Times New Roman"/>
          <w:i/>
          <w:sz w:val="24"/>
          <w:szCs w:val="24"/>
          <w:lang w:eastAsia="en-GB"/>
        </w:rPr>
        <w:t>I</w:t>
      </w:r>
      <w:r w:rsidRPr="004340C3">
        <w:rPr>
          <w:rFonts w:ascii="Times New Roman" w:eastAsia="Times New Roman" w:hAnsi="Times New Roman" w:cs="Times New Roman"/>
          <w:i/>
          <w:sz w:val="24"/>
          <w:szCs w:val="24"/>
          <w:vertAlign w:val="subscript"/>
          <w:lang w:eastAsia="en-GB"/>
        </w:rPr>
        <w:t>0</w:t>
      </w:r>
      <w:r w:rsidRPr="004340C3">
        <w:rPr>
          <w:rFonts w:ascii="Times New Roman" w:eastAsia="Times New Roman" w:hAnsi="Times New Roman" w:cs="Times New Roman"/>
          <w:i/>
          <w:sz w:val="24"/>
          <w:szCs w:val="24"/>
          <w:lang w:eastAsia="en-GB"/>
        </w:rPr>
        <w:t xml:space="preserve"> – </w:t>
      </w:r>
      <w:r w:rsidRPr="004340C3">
        <w:rPr>
          <w:rFonts w:ascii="Times New Roman" w:eastAsia="Times New Roman" w:hAnsi="Times New Roman" w:cs="Times New Roman"/>
          <w:sz w:val="24"/>
          <w:szCs w:val="24"/>
          <w:lang w:eastAsia="en-GB"/>
        </w:rPr>
        <w:t>wartość portfela rynkowego na otwarciu pierwszego dnia notowań</w:t>
      </w:r>
      <w:r>
        <w:rPr>
          <w:rFonts w:ascii="Times New Roman" w:eastAsia="Times New Roman" w:hAnsi="Times New Roman" w:cs="Times New Roman"/>
          <w:i/>
          <w:sz w:val="24"/>
          <w:szCs w:val="24"/>
          <w:lang w:eastAsia="en-GB"/>
        </w:rPr>
        <w:t xml:space="preserve"> </w:t>
      </w:r>
      <w:r w:rsidRPr="00D237E4">
        <w:rPr>
          <w:rFonts w:ascii="Times New Roman" w:eastAsia="Times New Roman" w:hAnsi="Times New Roman" w:cs="Times New Roman"/>
          <w:sz w:val="24"/>
          <w:szCs w:val="24"/>
          <w:lang w:eastAsia="en-GB"/>
        </w:rPr>
        <w:t>(np. WIG20).</w:t>
      </w:r>
    </w:p>
    <w:p w:rsidR="00F964BF" w:rsidRPr="00C41704" w:rsidRDefault="00F964BF" w:rsidP="00BF12A7">
      <w:pPr>
        <w:spacing w:line="360" w:lineRule="auto"/>
        <w:ind w:firstLine="360"/>
        <w:rPr>
          <w:rFonts w:eastAsia="Times New Roman" w:cs="Times New Roman"/>
          <w:szCs w:val="24"/>
          <w:lang w:eastAsia="en-GB"/>
        </w:rPr>
      </w:pPr>
      <w:r w:rsidRPr="00C41704">
        <w:rPr>
          <w:rFonts w:eastAsia="Times New Roman" w:cs="Times New Roman"/>
          <w:szCs w:val="24"/>
          <w:lang w:eastAsia="en-GB"/>
        </w:rPr>
        <w:t>Tak określone niedoszacowanie ma wyrazić fakt, że między zakończeniem subskrypcji akcji a jej pierwszym notowaniem giełdowym upływa pewien okres, w którym inwestor ma możliwość dokonania alternatywnej inwestycji. Sama pozytywne różnica, niezależnie od sposobu jej wyrażenia (absolutna, względna) nie pozwala z tego powodu postawić jeszcze tezy, że cena emisyjna akcji jest niedoszacowana. Tylko wtedy, gdy alternatywna inwestycja przyniesie w tym samym czasie niższą stopę zwrotu niż nabyta akcja, można mówić o niedoszacowaniu. Pierwotną stopę zwrotu koryguje się dlatego o zrealizowaną stopę zwrotu z portfela rynkowego i gdy jest ona wyższa, inwestor może osiągnąć ponadprzeciętną (nadwyżkową) stopę zwrotu (</w:t>
      </w:r>
      <w:proofErr w:type="spellStart"/>
      <w:r w:rsidRPr="00C41704">
        <w:rPr>
          <w:rFonts w:eastAsia="Times New Roman" w:cs="Times New Roman"/>
          <w:i/>
          <w:szCs w:val="24"/>
          <w:lang w:eastAsia="en-GB"/>
        </w:rPr>
        <w:t>abnormal</w:t>
      </w:r>
      <w:proofErr w:type="spellEnd"/>
      <w:r w:rsidRPr="00C41704">
        <w:rPr>
          <w:rFonts w:eastAsia="Times New Roman" w:cs="Times New Roman"/>
          <w:i/>
          <w:szCs w:val="24"/>
          <w:lang w:eastAsia="en-GB"/>
        </w:rPr>
        <w:t xml:space="preserve"> </w:t>
      </w:r>
      <w:proofErr w:type="spellStart"/>
      <w:r w:rsidRPr="00C41704">
        <w:rPr>
          <w:rFonts w:eastAsia="Times New Roman" w:cs="Times New Roman"/>
          <w:i/>
          <w:szCs w:val="24"/>
          <w:lang w:eastAsia="en-GB"/>
        </w:rPr>
        <w:t>internal</w:t>
      </w:r>
      <w:proofErr w:type="spellEnd"/>
      <w:r w:rsidRPr="00C41704">
        <w:rPr>
          <w:rFonts w:eastAsia="Times New Roman" w:cs="Times New Roman"/>
          <w:i/>
          <w:szCs w:val="24"/>
          <w:lang w:eastAsia="en-GB"/>
        </w:rPr>
        <w:t xml:space="preserve"> return, AIR</w:t>
      </w:r>
      <w:r w:rsidRPr="00C41704">
        <w:rPr>
          <w:rFonts w:eastAsia="Times New Roman" w:cs="Times New Roman"/>
          <w:szCs w:val="24"/>
          <w:lang w:eastAsia="en-GB"/>
        </w:rPr>
        <w:t>).</w:t>
      </w:r>
    </w:p>
    <w:p w:rsidR="00F964BF" w:rsidRPr="004A445C" w:rsidRDefault="00F964BF" w:rsidP="00F964BF">
      <w:pPr>
        <w:spacing w:line="240" w:lineRule="auto"/>
        <w:rPr>
          <w:rFonts w:ascii="Arial" w:eastAsia="Times New Roman" w:hAnsi="Arial" w:cs="Arial"/>
          <w:sz w:val="26"/>
          <w:szCs w:val="26"/>
          <w:lang w:eastAsia="en-GB"/>
        </w:rPr>
      </w:pPr>
    </w:p>
    <w:p w:rsidR="00F964BF" w:rsidRPr="005F55D9" w:rsidRDefault="00F964BF" w:rsidP="00BF12A7">
      <w:pPr>
        <w:spacing w:line="360" w:lineRule="auto"/>
        <w:ind w:firstLine="360"/>
        <w:rPr>
          <w:rFonts w:cs="Times New Roman"/>
          <w:szCs w:val="24"/>
        </w:rPr>
      </w:pPr>
      <w:r w:rsidRPr="005F55D9">
        <w:rPr>
          <w:rFonts w:cs="Times New Roman"/>
          <w:szCs w:val="24"/>
        </w:rPr>
        <w:t>W niniejszym badaniu zastosowana została formuła określająca przeciętne niedoszacowanie portfela akc</w:t>
      </w:r>
      <w:r>
        <w:rPr>
          <w:rFonts w:cs="Times New Roman"/>
          <w:szCs w:val="24"/>
        </w:rPr>
        <w:t>ji zasilanych funduszami</w:t>
      </w:r>
      <w:r w:rsidRPr="005F55D9">
        <w:rPr>
          <w:rFonts w:cs="Times New Roman"/>
          <w:szCs w:val="24"/>
        </w:rPr>
        <w:t xml:space="preserve"> PE w stosunku do szerokiego rynku. Formuła ta przybiera następującą postać:</w:t>
      </w:r>
    </w:p>
    <w:p w:rsidR="00F964BF" w:rsidRPr="009C4A2E" w:rsidRDefault="00557A01" w:rsidP="00F964BF">
      <w:pPr>
        <w:rPr>
          <w:rFonts w:eastAsiaTheme="minorEastAsia"/>
        </w:rPr>
      </w:pPr>
      <m:oMathPara>
        <m:oMath>
          <m:acc>
            <m:accPr>
              <m:chr m:val="̅"/>
              <m:ctrlPr>
                <w:rPr>
                  <w:rFonts w:ascii="Cambria Math" w:hAnsi="Cambria Math"/>
                  <w:i/>
                </w:rPr>
              </m:ctrlPr>
            </m:accPr>
            <m:e>
              <m:r>
                <w:rPr>
                  <w:rFonts w:ascii="Cambria Math" w:hAnsi="Cambria Math"/>
                </w:rPr>
                <m:t>IR</m:t>
              </m:r>
            </m:e>
          </m:acc>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N</m:t>
              </m:r>
            </m:den>
          </m:f>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IR</m:t>
              </m:r>
            </m:e>
          </m:nary>
        </m:oMath>
      </m:oMathPara>
    </w:p>
    <w:p w:rsidR="00F964BF" w:rsidRDefault="00F964BF" w:rsidP="00F964BF">
      <w:pPr>
        <w:rPr>
          <w:rFonts w:eastAsiaTheme="minorEastAsia"/>
        </w:rPr>
      </w:pPr>
      <w:r>
        <w:rPr>
          <w:rFonts w:eastAsiaTheme="minorEastAsia"/>
        </w:rPr>
        <w:t>Gdzie:</w:t>
      </w:r>
    </w:p>
    <w:p w:rsidR="00F964BF" w:rsidRPr="009C4A2E" w:rsidRDefault="00557A01" w:rsidP="00F964BF">
      <w:pPr>
        <w:pStyle w:val="Akapitzlist"/>
        <w:numPr>
          <w:ilvl w:val="0"/>
          <w:numId w:val="3"/>
        </w:numPr>
        <w:jc w:val="left"/>
        <w:rPr>
          <w:rFonts w:ascii="Times New Roman" w:hAnsi="Times New Roman" w:cs="Times New Roman"/>
          <w:sz w:val="24"/>
          <w:szCs w:val="24"/>
        </w:rPr>
      </w:pPr>
      <m:oMath>
        <m:acc>
          <m:accPr>
            <m:chr m:val="̅"/>
            <m:ctrlPr>
              <w:rPr>
                <w:rFonts w:ascii="Cambria Math" w:hAnsi="Cambria Math" w:cs="Times New Roman"/>
                <w:i/>
                <w:sz w:val="24"/>
                <w:szCs w:val="24"/>
              </w:rPr>
            </m:ctrlPr>
          </m:accPr>
          <m:e>
            <m:r>
              <w:rPr>
                <w:rFonts w:ascii="Cambria Math" w:hAnsi="Cambria Math" w:cs="Times New Roman"/>
                <w:sz w:val="24"/>
                <w:szCs w:val="24"/>
              </w:rPr>
              <m:t>IR</m:t>
            </m:r>
          </m:e>
        </m:acc>
      </m:oMath>
      <w:r w:rsidR="00F964BF" w:rsidRPr="009C4A2E">
        <w:rPr>
          <w:rFonts w:ascii="Times New Roman" w:eastAsiaTheme="minorEastAsia" w:hAnsi="Times New Roman" w:cs="Times New Roman"/>
          <w:sz w:val="24"/>
          <w:szCs w:val="24"/>
        </w:rPr>
        <w:t xml:space="preserve"> – </w:t>
      </w:r>
      <w:r w:rsidR="00F964BF">
        <w:rPr>
          <w:rFonts w:ascii="Times New Roman" w:eastAsiaTheme="minorEastAsia" w:hAnsi="Times New Roman" w:cs="Times New Roman"/>
          <w:sz w:val="24"/>
          <w:szCs w:val="24"/>
        </w:rPr>
        <w:t xml:space="preserve">średnia </w:t>
      </w:r>
      <w:r w:rsidR="00F964BF" w:rsidRPr="009C4A2E">
        <w:rPr>
          <w:rFonts w:ascii="Times New Roman" w:eastAsiaTheme="minorEastAsia" w:hAnsi="Times New Roman" w:cs="Times New Roman"/>
          <w:sz w:val="24"/>
          <w:szCs w:val="24"/>
        </w:rPr>
        <w:t xml:space="preserve">pierwotna stopa zwrotu. </w:t>
      </w:r>
    </w:p>
    <w:p w:rsidR="00F964BF" w:rsidRDefault="00F964BF" w:rsidP="00F964BF">
      <w:pPr>
        <w:spacing w:line="360" w:lineRule="auto"/>
        <w:rPr>
          <w:rFonts w:eastAsia="Times New Roman" w:cs="Times New Roman"/>
          <w:szCs w:val="24"/>
          <w:lang w:eastAsia="en-GB"/>
        </w:rPr>
      </w:pPr>
      <w:r w:rsidRPr="00B5405C">
        <w:rPr>
          <w:rFonts w:eastAsia="Times New Roman" w:cs="Times New Roman"/>
          <w:szCs w:val="24"/>
          <w:lang w:eastAsia="en-GB"/>
        </w:rPr>
        <w:t xml:space="preserve">Oprócz średniej arytmetycznej portfela akcji w ocenie niedoszacowania można stosować również inne miary statystyczne (medianę, wartość maksymalną, wartość minimalną, odchylenie standardowe) oraz ważoną wartością emisji przeciętną stopę niedoszacowania IPO. </w:t>
      </w:r>
    </w:p>
    <w:p w:rsidR="00F964BF" w:rsidRPr="00902147" w:rsidRDefault="00F964BF" w:rsidP="00F964BF">
      <w:pPr>
        <w:autoSpaceDE w:val="0"/>
        <w:autoSpaceDN w:val="0"/>
        <w:adjustRightInd w:val="0"/>
        <w:spacing w:line="240" w:lineRule="auto"/>
        <w:rPr>
          <w:rFonts w:ascii="TimesNewRomanPSMT" w:hAnsi="TimesNewRomanPSMT" w:cs="TimesNewRomanPSMT"/>
          <w:sz w:val="21"/>
          <w:szCs w:val="21"/>
        </w:rPr>
      </w:pPr>
    </w:p>
    <w:p w:rsidR="00980E36" w:rsidRPr="00980E36" w:rsidRDefault="00980E36" w:rsidP="00980E36">
      <w:pPr>
        <w:pStyle w:val="Akapitzlist"/>
        <w:numPr>
          <w:ilvl w:val="0"/>
          <w:numId w:val="1"/>
        </w:numPr>
        <w:autoSpaceDE w:val="0"/>
        <w:autoSpaceDN w:val="0"/>
        <w:adjustRightInd w:val="0"/>
        <w:spacing w:line="360" w:lineRule="auto"/>
        <w:rPr>
          <w:rFonts w:ascii="Times New Roman" w:hAnsi="Times New Roman" w:cs="Times New Roman"/>
          <w:b/>
          <w:sz w:val="24"/>
          <w:szCs w:val="24"/>
        </w:rPr>
      </w:pPr>
      <w:r w:rsidRPr="00980E36">
        <w:rPr>
          <w:rFonts w:ascii="Times New Roman" w:hAnsi="Times New Roman" w:cs="Times New Roman"/>
          <w:b/>
          <w:sz w:val="24"/>
          <w:szCs w:val="24"/>
        </w:rPr>
        <w:t xml:space="preserve">Analiza poziomu niedoszacowania ofert publicznych spółek zasilanych funduszami </w:t>
      </w:r>
      <w:proofErr w:type="spellStart"/>
      <w:r w:rsidRPr="00980E36">
        <w:rPr>
          <w:rFonts w:ascii="Times New Roman" w:hAnsi="Times New Roman" w:cs="Times New Roman"/>
          <w:b/>
          <w:sz w:val="24"/>
          <w:szCs w:val="24"/>
        </w:rPr>
        <w:t>private</w:t>
      </w:r>
      <w:proofErr w:type="spellEnd"/>
      <w:r w:rsidRPr="00980E36">
        <w:rPr>
          <w:rFonts w:ascii="Times New Roman" w:hAnsi="Times New Roman" w:cs="Times New Roman"/>
          <w:b/>
          <w:sz w:val="24"/>
          <w:szCs w:val="24"/>
        </w:rPr>
        <w:t xml:space="preserve"> equity na GPW w okresie 2000-2018</w:t>
      </w:r>
    </w:p>
    <w:p w:rsidR="00F964BF" w:rsidRDefault="00F964BF" w:rsidP="00F964BF">
      <w:pPr>
        <w:autoSpaceDE w:val="0"/>
        <w:autoSpaceDN w:val="0"/>
        <w:adjustRightInd w:val="0"/>
        <w:spacing w:line="240" w:lineRule="auto"/>
        <w:rPr>
          <w:rFonts w:cs="Times New Roman"/>
          <w:szCs w:val="24"/>
        </w:rPr>
      </w:pPr>
    </w:p>
    <w:p w:rsidR="00F964BF" w:rsidRPr="00E56B7F" w:rsidRDefault="00F964BF" w:rsidP="00F964BF">
      <w:pPr>
        <w:autoSpaceDE w:val="0"/>
        <w:autoSpaceDN w:val="0"/>
        <w:adjustRightInd w:val="0"/>
        <w:spacing w:line="240" w:lineRule="auto"/>
        <w:rPr>
          <w:rFonts w:cs="Times New Roman"/>
          <w:szCs w:val="24"/>
        </w:rPr>
      </w:pPr>
    </w:p>
    <w:p w:rsidR="00F964BF" w:rsidRDefault="00F964BF" w:rsidP="00BF12A7">
      <w:pPr>
        <w:pStyle w:val="NormalnyWeb"/>
        <w:spacing w:line="360" w:lineRule="auto"/>
        <w:ind w:firstLine="360"/>
      </w:pPr>
      <w:r w:rsidRPr="00530EB2">
        <w:t>G</w:t>
      </w:r>
      <w:r>
        <w:t>iełda Papierów Wartościowych w Warszawie jest</w:t>
      </w:r>
      <w:r w:rsidRPr="00530EB2">
        <w:t xml:space="preserve"> największą krajową giełdą instrumentów finansowych w regionie Europy Środkowej i Wschodniej pod względem kapitalizacji notowanych spółek  i wartości obrotów akcjami, a także jedną z najszybciej rozwijających się giełd w Europie. Jak wynika z najnowszego raportu IPO Watch Europe, dotyczącego liczby i wartości pi</w:t>
      </w:r>
      <w:r>
        <w:t xml:space="preserve">erwszych ofert publicznych </w:t>
      </w:r>
      <w:r w:rsidRPr="00530EB2">
        <w:t>na giełdach europejskich, warszawski parkiet jest drugim rynkiem w Europie pod względem liczby debiutów oraz trzecim pod względem wartości</w:t>
      </w:r>
      <w:r>
        <w:t xml:space="preserve"> ofert w 2018</w:t>
      </w:r>
      <w:r w:rsidRPr="00530EB2">
        <w:t xml:space="preserve"> r.</w:t>
      </w:r>
      <w:r>
        <w:t xml:space="preserve"> W latach 2000-2018 GPW zmieniła się w sposób znaczny. Zmieniały się także trendy, które wpływały na wielkość i liczbę debiutów. Wykres 1 przedstawia liczbę debiutów w latach 2000-2018 na GPW w Warszawie. </w:t>
      </w:r>
    </w:p>
    <w:p w:rsidR="00F964BF" w:rsidRDefault="00F964BF" w:rsidP="00F964BF">
      <w:pPr>
        <w:pStyle w:val="NormalnyWeb"/>
        <w:spacing w:line="360" w:lineRule="auto"/>
      </w:pPr>
    </w:p>
    <w:p w:rsidR="00F964BF" w:rsidRDefault="00F964BF" w:rsidP="00F964BF">
      <w:pPr>
        <w:pStyle w:val="NormalnyWeb"/>
        <w:spacing w:line="360" w:lineRule="auto"/>
      </w:pPr>
      <w:r>
        <w:t>Wykres 1. Liczba i wartość IPO na GPW w Warszawie w latach 2000-2018 (w mld PLN)</w:t>
      </w:r>
    </w:p>
    <w:p w:rsidR="00F964BF" w:rsidRDefault="00F964BF" w:rsidP="00F964BF">
      <w:pPr>
        <w:pStyle w:val="NormalnyWeb"/>
        <w:spacing w:line="360" w:lineRule="auto"/>
        <w:jc w:val="center"/>
      </w:pPr>
      <w:r>
        <w:rPr>
          <w:noProof/>
          <w:lang w:val="en-GB" w:eastAsia="en-GB"/>
        </w:rPr>
        <w:lastRenderedPageBreak/>
        <w:drawing>
          <wp:inline distT="0" distB="0" distL="0" distR="0" wp14:anchorId="7357A629" wp14:editId="048E763F">
            <wp:extent cx="4572000" cy="2743200"/>
            <wp:effectExtent l="0" t="0" r="19050" b="19050"/>
            <wp:docPr id="2"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964BF" w:rsidRDefault="00F964BF" w:rsidP="00F964BF">
      <w:pPr>
        <w:pStyle w:val="NormalnyWeb"/>
        <w:spacing w:line="360" w:lineRule="auto"/>
        <w:rPr>
          <w:sz w:val="20"/>
          <w:szCs w:val="20"/>
        </w:rPr>
      </w:pPr>
      <w:r>
        <w:rPr>
          <w:sz w:val="20"/>
          <w:szCs w:val="20"/>
        </w:rPr>
        <w:t>Skala lewa: liczba IPO, skala prawa: wartość IPO</w:t>
      </w:r>
    </w:p>
    <w:p w:rsidR="00F964BF" w:rsidRPr="00522F75" w:rsidRDefault="00F964BF" w:rsidP="00F964BF">
      <w:pPr>
        <w:pStyle w:val="NormalnyWeb"/>
        <w:spacing w:line="360" w:lineRule="auto"/>
        <w:rPr>
          <w:sz w:val="20"/>
          <w:szCs w:val="20"/>
        </w:rPr>
      </w:pPr>
      <w:r w:rsidRPr="00522F75">
        <w:rPr>
          <w:sz w:val="20"/>
          <w:szCs w:val="20"/>
        </w:rPr>
        <w:t>Źródło: Opracowanie własne na podstawie danych z GPW w Warszawie.</w:t>
      </w:r>
    </w:p>
    <w:p w:rsidR="00F964BF" w:rsidRPr="009E26F4" w:rsidRDefault="00F964BF" w:rsidP="00BF12A7">
      <w:pPr>
        <w:autoSpaceDE w:val="0"/>
        <w:autoSpaceDN w:val="0"/>
        <w:adjustRightInd w:val="0"/>
        <w:spacing w:line="360" w:lineRule="auto"/>
        <w:ind w:firstLine="360"/>
        <w:rPr>
          <w:rFonts w:cs="Times New Roman"/>
        </w:rPr>
      </w:pPr>
      <w:r w:rsidRPr="009E26F4">
        <w:rPr>
          <w:rFonts w:cs="Times New Roman"/>
          <w:szCs w:val="24"/>
        </w:rPr>
        <w:t xml:space="preserve">Analizując dane zawierające liczbę transakcji IPO na GPW w Warszawie należy zauważyć, iż od momentu kryzysu finansowego mającego swoje apogeum w 2008 r. trend dotyczący aktywności spółek w zakresie IPO jest negatywny. </w:t>
      </w:r>
      <w:r w:rsidRPr="009E26F4">
        <w:rPr>
          <w:rFonts w:cs="Times New Roman"/>
        </w:rPr>
        <w:t>Głównym powodem marazmu są słabe nastroje polskich inwestorów, co przekłada się na spadek notowań i wycen, szczególnie średnich i małych spółek, do czego przyczynia się też ich mała płynność. Duże firmy, uzależnione głównie od inwestorów zagranicznych, radzą sobie lepiej. Warto wskazać, iż zwiększa się również liczba wykluczeni notowanych spółek, co przyniosło w 2017 r. odpływ netto liczby spółek</w:t>
      </w:r>
      <w:r>
        <w:rPr>
          <w:rFonts w:cs="Times New Roman"/>
        </w:rPr>
        <w:t xml:space="preserve"> notowanych na GPW w Warszawie pierwszy raz obserwowany od 2003 r. </w:t>
      </w:r>
    </w:p>
    <w:p w:rsidR="00F964BF" w:rsidRDefault="00F964BF" w:rsidP="00BF12A7">
      <w:pPr>
        <w:autoSpaceDE w:val="0"/>
        <w:autoSpaceDN w:val="0"/>
        <w:adjustRightInd w:val="0"/>
        <w:spacing w:line="360" w:lineRule="auto"/>
        <w:ind w:firstLine="360"/>
        <w:rPr>
          <w:rFonts w:cs="Times New Roman"/>
          <w:szCs w:val="24"/>
        </w:rPr>
      </w:pPr>
      <w:r>
        <w:rPr>
          <w:rFonts w:cs="Times New Roman"/>
          <w:szCs w:val="24"/>
        </w:rPr>
        <w:t xml:space="preserve">Na głównych rynkach kapitałowych świata takich jak Nowy Jork czy Londyn, udział spółek zasilanych funduszami </w:t>
      </w:r>
      <w:proofErr w:type="spellStart"/>
      <w:r>
        <w:rPr>
          <w:rFonts w:cs="Times New Roman"/>
          <w:szCs w:val="24"/>
        </w:rPr>
        <w:t>private</w:t>
      </w:r>
      <w:proofErr w:type="spellEnd"/>
      <w:r>
        <w:rPr>
          <w:rFonts w:cs="Times New Roman"/>
          <w:szCs w:val="24"/>
        </w:rPr>
        <w:t xml:space="preserve"> </w:t>
      </w:r>
      <w:proofErr w:type="spellStart"/>
      <w:r>
        <w:rPr>
          <w:rFonts w:cs="Times New Roman"/>
          <w:szCs w:val="24"/>
        </w:rPr>
        <w:t>euqity</w:t>
      </w:r>
      <w:proofErr w:type="spellEnd"/>
      <w:r>
        <w:rPr>
          <w:rFonts w:cs="Times New Roman"/>
          <w:szCs w:val="24"/>
        </w:rPr>
        <w:t xml:space="preserve"> czy venture </w:t>
      </w:r>
      <w:proofErr w:type="spellStart"/>
      <w:r>
        <w:rPr>
          <w:rFonts w:cs="Times New Roman"/>
          <w:szCs w:val="24"/>
        </w:rPr>
        <w:t>capital</w:t>
      </w:r>
      <w:proofErr w:type="spellEnd"/>
      <w:r>
        <w:rPr>
          <w:rFonts w:cs="Times New Roman"/>
          <w:szCs w:val="24"/>
        </w:rPr>
        <w:t xml:space="preserve"> stanowił średnio ponad 50% dla okresu 2000-2018. Wydaje się, iż spółki zasilane funduszami PE stanowią ważną część podmiotów dokonujących transakcji IPO również na GPW w Warszawie. W badanym okresie stanowiły one udział w granicach 12% jeśli badamy liczbę dokonanych transakcji, Sytuację tą przedstawia tabela 1.</w:t>
      </w:r>
    </w:p>
    <w:p w:rsidR="00F964BF" w:rsidRDefault="00F964BF" w:rsidP="00F964BF">
      <w:pPr>
        <w:autoSpaceDE w:val="0"/>
        <w:autoSpaceDN w:val="0"/>
        <w:adjustRightInd w:val="0"/>
        <w:spacing w:line="360" w:lineRule="auto"/>
        <w:rPr>
          <w:rFonts w:cs="Times New Roman"/>
          <w:szCs w:val="24"/>
        </w:rPr>
      </w:pPr>
    </w:p>
    <w:p w:rsidR="00F964BF" w:rsidRDefault="00F964BF" w:rsidP="00F964BF">
      <w:pPr>
        <w:autoSpaceDE w:val="0"/>
        <w:autoSpaceDN w:val="0"/>
        <w:adjustRightInd w:val="0"/>
        <w:spacing w:line="360" w:lineRule="auto"/>
        <w:rPr>
          <w:rFonts w:cs="Times New Roman"/>
          <w:szCs w:val="24"/>
        </w:rPr>
      </w:pPr>
      <w:r>
        <w:rPr>
          <w:rFonts w:cs="Times New Roman"/>
          <w:szCs w:val="24"/>
        </w:rPr>
        <w:t>Tabela 1. Liczba transakcji spółek zasilanych funduszami typu PE na tle pozostałych IPO na GPW w Warszawie w latach 2000-2018</w:t>
      </w:r>
    </w:p>
    <w:tbl>
      <w:tblPr>
        <w:tblW w:w="3360" w:type="dxa"/>
        <w:jc w:val="center"/>
        <w:tblInd w:w="93" w:type="dxa"/>
        <w:tblLook w:val="04A0" w:firstRow="1" w:lastRow="0" w:firstColumn="1" w:lastColumn="0" w:noHBand="0" w:noVBand="1"/>
      </w:tblPr>
      <w:tblGrid>
        <w:gridCol w:w="960"/>
        <w:gridCol w:w="1440"/>
        <w:gridCol w:w="960"/>
      </w:tblGrid>
      <w:tr w:rsidR="00F964BF" w:rsidRPr="008E7FE6" w:rsidTr="00E757DE">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964BF" w:rsidRPr="008E7FE6" w:rsidRDefault="00F964BF" w:rsidP="00E757DE">
            <w:pPr>
              <w:spacing w:line="240" w:lineRule="auto"/>
              <w:jc w:val="center"/>
              <w:rPr>
                <w:rFonts w:eastAsia="Times New Roman" w:cs="Times New Roman"/>
                <w:color w:val="000000"/>
                <w:sz w:val="20"/>
                <w:szCs w:val="20"/>
                <w:lang w:eastAsia="en-GB"/>
              </w:rPr>
            </w:pPr>
            <w:r w:rsidRPr="008E7FE6">
              <w:rPr>
                <w:rFonts w:eastAsia="Times New Roman" w:cs="Times New Roman"/>
                <w:color w:val="000000"/>
                <w:sz w:val="20"/>
                <w:szCs w:val="20"/>
                <w:lang w:eastAsia="en-GB"/>
              </w:rPr>
              <w:t>ROK</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F964BF" w:rsidRPr="008E7FE6" w:rsidRDefault="00F964BF" w:rsidP="00E757DE">
            <w:pPr>
              <w:spacing w:line="240" w:lineRule="auto"/>
              <w:jc w:val="center"/>
              <w:rPr>
                <w:rFonts w:eastAsia="Times New Roman" w:cs="Times New Roman"/>
                <w:color w:val="000000"/>
                <w:sz w:val="20"/>
                <w:szCs w:val="20"/>
                <w:lang w:eastAsia="en-GB"/>
              </w:rPr>
            </w:pPr>
            <w:r w:rsidRPr="008E7FE6">
              <w:rPr>
                <w:rFonts w:eastAsia="Times New Roman" w:cs="Times New Roman"/>
                <w:color w:val="000000"/>
                <w:sz w:val="20"/>
                <w:szCs w:val="20"/>
                <w:lang w:eastAsia="en-GB"/>
              </w:rPr>
              <w:t>LICZBA IPO</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F964BF" w:rsidRPr="008E7FE6" w:rsidRDefault="00F964BF" w:rsidP="00E757DE">
            <w:pPr>
              <w:spacing w:line="240" w:lineRule="auto"/>
              <w:jc w:val="center"/>
              <w:rPr>
                <w:rFonts w:eastAsia="Times New Roman" w:cs="Times New Roman"/>
                <w:color w:val="000000"/>
                <w:sz w:val="20"/>
                <w:szCs w:val="20"/>
                <w:lang w:eastAsia="en-GB"/>
              </w:rPr>
            </w:pPr>
            <w:r w:rsidRPr="008E7FE6">
              <w:rPr>
                <w:rFonts w:eastAsia="Times New Roman" w:cs="Times New Roman"/>
                <w:color w:val="000000"/>
                <w:sz w:val="20"/>
                <w:szCs w:val="20"/>
                <w:lang w:eastAsia="en-GB"/>
              </w:rPr>
              <w:t>PE IPO</w:t>
            </w:r>
          </w:p>
        </w:tc>
      </w:tr>
      <w:tr w:rsidR="00F964BF" w:rsidRPr="008E7FE6" w:rsidTr="00E757DE">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964BF" w:rsidRPr="008E7FE6" w:rsidRDefault="00F964BF" w:rsidP="00E757DE">
            <w:pPr>
              <w:spacing w:line="240" w:lineRule="auto"/>
              <w:jc w:val="center"/>
              <w:rPr>
                <w:rFonts w:eastAsia="Times New Roman" w:cs="Times New Roman"/>
                <w:color w:val="000000"/>
                <w:sz w:val="20"/>
                <w:szCs w:val="20"/>
                <w:lang w:eastAsia="en-GB"/>
              </w:rPr>
            </w:pPr>
            <w:r w:rsidRPr="008E7FE6">
              <w:rPr>
                <w:rFonts w:eastAsia="Times New Roman" w:cs="Times New Roman"/>
                <w:color w:val="000000"/>
                <w:sz w:val="20"/>
                <w:szCs w:val="20"/>
                <w:lang w:eastAsia="en-GB"/>
              </w:rPr>
              <w:lastRenderedPageBreak/>
              <w:t>2000</w:t>
            </w:r>
          </w:p>
        </w:tc>
        <w:tc>
          <w:tcPr>
            <w:tcW w:w="1440" w:type="dxa"/>
            <w:tcBorders>
              <w:top w:val="nil"/>
              <w:left w:val="nil"/>
              <w:bottom w:val="single" w:sz="4" w:space="0" w:color="auto"/>
              <w:right w:val="single" w:sz="4" w:space="0" w:color="auto"/>
            </w:tcBorders>
            <w:shd w:val="clear" w:color="auto" w:fill="auto"/>
            <w:noWrap/>
            <w:vAlign w:val="bottom"/>
            <w:hideMark/>
          </w:tcPr>
          <w:p w:rsidR="00F964BF" w:rsidRPr="008E7FE6" w:rsidRDefault="00F964BF" w:rsidP="00E757DE">
            <w:pPr>
              <w:spacing w:line="240" w:lineRule="auto"/>
              <w:jc w:val="center"/>
              <w:rPr>
                <w:rFonts w:eastAsia="Times New Roman" w:cs="Times New Roman"/>
                <w:color w:val="000000"/>
                <w:sz w:val="20"/>
                <w:szCs w:val="20"/>
                <w:lang w:eastAsia="en-GB"/>
              </w:rPr>
            </w:pPr>
            <w:r w:rsidRPr="008E7FE6">
              <w:rPr>
                <w:rFonts w:eastAsia="Times New Roman" w:cs="Times New Roman"/>
                <w:color w:val="000000"/>
                <w:sz w:val="20"/>
                <w:szCs w:val="20"/>
                <w:lang w:eastAsia="en-GB"/>
              </w:rPr>
              <w:t>13</w:t>
            </w:r>
          </w:p>
        </w:tc>
        <w:tc>
          <w:tcPr>
            <w:tcW w:w="960" w:type="dxa"/>
            <w:tcBorders>
              <w:top w:val="nil"/>
              <w:left w:val="nil"/>
              <w:bottom w:val="single" w:sz="4" w:space="0" w:color="auto"/>
              <w:right w:val="single" w:sz="4" w:space="0" w:color="auto"/>
            </w:tcBorders>
            <w:shd w:val="clear" w:color="auto" w:fill="auto"/>
            <w:noWrap/>
            <w:vAlign w:val="bottom"/>
            <w:hideMark/>
          </w:tcPr>
          <w:p w:rsidR="00F964BF" w:rsidRPr="008E7FE6" w:rsidRDefault="00F964BF" w:rsidP="00E757DE">
            <w:pPr>
              <w:spacing w:line="240" w:lineRule="auto"/>
              <w:jc w:val="center"/>
              <w:rPr>
                <w:rFonts w:eastAsia="Times New Roman" w:cs="Times New Roman"/>
                <w:color w:val="000000"/>
                <w:sz w:val="20"/>
                <w:szCs w:val="20"/>
                <w:lang w:eastAsia="en-GB"/>
              </w:rPr>
            </w:pPr>
            <w:r w:rsidRPr="008E7FE6">
              <w:rPr>
                <w:rFonts w:eastAsia="Times New Roman" w:cs="Times New Roman"/>
                <w:color w:val="000000"/>
                <w:sz w:val="20"/>
                <w:szCs w:val="20"/>
                <w:lang w:eastAsia="en-GB"/>
              </w:rPr>
              <w:t>0</w:t>
            </w:r>
          </w:p>
        </w:tc>
      </w:tr>
      <w:tr w:rsidR="00F964BF" w:rsidRPr="008E7FE6" w:rsidTr="00E757DE">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F964BF" w:rsidRPr="008E7FE6" w:rsidRDefault="00F964BF" w:rsidP="00E757DE">
            <w:pPr>
              <w:spacing w:line="240" w:lineRule="auto"/>
              <w:jc w:val="center"/>
              <w:rPr>
                <w:rFonts w:eastAsia="Times New Roman" w:cs="Times New Roman"/>
                <w:color w:val="000000"/>
                <w:sz w:val="20"/>
                <w:szCs w:val="20"/>
                <w:lang w:eastAsia="en-GB"/>
              </w:rPr>
            </w:pPr>
            <w:r w:rsidRPr="008E7FE6">
              <w:rPr>
                <w:rFonts w:eastAsia="Times New Roman" w:cs="Times New Roman"/>
                <w:color w:val="000000"/>
                <w:sz w:val="20"/>
                <w:szCs w:val="20"/>
                <w:lang w:eastAsia="en-GB"/>
              </w:rPr>
              <w:t>2001</w:t>
            </w:r>
          </w:p>
        </w:tc>
        <w:tc>
          <w:tcPr>
            <w:tcW w:w="1440" w:type="dxa"/>
            <w:tcBorders>
              <w:top w:val="nil"/>
              <w:left w:val="nil"/>
              <w:bottom w:val="single" w:sz="4" w:space="0" w:color="auto"/>
              <w:right w:val="single" w:sz="4" w:space="0" w:color="auto"/>
            </w:tcBorders>
            <w:shd w:val="clear" w:color="000000" w:fill="FFFFFF"/>
            <w:vAlign w:val="center"/>
            <w:hideMark/>
          </w:tcPr>
          <w:p w:rsidR="00F964BF" w:rsidRPr="008E7FE6" w:rsidRDefault="00F964BF" w:rsidP="00E757DE">
            <w:pPr>
              <w:spacing w:line="240" w:lineRule="auto"/>
              <w:jc w:val="center"/>
              <w:rPr>
                <w:rFonts w:eastAsia="Times New Roman" w:cs="Times New Roman"/>
                <w:color w:val="000000"/>
                <w:sz w:val="20"/>
                <w:szCs w:val="20"/>
                <w:lang w:eastAsia="en-GB"/>
              </w:rPr>
            </w:pPr>
            <w:r w:rsidRPr="008E7FE6">
              <w:rPr>
                <w:rFonts w:eastAsia="Times New Roman" w:cs="Times New Roman"/>
                <w:color w:val="000000"/>
                <w:sz w:val="20"/>
                <w:szCs w:val="20"/>
                <w:lang w:eastAsia="en-GB"/>
              </w:rPr>
              <w:t>9</w:t>
            </w:r>
          </w:p>
        </w:tc>
        <w:tc>
          <w:tcPr>
            <w:tcW w:w="960" w:type="dxa"/>
            <w:tcBorders>
              <w:top w:val="nil"/>
              <w:left w:val="nil"/>
              <w:bottom w:val="single" w:sz="4" w:space="0" w:color="auto"/>
              <w:right w:val="single" w:sz="4" w:space="0" w:color="auto"/>
            </w:tcBorders>
            <w:shd w:val="clear" w:color="auto" w:fill="auto"/>
            <w:noWrap/>
            <w:vAlign w:val="bottom"/>
            <w:hideMark/>
          </w:tcPr>
          <w:p w:rsidR="00F964BF" w:rsidRPr="008E7FE6" w:rsidRDefault="00F964BF" w:rsidP="00E757DE">
            <w:pPr>
              <w:spacing w:line="240" w:lineRule="auto"/>
              <w:jc w:val="center"/>
              <w:rPr>
                <w:rFonts w:eastAsia="Times New Roman" w:cs="Times New Roman"/>
                <w:color w:val="000000"/>
                <w:sz w:val="20"/>
                <w:szCs w:val="20"/>
                <w:lang w:eastAsia="en-GB"/>
              </w:rPr>
            </w:pPr>
            <w:r w:rsidRPr="008E7FE6">
              <w:rPr>
                <w:rFonts w:eastAsia="Times New Roman" w:cs="Times New Roman"/>
                <w:color w:val="000000"/>
                <w:sz w:val="20"/>
                <w:szCs w:val="20"/>
                <w:lang w:eastAsia="en-GB"/>
              </w:rPr>
              <w:t>2</w:t>
            </w:r>
          </w:p>
        </w:tc>
      </w:tr>
      <w:tr w:rsidR="00F964BF" w:rsidRPr="008E7FE6" w:rsidTr="00E757DE">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F964BF" w:rsidRPr="008E7FE6" w:rsidRDefault="00F964BF" w:rsidP="00E757DE">
            <w:pPr>
              <w:spacing w:line="240" w:lineRule="auto"/>
              <w:jc w:val="center"/>
              <w:rPr>
                <w:rFonts w:eastAsia="Times New Roman" w:cs="Times New Roman"/>
                <w:color w:val="000000"/>
                <w:sz w:val="20"/>
                <w:szCs w:val="20"/>
                <w:lang w:eastAsia="en-GB"/>
              </w:rPr>
            </w:pPr>
            <w:r w:rsidRPr="008E7FE6">
              <w:rPr>
                <w:rFonts w:eastAsia="Times New Roman" w:cs="Times New Roman"/>
                <w:color w:val="000000"/>
                <w:sz w:val="20"/>
                <w:szCs w:val="20"/>
                <w:lang w:eastAsia="en-GB"/>
              </w:rPr>
              <w:t>2002</w:t>
            </w:r>
          </w:p>
        </w:tc>
        <w:tc>
          <w:tcPr>
            <w:tcW w:w="1440" w:type="dxa"/>
            <w:tcBorders>
              <w:top w:val="nil"/>
              <w:left w:val="nil"/>
              <w:bottom w:val="single" w:sz="4" w:space="0" w:color="auto"/>
              <w:right w:val="single" w:sz="4" w:space="0" w:color="auto"/>
            </w:tcBorders>
            <w:shd w:val="clear" w:color="000000" w:fill="FFFFFF"/>
            <w:vAlign w:val="center"/>
            <w:hideMark/>
          </w:tcPr>
          <w:p w:rsidR="00F964BF" w:rsidRPr="008E7FE6" w:rsidRDefault="00F964BF" w:rsidP="00E757DE">
            <w:pPr>
              <w:spacing w:line="240" w:lineRule="auto"/>
              <w:jc w:val="center"/>
              <w:rPr>
                <w:rFonts w:eastAsia="Times New Roman" w:cs="Times New Roman"/>
                <w:color w:val="000000"/>
                <w:sz w:val="20"/>
                <w:szCs w:val="20"/>
                <w:lang w:eastAsia="en-GB"/>
              </w:rPr>
            </w:pPr>
            <w:r w:rsidRPr="008E7FE6">
              <w:rPr>
                <w:rFonts w:eastAsia="Times New Roman" w:cs="Times New Roman"/>
                <w:color w:val="000000"/>
                <w:sz w:val="20"/>
                <w:szCs w:val="20"/>
                <w:lang w:eastAsia="en-GB"/>
              </w:rPr>
              <w:t>5</w:t>
            </w:r>
          </w:p>
        </w:tc>
        <w:tc>
          <w:tcPr>
            <w:tcW w:w="960" w:type="dxa"/>
            <w:tcBorders>
              <w:top w:val="nil"/>
              <w:left w:val="nil"/>
              <w:bottom w:val="single" w:sz="4" w:space="0" w:color="auto"/>
              <w:right w:val="single" w:sz="4" w:space="0" w:color="auto"/>
            </w:tcBorders>
            <w:shd w:val="clear" w:color="auto" w:fill="auto"/>
            <w:noWrap/>
            <w:vAlign w:val="bottom"/>
            <w:hideMark/>
          </w:tcPr>
          <w:p w:rsidR="00F964BF" w:rsidRPr="008E7FE6" w:rsidRDefault="00F964BF" w:rsidP="00E757DE">
            <w:pPr>
              <w:spacing w:line="240" w:lineRule="auto"/>
              <w:jc w:val="center"/>
              <w:rPr>
                <w:rFonts w:eastAsia="Times New Roman" w:cs="Times New Roman"/>
                <w:color w:val="000000"/>
                <w:sz w:val="20"/>
                <w:szCs w:val="20"/>
                <w:lang w:eastAsia="en-GB"/>
              </w:rPr>
            </w:pPr>
            <w:r w:rsidRPr="008E7FE6">
              <w:rPr>
                <w:rFonts w:eastAsia="Times New Roman" w:cs="Times New Roman"/>
                <w:color w:val="000000"/>
                <w:sz w:val="20"/>
                <w:szCs w:val="20"/>
                <w:lang w:eastAsia="en-GB"/>
              </w:rPr>
              <w:t>1</w:t>
            </w:r>
          </w:p>
        </w:tc>
      </w:tr>
      <w:tr w:rsidR="00F964BF" w:rsidRPr="008E7FE6" w:rsidTr="00E757DE">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F964BF" w:rsidRPr="008E7FE6" w:rsidRDefault="00F964BF" w:rsidP="00E757DE">
            <w:pPr>
              <w:spacing w:line="240" w:lineRule="auto"/>
              <w:jc w:val="center"/>
              <w:rPr>
                <w:rFonts w:eastAsia="Times New Roman" w:cs="Times New Roman"/>
                <w:color w:val="000000"/>
                <w:sz w:val="20"/>
                <w:szCs w:val="20"/>
                <w:lang w:eastAsia="en-GB"/>
              </w:rPr>
            </w:pPr>
            <w:r w:rsidRPr="008E7FE6">
              <w:rPr>
                <w:rFonts w:eastAsia="Times New Roman" w:cs="Times New Roman"/>
                <w:color w:val="000000"/>
                <w:sz w:val="20"/>
                <w:szCs w:val="20"/>
                <w:lang w:eastAsia="en-GB"/>
              </w:rPr>
              <w:t>2003</w:t>
            </w:r>
          </w:p>
        </w:tc>
        <w:tc>
          <w:tcPr>
            <w:tcW w:w="1440" w:type="dxa"/>
            <w:tcBorders>
              <w:top w:val="nil"/>
              <w:left w:val="nil"/>
              <w:bottom w:val="single" w:sz="4" w:space="0" w:color="auto"/>
              <w:right w:val="single" w:sz="4" w:space="0" w:color="auto"/>
            </w:tcBorders>
            <w:shd w:val="clear" w:color="000000" w:fill="FFFFFF"/>
            <w:vAlign w:val="center"/>
            <w:hideMark/>
          </w:tcPr>
          <w:p w:rsidR="00F964BF" w:rsidRPr="008E7FE6" w:rsidRDefault="00F964BF" w:rsidP="00E757DE">
            <w:pPr>
              <w:spacing w:line="240" w:lineRule="auto"/>
              <w:jc w:val="center"/>
              <w:rPr>
                <w:rFonts w:eastAsia="Times New Roman" w:cs="Times New Roman"/>
                <w:color w:val="000000"/>
                <w:sz w:val="20"/>
                <w:szCs w:val="20"/>
                <w:lang w:eastAsia="en-GB"/>
              </w:rPr>
            </w:pPr>
            <w:r w:rsidRPr="008E7FE6">
              <w:rPr>
                <w:rFonts w:eastAsia="Times New Roman" w:cs="Times New Roman"/>
                <w:color w:val="000000"/>
                <w:sz w:val="20"/>
                <w:szCs w:val="20"/>
                <w:lang w:eastAsia="en-GB"/>
              </w:rPr>
              <w:t>6</w:t>
            </w:r>
          </w:p>
        </w:tc>
        <w:tc>
          <w:tcPr>
            <w:tcW w:w="960" w:type="dxa"/>
            <w:tcBorders>
              <w:top w:val="nil"/>
              <w:left w:val="nil"/>
              <w:bottom w:val="single" w:sz="4" w:space="0" w:color="auto"/>
              <w:right w:val="single" w:sz="4" w:space="0" w:color="auto"/>
            </w:tcBorders>
            <w:shd w:val="clear" w:color="auto" w:fill="auto"/>
            <w:noWrap/>
            <w:vAlign w:val="bottom"/>
            <w:hideMark/>
          </w:tcPr>
          <w:p w:rsidR="00F964BF" w:rsidRPr="008E7FE6" w:rsidRDefault="00F964BF" w:rsidP="00E757DE">
            <w:pPr>
              <w:spacing w:line="240" w:lineRule="auto"/>
              <w:jc w:val="center"/>
              <w:rPr>
                <w:rFonts w:eastAsia="Times New Roman" w:cs="Times New Roman"/>
                <w:color w:val="000000"/>
                <w:sz w:val="20"/>
                <w:szCs w:val="20"/>
                <w:lang w:eastAsia="en-GB"/>
              </w:rPr>
            </w:pPr>
            <w:r w:rsidRPr="008E7FE6">
              <w:rPr>
                <w:rFonts w:eastAsia="Times New Roman" w:cs="Times New Roman"/>
                <w:color w:val="000000"/>
                <w:sz w:val="20"/>
                <w:szCs w:val="20"/>
                <w:lang w:eastAsia="en-GB"/>
              </w:rPr>
              <w:t>0</w:t>
            </w:r>
          </w:p>
        </w:tc>
      </w:tr>
      <w:tr w:rsidR="00F964BF" w:rsidRPr="008E7FE6" w:rsidTr="00E757DE">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F964BF" w:rsidRPr="008E7FE6" w:rsidRDefault="00F964BF" w:rsidP="00E757DE">
            <w:pPr>
              <w:spacing w:line="240" w:lineRule="auto"/>
              <w:jc w:val="center"/>
              <w:rPr>
                <w:rFonts w:eastAsia="Times New Roman" w:cs="Times New Roman"/>
                <w:color w:val="000000"/>
                <w:sz w:val="20"/>
                <w:szCs w:val="20"/>
                <w:lang w:eastAsia="en-GB"/>
              </w:rPr>
            </w:pPr>
            <w:r w:rsidRPr="008E7FE6">
              <w:rPr>
                <w:rFonts w:eastAsia="Times New Roman" w:cs="Times New Roman"/>
                <w:color w:val="000000"/>
                <w:sz w:val="20"/>
                <w:szCs w:val="20"/>
                <w:lang w:eastAsia="en-GB"/>
              </w:rPr>
              <w:t>2004</w:t>
            </w:r>
          </w:p>
        </w:tc>
        <w:tc>
          <w:tcPr>
            <w:tcW w:w="1440" w:type="dxa"/>
            <w:tcBorders>
              <w:top w:val="nil"/>
              <w:left w:val="nil"/>
              <w:bottom w:val="single" w:sz="4" w:space="0" w:color="auto"/>
              <w:right w:val="single" w:sz="4" w:space="0" w:color="auto"/>
            </w:tcBorders>
            <w:shd w:val="clear" w:color="000000" w:fill="FFFFFF"/>
            <w:vAlign w:val="center"/>
            <w:hideMark/>
          </w:tcPr>
          <w:p w:rsidR="00F964BF" w:rsidRPr="008E7FE6" w:rsidRDefault="00F964BF" w:rsidP="00E757DE">
            <w:pPr>
              <w:spacing w:line="240" w:lineRule="auto"/>
              <w:jc w:val="center"/>
              <w:rPr>
                <w:rFonts w:eastAsia="Times New Roman" w:cs="Times New Roman"/>
                <w:color w:val="000000"/>
                <w:sz w:val="20"/>
                <w:szCs w:val="20"/>
                <w:lang w:eastAsia="en-GB"/>
              </w:rPr>
            </w:pPr>
            <w:r w:rsidRPr="008E7FE6">
              <w:rPr>
                <w:rFonts w:eastAsia="Times New Roman" w:cs="Times New Roman"/>
                <w:color w:val="000000"/>
                <w:sz w:val="20"/>
                <w:szCs w:val="20"/>
                <w:lang w:eastAsia="en-GB"/>
              </w:rPr>
              <w:t>36</w:t>
            </w:r>
          </w:p>
        </w:tc>
        <w:tc>
          <w:tcPr>
            <w:tcW w:w="960" w:type="dxa"/>
            <w:tcBorders>
              <w:top w:val="nil"/>
              <w:left w:val="nil"/>
              <w:bottom w:val="single" w:sz="4" w:space="0" w:color="auto"/>
              <w:right w:val="single" w:sz="4" w:space="0" w:color="auto"/>
            </w:tcBorders>
            <w:shd w:val="clear" w:color="auto" w:fill="auto"/>
            <w:noWrap/>
            <w:vAlign w:val="bottom"/>
            <w:hideMark/>
          </w:tcPr>
          <w:p w:rsidR="00F964BF" w:rsidRPr="008E7FE6" w:rsidRDefault="00F964BF" w:rsidP="00E757DE">
            <w:pPr>
              <w:spacing w:line="240" w:lineRule="auto"/>
              <w:jc w:val="center"/>
              <w:rPr>
                <w:rFonts w:eastAsia="Times New Roman" w:cs="Times New Roman"/>
                <w:color w:val="000000"/>
                <w:sz w:val="20"/>
                <w:szCs w:val="20"/>
                <w:lang w:eastAsia="en-GB"/>
              </w:rPr>
            </w:pPr>
            <w:r w:rsidRPr="008E7FE6">
              <w:rPr>
                <w:rFonts w:eastAsia="Times New Roman" w:cs="Times New Roman"/>
                <w:color w:val="000000"/>
                <w:sz w:val="20"/>
                <w:szCs w:val="20"/>
                <w:lang w:eastAsia="en-GB"/>
              </w:rPr>
              <w:t>5</w:t>
            </w:r>
          </w:p>
        </w:tc>
      </w:tr>
      <w:tr w:rsidR="00F964BF" w:rsidRPr="008E7FE6" w:rsidTr="00E757DE">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F964BF" w:rsidRPr="008E7FE6" w:rsidRDefault="00F964BF" w:rsidP="00E757DE">
            <w:pPr>
              <w:spacing w:line="240" w:lineRule="auto"/>
              <w:jc w:val="center"/>
              <w:rPr>
                <w:rFonts w:eastAsia="Times New Roman" w:cs="Times New Roman"/>
                <w:color w:val="000000"/>
                <w:sz w:val="20"/>
                <w:szCs w:val="20"/>
                <w:lang w:eastAsia="en-GB"/>
              </w:rPr>
            </w:pPr>
            <w:r w:rsidRPr="008E7FE6">
              <w:rPr>
                <w:rFonts w:eastAsia="Times New Roman" w:cs="Times New Roman"/>
                <w:color w:val="000000"/>
                <w:sz w:val="20"/>
                <w:szCs w:val="20"/>
                <w:lang w:eastAsia="en-GB"/>
              </w:rPr>
              <w:t>2005</w:t>
            </w:r>
          </w:p>
        </w:tc>
        <w:tc>
          <w:tcPr>
            <w:tcW w:w="1440" w:type="dxa"/>
            <w:tcBorders>
              <w:top w:val="nil"/>
              <w:left w:val="nil"/>
              <w:bottom w:val="single" w:sz="4" w:space="0" w:color="auto"/>
              <w:right w:val="single" w:sz="4" w:space="0" w:color="auto"/>
            </w:tcBorders>
            <w:shd w:val="clear" w:color="000000" w:fill="FFFFFF"/>
            <w:vAlign w:val="center"/>
            <w:hideMark/>
          </w:tcPr>
          <w:p w:rsidR="00F964BF" w:rsidRPr="008E7FE6" w:rsidRDefault="00F964BF" w:rsidP="00E757DE">
            <w:pPr>
              <w:spacing w:line="240" w:lineRule="auto"/>
              <w:jc w:val="center"/>
              <w:rPr>
                <w:rFonts w:eastAsia="Times New Roman" w:cs="Times New Roman"/>
                <w:color w:val="000000"/>
                <w:sz w:val="20"/>
                <w:szCs w:val="20"/>
                <w:lang w:eastAsia="en-GB"/>
              </w:rPr>
            </w:pPr>
            <w:r w:rsidRPr="008E7FE6">
              <w:rPr>
                <w:rFonts w:eastAsia="Times New Roman" w:cs="Times New Roman"/>
                <w:color w:val="000000"/>
                <w:sz w:val="20"/>
                <w:szCs w:val="20"/>
                <w:lang w:eastAsia="en-GB"/>
              </w:rPr>
              <w:t>35</w:t>
            </w:r>
          </w:p>
        </w:tc>
        <w:tc>
          <w:tcPr>
            <w:tcW w:w="960" w:type="dxa"/>
            <w:tcBorders>
              <w:top w:val="nil"/>
              <w:left w:val="nil"/>
              <w:bottom w:val="single" w:sz="4" w:space="0" w:color="auto"/>
              <w:right w:val="single" w:sz="4" w:space="0" w:color="auto"/>
            </w:tcBorders>
            <w:shd w:val="clear" w:color="auto" w:fill="auto"/>
            <w:noWrap/>
            <w:vAlign w:val="bottom"/>
            <w:hideMark/>
          </w:tcPr>
          <w:p w:rsidR="00F964BF" w:rsidRPr="008E7FE6" w:rsidRDefault="00F964BF" w:rsidP="00E757DE">
            <w:pPr>
              <w:spacing w:line="240" w:lineRule="auto"/>
              <w:jc w:val="center"/>
              <w:rPr>
                <w:rFonts w:eastAsia="Times New Roman" w:cs="Times New Roman"/>
                <w:color w:val="000000"/>
                <w:sz w:val="20"/>
                <w:szCs w:val="20"/>
                <w:lang w:eastAsia="en-GB"/>
              </w:rPr>
            </w:pPr>
            <w:r w:rsidRPr="008E7FE6">
              <w:rPr>
                <w:rFonts w:eastAsia="Times New Roman" w:cs="Times New Roman"/>
                <w:color w:val="000000"/>
                <w:sz w:val="20"/>
                <w:szCs w:val="20"/>
                <w:lang w:eastAsia="en-GB"/>
              </w:rPr>
              <w:t>7</w:t>
            </w:r>
          </w:p>
        </w:tc>
      </w:tr>
      <w:tr w:rsidR="00F964BF" w:rsidRPr="008E7FE6" w:rsidTr="00E757DE">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F964BF" w:rsidRPr="008E7FE6" w:rsidRDefault="00F964BF" w:rsidP="00E757DE">
            <w:pPr>
              <w:spacing w:line="240" w:lineRule="auto"/>
              <w:jc w:val="center"/>
              <w:rPr>
                <w:rFonts w:eastAsia="Times New Roman" w:cs="Times New Roman"/>
                <w:color w:val="000000"/>
                <w:sz w:val="20"/>
                <w:szCs w:val="20"/>
                <w:lang w:eastAsia="en-GB"/>
              </w:rPr>
            </w:pPr>
            <w:r w:rsidRPr="008E7FE6">
              <w:rPr>
                <w:rFonts w:eastAsia="Times New Roman" w:cs="Times New Roman"/>
                <w:color w:val="000000"/>
                <w:sz w:val="20"/>
                <w:szCs w:val="20"/>
                <w:lang w:eastAsia="en-GB"/>
              </w:rPr>
              <w:t>2006</w:t>
            </w:r>
          </w:p>
        </w:tc>
        <w:tc>
          <w:tcPr>
            <w:tcW w:w="1440" w:type="dxa"/>
            <w:tcBorders>
              <w:top w:val="nil"/>
              <w:left w:val="nil"/>
              <w:bottom w:val="single" w:sz="4" w:space="0" w:color="auto"/>
              <w:right w:val="single" w:sz="4" w:space="0" w:color="auto"/>
            </w:tcBorders>
            <w:shd w:val="clear" w:color="000000" w:fill="FFFFFF"/>
            <w:vAlign w:val="center"/>
            <w:hideMark/>
          </w:tcPr>
          <w:p w:rsidR="00F964BF" w:rsidRPr="008E7FE6" w:rsidRDefault="00F964BF" w:rsidP="00E757DE">
            <w:pPr>
              <w:spacing w:line="240" w:lineRule="auto"/>
              <w:jc w:val="center"/>
              <w:rPr>
                <w:rFonts w:eastAsia="Times New Roman" w:cs="Times New Roman"/>
                <w:color w:val="000000"/>
                <w:sz w:val="20"/>
                <w:szCs w:val="20"/>
                <w:lang w:eastAsia="en-GB"/>
              </w:rPr>
            </w:pPr>
            <w:r w:rsidRPr="008E7FE6">
              <w:rPr>
                <w:rFonts w:eastAsia="Times New Roman" w:cs="Times New Roman"/>
                <w:color w:val="000000"/>
                <w:sz w:val="20"/>
                <w:szCs w:val="20"/>
                <w:lang w:eastAsia="en-GB"/>
              </w:rPr>
              <w:t>38</w:t>
            </w:r>
          </w:p>
        </w:tc>
        <w:tc>
          <w:tcPr>
            <w:tcW w:w="960" w:type="dxa"/>
            <w:tcBorders>
              <w:top w:val="nil"/>
              <w:left w:val="nil"/>
              <w:bottom w:val="single" w:sz="4" w:space="0" w:color="auto"/>
              <w:right w:val="single" w:sz="4" w:space="0" w:color="auto"/>
            </w:tcBorders>
            <w:shd w:val="clear" w:color="auto" w:fill="auto"/>
            <w:noWrap/>
            <w:vAlign w:val="bottom"/>
            <w:hideMark/>
          </w:tcPr>
          <w:p w:rsidR="00F964BF" w:rsidRPr="008E7FE6" w:rsidRDefault="00F964BF" w:rsidP="00E757DE">
            <w:pPr>
              <w:spacing w:line="240" w:lineRule="auto"/>
              <w:jc w:val="center"/>
              <w:rPr>
                <w:rFonts w:eastAsia="Times New Roman" w:cs="Times New Roman"/>
                <w:color w:val="000000"/>
                <w:sz w:val="20"/>
                <w:szCs w:val="20"/>
                <w:lang w:eastAsia="en-GB"/>
              </w:rPr>
            </w:pPr>
            <w:r w:rsidRPr="008E7FE6">
              <w:rPr>
                <w:rFonts w:eastAsia="Times New Roman" w:cs="Times New Roman"/>
                <w:color w:val="000000"/>
                <w:sz w:val="20"/>
                <w:szCs w:val="20"/>
                <w:lang w:eastAsia="en-GB"/>
              </w:rPr>
              <w:t>9</w:t>
            </w:r>
          </w:p>
        </w:tc>
      </w:tr>
      <w:tr w:rsidR="00F964BF" w:rsidRPr="008E7FE6" w:rsidTr="00E757DE">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F964BF" w:rsidRPr="008E7FE6" w:rsidRDefault="00F964BF" w:rsidP="00E757DE">
            <w:pPr>
              <w:spacing w:line="240" w:lineRule="auto"/>
              <w:jc w:val="center"/>
              <w:rPr>
                <w:rFonts w:eastAsia="Times New Roman" w:cs="Times New Roman"/>
                <w:color w:val="000000"/>
                <w:sz w:val="20"/>
                <w:szCs w:val="20"/>
                <w:lang w:eastAsia="en-GB"/>
              </w:rPr>
            </w:pPr>
            <w:r w:rsidRPr="008E7FE6">
              <w:rPr>
                <w:rFonts w:eastAsia="Times New Roman" w:cs="Times New Roman"/>
                <w:color w:val="000000"/>
                <w:sz w:val="20"/>
                <w:szCs w:val="20"/>
                <w:lang w:eastAsia="en-GB"/>
              </w:rPr>
              <w:t>2007</w:t>
            </w:r>
          </w:p>
        </w:tc>
        <w:tc>
          <w:tcPr>
            <w:tcW w:w="1440" w:type="dxa"/>
            <w:tcBorders>
              <w:top w:val="nil"/>
              <w:left w:val="nil"/>
              <w:bottom w:val="single" w:sz="4" w:space="0" w:color="auto"/>
              <w:right w:val="single" w:sz="4" w:space="0" w:color="auto"/>
            </w:tcBorders>
            <w:shd w:val="clear" w:color="000000" w:fill="FFFFFF"/>
            <w:vAlign w:val="center"/>
            <w:hideMark/>
          </w:tcPr>
          <w:p w:rsidR="00F964BF" w:rsidRPr="008E7FE6" w:rsidRDefault="00F964BF" w:rsidP="00E757DE">
            <w:pPr>
              <w:spacing w:line="240" w:lineRule="auto"/>
              <w:jc w:val="center"/>
              <w:rPr>
                <w:rFonts w:eastAsia="Times New Roman" w:cs="Times New Roman"/>
                <w:color w:val="000000"/>
                <w:sz w:val="20"/>
                <w:szCs w:val="20"/>
                <w:lang w:eastAsia="en-GB"/>
              </w:rPr>
            </w:pPr>
            <w:r w:rsidRPr="008E7FE6">
              <w:rPr>
                <w:rFonts w:eastAsia="Times New Roman" w:cs="Times New Roman"/>
                <w:color w:val="000000"/>
                <w:sz w:val="20"/>
                <w:szCs w:val="20"/>
                <w:lang w:eastAsia="en-GB"/>
              </w:rPr>
              <w:t>81</w:t>
            </w:r>
          </w:p>
        </w:tc>
        <w:tc>
          <w:tcPr>
            <w:tcW w:w="960" w:type="dxa"/>
            <w:tcBorders>
              <w:top w:val="nil"/>
              <w:left w:val="nil"/>
              <w:bottom w:val="single" w:sz="4" w:space="0" w:color="auto"/>
              <w:right w:val="single" w:sz="4" w:space="0" w:color="auto"/>
            </w:tcBorders>
            <w:shd w:val="clear" w:color="auto" w:fill="auto"/>
            <w:noWrap/>
            <w:vAlign w:val="bottom"/>
            <w:hideMark/>
          </w:tcPr>
          <w:p w:rsidR="00F964BF" w:rsidRPr="008E7FE6" w:rsidRDefault="00F964BF" w:rsidP="00E757DE">
            <w:pPr>
              <w:spacing w:line="240" w:lineRule="auto"/>
              <w:jc w:val="center"/>
              <w:rPr>
                <w:rFonts w:eastAsia="Times New Roman" w:cs="Times New Roman"/>
                <w:color w:val="000000"/>
                <w:sz w:val="20"/>
                <w:szCs w:val="20"/>
                <w:lang w:eastAsia="en-GB"/>
              </w:rPr>
            </w:pPr>
            <w:r w:rsidRPr="008E7FE6">
              <w:rPr>
                <w:rFonts w:eastAsia="Times New Roman" w:cs="Times New Roman"/>
                <w:color w:val="000000"/>
                <w:sz w:val="20"/>
                <w:szCs w:val="20"/>
                <w:lang w:eastAsia="en-GB"/>
              </w:rPr>
              <w:t>6</w:t>
            </w:r>
          </w:p>
        </w:tc>
      </w:tr>
      <w:tr w:rsidR="00F964BF" w:rsidRPr="008E7FE6" w:rsidTr="00E757DE">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F964BF" w:rsidRPr="008E7FE6" w:rsidRDefault="00F964BF" w:rsidP="00E757DE">
            <w:pPr>
              <w:spacing w:line="240" w:lineRule="auto"/>
              <w:jc w:val="center"/>
              <w:rPr>
                <w:rFonts w:eastAsia="Times New Roman" w:cs="Times New Roman"/>
                <w:color w:val="000000"/>
                <w:sz w:val="20"/>
                <w:szCs w:val="20"/>
                <w:lang w:eastAsia="en-GB"/>
              </w:rPr>
            </w:pPr>
            <w:r w:rsidRPr="008E7FE6">
              <w:rPr>
                <w:rFonts w:eastAsia="Times New Roman" w:cs="Times New Roman"/>
                <w:color w:val="000000"/>
                <w:sz w:val="20"/>
                <w:szCs w:val="20"/>
                <w:lang w:eastAsia="en-GB"/>
              </w:rPr>
              <w:t>2008</w:t>
            </w:r>
          </w:p>
        </w:tc>
        <w:tc>
          <w:tcPr>
            <w:tcW w:w="1440" w:type="dxa"/>
            <w:tcBorders>
              <w:top w:val="nil"/>
              <w:left w:val="nil"/>
              <w:bottom w:val="single" w:sz="4" w:space="0" w:color="auto"/>
              <w:right w:val="single" w:sz="4" w:space="0" w:color="auto"/>
            </w:tcBorders>
            <w:shd w:val="clear" w:color="000000" w:fill="FFFFFF"/>
            <w:vAlign w:val="center"/>
            <w:hideMark/>
          </w:tcPr>
          <w:p w:rsidR="00F964BF" w:rsidRPr="008E7FE6" w:rsidRDefault="00F964BF" w:rsidP="00E757DE">
            <w:pPr>
              <w:spacing w:line="240" w:lineRule="auto"/>
              <w:jc w:val="center"/>
              <w:rPr>
                <w:rFonts w:eastAsia="Times New Roman" w:cs="Times New Roman"/>
                <w:color w:val="000000"/>
                <w:sz w:val="20"/>
                <w:szCs w:val="20"/>
                <w:lang w:eastAsia="en-GB"/>
              </w:rPr>
            </w:pPr>
            <w:r w:rsidRPr="008E7FE6">
              <w:rPr>
                <w:rFonts w:eastAsia="Times New Roman" w:cs="Times New Roman"/>
                <w:color w:val="000000"/>
                <w:sz w:val="20"/>
                <w:szCs w:val="20"/>
                <w:lang w:eastAsia="en-GB"/>
              </w:rPr>
              <w:t>33</w:t>
            </w:r>
          </w:p>
        </w:tc>
        <w:tc>
          <w:tcPr>
            <w:tcW w:w="960" w:type="dxa"/>
            <w:tcBorders>
              <w:top w:val="nil"/>
              <w:left w:val="nil"/>
              <w:bottom w:val="single" w:sz="4" w:space="0" w:color="auto"/>
              <w:right w:val="single" w:sz="4" w:space="0" w:color="auto"/>
            </w:tcBorders>
            <w:shd w:val="clear" w:color="auto" w:fill="auto"/>
            <w:noWrap/>
            <w:vAlign w:val="bottom"/>
            <w:hideMark/>
          </w:tcPr>
          <w:p w:rsidR="00F964BF" w:rsidRPr="008E7FE6" w:rsidRDefault="00F964BF" w:rsidP="00E757DE">
            <w:pPr>
              <w:spacing w:line="240" w:lineRule="auto"/>
              <w:jc w:val="center"/>
              <w:rPr>
                <w:rFonts w:eastAsia="Times New Roman" w:cs="Times New Roman"/>
                <w:color w:val="000000"/>
                <w:sz w:val="20"/>
                <w:szCs w:val="20"/>
                <w:lang w:eastAsia="en-GB"/>
              </w:rPr>
            </w:pPr>
            <w:r w:rsidRPr="008E7FE6">
              <w:rPr>
                <w:rFonts w:eastAsia="Times New Roman" w:cs="Times New Roman"/>
                <w:color w:val="000000"/>
                <w:sz w:val="20"/>
                <w:szCs w:val="20"/>
                <w:lang w:eastAsia="en-GB"/>
              </w:rPr>
              <w:t>2</w:t>
            </w:r>
          </w:p>
        </w:tc>
      </w:tr>
      <w:tr w:rsidR="00F964BF" w:rsidRPr="008E7FE6" w:rsidTr="00E757DE">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F964BF" w:rsidRPr="008E7FE6" w:rsidRDefault="00F964BF" w:rsidP="00E757DE">
            <w:pPr>
              <w:spacing w:line="240" w:lineRule="auto"/>
              <w:jc w:val="center"/>
              <w:rPr>
                <w:rFonts w:eastAsia="Times New Roman" w:cs="Times New Roman"/>
                <w:color w:val="000000"/>
                <w:sz w:val="20"/>
                <w:szCs w:val="20"/>
                <w:lang w:eastAsia="en-GB"/>
              </w:rPr>
            </w:pPr>
            <w:r w:rsidRPr="008E7FE6">
              <w:rPr>
                <w:rFonts w:eastAsia="Times New Roman" w:cs="Times New Roman"/>
                <w:color w:val="000000"/>
                <w:sz w:val="20"/>
                <w:szCs w:val="20"/>
                <w:lang w:eastAsia="en-GB"/>
              </w:rPr>
              <w:t>2009</w:t>
            </w:r>
          </w:p>
        </w:tc>
        <w:tc>
          <w:tcPr>
            <w:tcW w:w="1440" w:type="dxa"/>
            <w:tcBorders>
              <w:top w:val="nil"/>
              <w:left w:val="nil"/>
              <w:bottom w:val="single" w:sz="4" w:space="0" w:color="auto"/>
              <w:right w:val="single" w:sz="4" w:space="0" w:color="auto"/>
            </w:tcBorders>
            <w:shd w:val="clear" w:color="000000" w:fill="FFFFFF"/>
            <w:vAlign w:val="center"/>
            <w:hideMark/>
          </w:tcPr>
          <w:p w:rsidR="00F964BF" w:rsidRPr="008E7FE6" w:rsidRDefault="00F964BF" w:rsidP="00E757DE">
            <w:pPr>
              <w:spacing w:line="240" w:lineRule="auto"/>
              <w:jc w:val="center"/>
              <w:rPr>
                <w:rFonts w:eastAsia="Times New Roman" w:cs="Times New Roman"/>
                <w:color w:val="000000"/>
                <w:sz w:val="20"/>
                <w:szCs w:val="20"/>
                <w:lang w:eastAsia="en-GB"/>
              </w:rPr>
            </w:pPr>
            <w:r w:rsidRPr="008E7FE6">
              <w:rPr>
                <w:rFonts w:eastAsia="Times New Roman" w:cs="Times New Roman"/>
                <w:color w:val="000000"/>
                <w:sz w:val="20"/>
                <w:szCs w:val="20"/>
                <w:lang w:eastAsia="en-GB"/>
              </w:rPr>
              <w:t>13</w:t>
            </w:r>
          </w:p>
        </w:tc>
        <w:tc>
          <w:tcPr>
            <w:tcW w:w="960" w:type="dxa"/>
            <w:tcBorders>
              <w:top w:val="nil"/>
              <w:left w:val="nil"/>
              <w:bottom w:val="single" w:sz="4" w:space="0" w:color="auto"/>
              <w:right w:val="single" w:sz="4" w:space="0" w:color="auto"/>
            </w:tcBorders>
            <w:shd w:val="clear" w:color="auto" w:fill="auto"/>
            <w:noWrap/>
            <w:vAlign w:val="bottom"/>
            <w:hideMark/>
          </w:tcPr>
          <w:p w:rsidR="00F964BF" w:rsidRPr="008E7FE6" w:rsidRDefault="00F964BF" w:rsidP="00E757DE">
            <w:pPr>
              <w:spacing w:line="240" w:lineRule="auto"/>
              <w:jc w:val="center"/>
              <w:rPr>
                <w:rFonts w:eastAsia="Times New Roman" w:cs="Times New Roman"/>
                <w:color w:val="000000"/>
                <w:sz w:val="20"/>
                <w:szCs w:val="20"/>
                <w:lang w:eastAsia="en-GB"/>
              </w:rPr>
            </w:pPr>
            <w:r w:rsidRPr="008E7FE6">
              <w:rPr>
                <w:rFonts w:eastAsia="Times New Roman" w:cs="Times New Roman"/>
                <w:color w:val="000000"/>
                <w:sz w:val="20"/>
                <w:szCs w:val="20"/>
                <w:lang w:eastAsia="en-GB"/>
              </w:rPr>
              <w:t>0</w:t>
            </w:r>
          </w:p>
        </w:tc>
      </w:tr>
      <w:tr w:rsidR="00F964BF" w:rsidRPr="008E7FE6" w:rsidTr="00E757DE">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F964BF" w:rsidRPr="008E7FE6" w:rsidRDefault="00F964BF" w:rsidP="00E757DE">
            <w:pPr>
              <w:spacing w:line="240" w:lineRule="auto"/>
              <w:jc w:val="center"/>
              <w:rPr>
                <w:rFonts w:eastAsia="Times New Roman" w:cs="Times New Roman"/>
                <w:color w:val="000000"/>
                <w:sz w:val="20"/>
                <w:szCs w:val="20"/>
                <w:lang w:eastAsia="en-GB"/>
              </w:rPr>
            </w:pPr>
            <w:r w:rsidRPr="008E7FE6">
              <w:rPr>
                <w:rFonts w:eastAsia="Times New Roman" w:cs="Times New Roman"/>
                <w:color w:val="000000"/>
                <w:sz w:val="20"/>
                <w:szCs w:val="20"/>
                <w:lang w:eastAsia="en-GB"/>
              </w:rPr>
              <w:t>2010</w:t>
            </w:r>
          </w:p>
        </w:tc>
        <w:tc>
          <w:tcPr>
            <w:tcW w:w="1440" w:type="dxa"/>
            <w:tcBorders>
              <w:top w:val="nil"/>
              <w:left w:val="nil"/>
              <w:bottom w:val="single" w:sz="4" w:space="0" w:color="auto"/>
              <w:right w:val="single" w:sz="4" w:space="0" w:color="auto"/>
            </w:tcBorders>
            <w:shd w:val="clear" w:color="000000" w:fill="FFFFFF"/>
            <w:vAlign w:val="center"/>
            <w:hideMark/>
          </w:tcPr>
          <w:p w:rsidR="00F964BF" w:rsidRPr="008E7FE6" w:rsidRDefault="00F964BF" w:rsidP="00E757DE">
            <w:pPr>
              <w:spacing w:line="240" w:lineRule="auto"/>
              <w:jc w:val="center"/>
              <w:rPr>
                <w:rFonts w:eastAsia="Times New Roman" w:cs="Times New Roman"/>
                <w:color w:val="000000"/>
                <w:sz w:val="20"/>
                <w:szCs w:val="20"/>
                <w:lang w:eastAsia="en-GB"/>
              </w:rPr>
            </w:pPr>
            <w:r w:rsidRPr="008E7FE6">
              <w:rPr>
                <w:rFonts w:eastAsia="Times New Roman" w:cs="Times New Roman"/>
                <w:color w:val="000000"/>
                <w:sz w:val="20"/>
                <w:szCs w:val="20"/>
                <w:lang w:eastAsia="en-GB"/>
              </w:rPr>
              <w:t>34</w:t>
            </w:r>
          </w:p>
        </w:tc>
        <w:tc>
          <w:tcPr>
            <w:tcW w:w="960" w:type="dxa"/>
            <w:tcBorders>
              <w:top w:val="nil"/>
              <w:left w:val="nil"/>
              <w:bottom w:val="single" w:sz="4" w:space="0" w:color="auto"/>
              <w:right w:val="single" w:sz="4" w:space="0" w:color="auto"/>
            </w:tcBorders>
            <w:shd w:val="clear" w:color="auto" w:fill="auto"/>
            <w:noWrap/>
            <w:vAlign w:val="bottom"/>
            <w:hideMark/>
          </w:tcPr>
          <w:p w:rsidR="00F964BF" w:rsidRPr="008E7FE6" w:rsidRDefault="00F964BF" w:rsidP="00E757DE">
            <w:pPr>
              <w:spacing w:line="240" w:lineRule="auto"/>
              <w:jc w:val="center"/>
              <w:rPr>
                <w:rFonts w:eastAsia="Times New Roman" w:cs="Times New Roman"/>
                <w:color w:val="000000"/>
                <w:sz w:val="20"/>
                <w:szCs w:val="20"/>
                <w:lang w:eastAsia="en-GB"/>
              </w:rPr>
            </w:pPr>
            <w:r w:rsidRPr="008E7FE6">
              <w:rPr>
                <w:rFonts w:eastAsia="Times New Roman" w:cs="Times New Roman"/>
                <w:color w:val="000000"/>
                <w:sz w:val="20"/>
                <w:szCs w:val="20"/>
                <w:lang w:eastAsia="en-GB"/>
              </w:rPr>
              <w:t>2</w:t>
            </w:r>
          </w:p>
        </w:tc>
      </w:tr>
      <w:tr w:rsidR="00F964BF" w:rsidRPr="008E7FE6" w:rsidTr="00E757DE">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F964BF" w:rsidRPr="008E7FE6" w:rsidRDefault="00F964BF" w:rsidP="00E757DE">
            <w:pPr>
              <w:spacing w:line="240" w:lineRule="auto"/>
              <w:jc w:val="center"/>
              <w:rPr>
                <w:rFonts w:eastAsia="Times New Roman" w:cs="Times New Roman"/>
                <w:color w:val="000000"/>
                <w:sz w:val="20"/>
                <w:szCs w:val="20"/>
                <w:lang w:eastAsia="en-GB"/>
              </w:rPr>
            </w:pPr>
            <w:r w:rsidRPr="008E7FE6">
              <w:rPr>
                <w:rFonts w:eastAsia="Times New Roman" w:cs="Times New Roman"/>
                <w:color w:val="000000"/>
                <w:sz w:val="20"/>
                <w:szCs w:val="20"/>
                <w:lang w:eastAsia="en-GB"/>
              </w:rPr>
              <w:t>2011</w:t>
            </w:r>
          </w:p>
        </w:tc>
        <w:tc>
          <w:tcPr>
            <w:tcW w:w="1440" w:type="dxa"/>
            <w:tcBorders>
              <w:top w:val="nil"/>
              <w:left w:val="nil"/>
              <w:bottom w:val="single" w:sz="4" w:space="0" w:color="auto"/>
              <w:right w:val="single" w:sz="4" w:space="0" w:color="auto"/>
            </w:tcBorders>
            <w:shd w:val="clear" w:color="000000" w:fill="FFFFFF"/>
            <w:vAlign w:val="center"/>
            <w:hideMark/>
          </w:tcPr>
          <w:p w:rsidR="00F964BF" w:rsidRPr="008E7FE6" w:rsidRDefault="00F964BF" w:rsidP="00E757DE">
            <w:pPr>
              <w:spacing w:line="240" w:lineRule="auto"/>
              <w:jc w:val="center"/>
              <w:rPr>
                <w:rFonts w:eastAsia="Times New Roman" w:cs="Times New Roman"/>
                <w:color w:val="000000"/>
                <w:sz w:val="20"/>
                <w:szCs w:val="20"/>
                <w:lang w:eastAsia="en-GB"/>
              </w:rPr>
            </w:pPr>
            <w:r w:rsidRPr="008E7FE6">
              <w:rPr>
                <w:rFonts w:eastAsia="Times New Roman" w:cs="Times New Roman"/>
                <w:color w:val="000000"/>
                <w:sz w:val="20"/>
                <w:szCs w:val="20"/>
                <w:lang w:eastAsia="en-GB"/>
              </w:rPr>
              <w:t>38</w:t>
            </w:r>
          </w:p>
        </w:tc>
        <w:tc>
          <w:tcPr>
            <w:tcW w:w="960" w:type="dxa"/>
            <w:tcBorders>
              <w:top w:val="nil"/>
              <w:left w:val="nil"/>
              <w:bottom w:val="single" w:sz="4" w:space="0" w:color="auto"/>
              <w:right w:val="single" w:sz="4" w:space="0" w:color="auto"/>
            </w:tcBorders>
            <w:shd w:val="clear" w:color="auto" w:fill="auto"/>
            <w:noWrap/>
            <w:vAlign w:val="bottom"/>
            <w:hideMark/>
          </w:tcPr>
          <w:p w:rsidR="00F964BF" w:rsidRPr="008E7FE6" w:rsidRDefault="00F964BF" w:rsidP="00E757DE">
            <w:pPr>
              <w:spacing w:line="240" w:lineRule="auto"/>
              <w:jc w:val="center"/>
              <w:rPr>
                <w:rFonts w:eastAsia="Times New Roman" w:cs="Times New Roman"/>
                <w:color w:val="000000"/>
                <w:sz w:val="20"/>
                <w:szCs w:val="20"/>
                <w:lang w:eastAsia="en-GB"/>
              </w:rPr>
            </w:pPr>
            <w:r w:rsidRPr="008E7FE6">
              <w:rPr>
                <w:rFonts w:eastAsia="Times New Roman" w:cs="Times New Roman"/>
                <w:color w:val="000000"/>
                <w:sz w:val="20"/>
                <w:szCs w:val="20"/>
                <w:lang w:eastAsia="en-GB"/>
              </w:rPr>
              <w:t>3</w:t>
            </w:r>
          </w:p>
        </w:tc>
      </w:tr>
      <w:tr w:rsidR="00F964BF" w:rsidRPr="008E7FE6" w:rsidTr="00E757DE">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F964BF" w:rsidRPr="008E7FE6" w:rsidRDefault="00F964BF" w:rsidP="00E757DE">
            <w:pPr>
              <w:spacing w:line="240" w:lineRule="auto"/>
              <w:jc w:val="center"/>
              <w:rPr>
                <w:rFonts w:eastAsia="Times New Roman" w:cs="Times New Roman"/>
                <w:color w:val="000000"/>
                <w:sz w:val="20"/>
                <w:szCs w:val="20"/>
                <w:lang w:eastAsia="en-GB"/>
              </w:rPr>
            </w:pPr>
            <w:r w:rsidRPr="008E7FE6">
              <w:rPr>
                <w:rFonts w:eastAsia="Times New Roman" w:cs="Times New Roman"/>
                <w:color w:val="000000"/>
                <w:sz w:val="20"/>
                <w:szCs w:val="20"/>
                <w:lang w:eastAsia="en-GB"/>
              </w:rPr>
              <w:t>2012</w:t>
            </w:r>
          </w:p>
        </w:tc>
        <w:tc>
          <w:tcPr>
            <w:tcW w:w="1440" w:type="dxa"/>
            <w:tcBorders>
              <w:top w:val="nil"/>
              <w:left w:val="nil"/>
              <w:bottom w:val="single" w:sz="4" w:space="0" w:color="auto"/>
              <w:right w:val="single" w:sz="4" w:space="0" w:color="auto"/>
            </w:tcBorders>
            <w:shd w:val="clear" w:color="000000" w:fill="FFFFFF"/>
            <w:vAlign w:val="center"/>
            <w:hideMark/>
          </w:tcPr>
          <w:p w:rsidR="00F964BF" w:rsidRPr="008E7FE6" w:rsidRDefault="00F964BF" w:rsidP="00E757DE">
            <w:pPr>
              <w:spacing w:line="240" w:lineRule="auto"/>
              <w:jc w:val="center"/>
              <w:rPr>
                <w:rFonts w:eastAsia="Times New Roman" w:cs="Times New Roman"/>
                <w:color w:val="000000"/>
                <w:sz w:val="20"/>
                <w:szCs w:val="20"/>
                <w:lang w:eastAsia="en-GB"/>
              </w:rPr>
            </w:pPr>
            <w:r w:rsidRPr="008E7FE6">
              <w:rPr>
                <w:rFonts w:eastAsia="Times New Roman" w:cs="Times New Roman"/>
                <w:color w:val="000000"/>
                <w:sz w:val="20"/>
                <w:szCs w:val="20"/>
                <w:lang w:eastAsia="en-GB"/>
              </w:rPr>
              <w:t>19</w:t>
            </w:r>
          </w:p>
        </w:tc>
        <w:tc>
          <w:tcPr>
            <w:tcW w:w="960" w:type="dxa"/>
            <w:tcBorders>
              <w:top w:val="nil"/>
              <w:left w:val="nil"/>
              <w:bottom w:val="single" w:sz="4" w:space="0" w:color="auto"/>
              <w:right w:val="single" w:sz="4" w:space="0" w:color="auto"/>
            </w:tcBorders>
            <w:shd w:val="clear" w:color="auto" w:fill="auto"/>
            <w:noWrap/>
            <w:vAlign w:val="bottom"/>
            <w:hideMark/>
          </w:tcPr>
          <w:p w:rsidR="00F964BF" w:rsidRPr="008E7FE6" w:rsidRDefault="00F964BF" w:rsidP="00E757DE">
            <w:pPr>
              <w:spacing w:line="240" w:lineRule="auto"/>
              <w:jc w:val="center"/>
              <w:rPr>
                <w:rFonts w:eastAsia="Times New Roman" w:cs="Times New Roman"/>
                <w:color w:val="000000"/>
                <w:sz w:val="20"/>
                <w:szCs w:val="20"/>
                <w:lang w:eastAsia="en-GB"/>
              </w:rPr>
            </w:pPr>
            <w:r w:rsidRPr="008E7FE6">
              <w:rPr>
                <w:rFonts w:eastAsia="Times New Roman" w:cs="Times New Roman"/>
                <w:color w:val="000000"/>
                <w:sz w:val="20"/>
                <w:szCs w:val="20"/>
                <w:lang w:eastAsia="en-GB"/>
              </w:rPr>
              <w:t>1</w:t>
            </w:r>
          </w:p>
        </w:tc>
      </w:tr>
      <w:tr w:rsidR="00F964BF" w:rsidRPr="008E7FE6" w:rsidTr="00E757DE">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F964BF" w:rsidRPr="008E7FE6" w:rsidRDefault="00F964BF" w:rsidP="00E757DE">
            <w:pPr>
              <w:spacing w:line="240" w:lineRule="auto"/>
              <w:jc w:val="center"/>
              <w:rPr>
                <w:rFonts w:eastAsia="Times New Roman" w:cs="Times New Roman"/>
                <w:color w:val="000000"/>
                <w:sz w:val="20"/>
                <w:szCs w:val="20"/>
                <w:lang w:eastAsia="en-GB"/>
              </w:rPr>
            </w:pPr>
            <w:r w:rsidRPr="008E7FE6">
              <w:rPr>
                <w:rFonts w:eastAsia="Times New Roman" w:cs="Times New Roman"/>
                <w:color w:val="000000"/>
                <w:sz w:val="20"/>
                <w:szCs w:val="20"/>
                <w:lang w:eastAsia="en-GB"/>
              </w:rPr>
              <w:t>2013</w:t>
            </w:r>
          </w:p>
        </w:tc>
        <w:tc>
          <w:tcPr>
            <w:tcW w:w="1440" w:type="dxa"/>
            <w:tcBorders>
              <w:top w:val="nil"/>
              <w:left w:val="nil"/>
              <w:bottom w:val="single" w:sz="4" w:space="0" w:color="auto"/>
              <w:right w:val="single" w:sz="4" w:space="0" w:color="auto"/>
            </w:tcBorders>
            <w:shd w:val="clear" w:color="000000" w:fill="FFFFFF"/>
            <w:vAlign w:val="center"/>
            <w:hideMark/>
          </w:tcPr>
          <w:p w:rsidR="00F964BF" w:rsidRPr="008E7FE6" w:rsidRDefault="00F964BF" w:rsidP="00E757DE">
            <w:pPr>
              <w:spacing w:line="240" w:lineRule="auto"/>
              <w:jc w:val="center"/>
              <w:rPr>
                <w:rFonts w:eastAsia="Times New Roman" w:cs="Times New Roman"/>
                <w:color w:val="000000"/>
                <w:sz w:val="20"/>
                <w:szCs w:val="20"/>
                <w:lang w:eastAsia="en-GB"/>
              </w:rPr>
            </w:pPr>
            <w:r w:rsidRPr="008E7FE6">
              <w:rPr>
                <w:rFonts w:eastAsia="Times New Roman" w:cs="Times New Roman"/>
                <w:color w:val="000000"/>
                <w:sz w:val="20"/>
                <w:szCs w:val="20"/>
                <w:lang w:eastAsia="en-GB"/>
              </w:rPr>
              <w:t>23</w:t>
            </w:r>
          </w:p>
        </w:tc>
        <w:tc>
          <w:tcPr>
            <w:tcW w:w="960" w:type="dxa"/>
            <w:tcBorders>
              <w:top w:val="nil"/>
              <w:left w:val="nil"/>
              <w:bottom w:val="single" w:sz="4" w:space="0" w:color="auto"/>
              <w:right w:val="single" w:sz="4" w:space="0" w:color="auto"/>
            </w:tcBorders>
            <w:shd w:val="clear" w:color="auto" w:fill="auto"/>
            <w:noWrap/>
            <w:vAlign w:val="bottom"/>
            <w:hideMark/>
          </w:tcPr>
          <w:p w:rsidR="00F964BF" w:rsidRPr="008E7FE6" w:rsidRDefault="00F964BF" w:rsidP="00E757DE">
            <w:pPr>
              <w:spacing w:line="240" w:lineRule="auto"/>
              <w:jc w:val="center"/>
              <w:rPr>
                <w:rFonts w:eastAsia="Times New Roman" w:cs="Times New Roman"/>
                <w:color w:val="000000"/>
                <w:sz w:val="20"/>
                <w:szCs w:val="20"/>
                <w:lang w:eastAsia="en-GB"/>
              </w:rPr>
            </w:pPr>
            <w:r w:rsidRPr="008E7FE6">
              <w:rPr>
                <w:rFonts w:eastAsia="Times New Roman" w:cs="Times New Roman"/>
                <w:color w:val="000000"/>
                <w:sz w:val="20"/>
                <w:szCs w:val="20"/>
                <w:lang w:eastAsia="en-GB"/>
              </w:rPr>
              <w:t>2</w:t>
            </w:r>
          </w:p>
        </w:tc>
      </w:tr>
      <w:tr w:rsidR="00F964BF" w:rsidRPr="008E7FE6" w:rsidTr="00E757DE">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F964BF" w:rsidRPr="008E7FE6" w:rsidRDefault="00F964BF" w:rsidP="00E757DE">
            <w:pPr>
              <w:spacing w:line="240" w:lineRule="auto"/>
              <w:jc w:val="center"/>
              <w:rPr>
                <w:rFonts w:eastAsia="Times New Roman" w:cs="Times New Roman"/>
                <w:color w:val="000000"/>
                <w:sz w:val="20"/>
                <w:szCs w:val="20"/>
                <w:lang w:eastAsia="en-GB"/>
              </w:rPr>
            </w:pPr>
            <w:r w:rsidRPr="008E7FE6">
              <w:rPr>
                <w:rFonts w:eastAsia="Times New Roman" w:cs="Times New Roman"/>
                <w:color w:val="000000"/>
                <w:sz w:val="20"/>
                <w:szCs w:val="20"/>
                <w:lang w:eastAsia="en-GB"/>
              </w:rPr>
              <w:t>2014</w:t>
            </w:r>
          </w:p>
        </w:tc>
        <w:tc>
          <w:tcPr>
            <w:tcW w:w="1440" w:type="dxa"/>
            <w:tcBorders>
              <w:top w:val="nil"/>
              <w:left w:val="nil"/>
              <w:bottom w:val="single" w:sz="4" w:space="0" w:color="auto"/>
              <w:right w:val="single" w:sz="4" w:space="0" w:color="auto"/>
            </w:tcBorders>
            <w:shd w:val="clear" w:color="000000" w:fill="FFFFFF"/>
            <w:vAlign w:val="center"/>
            <w:hideMark/>
          </w:tcPr>
          <w:p w:rsidR="00F964BF" w:rsidRPr="008E7FE6" w:rsidRDefault="00F964BF" w:rsidP="00E757DE">
            <w:pPr>
              <w:spacing w:line="240" w:lineRule="auto"/>
              <w:jc w:val="center"/>
              <w:rPr>
                <w:rFonts w:eastAsia="Times New Roman" w:cs="Times New Roman"/>
                <w:color w:val="000000"/>
                <w:sz w:val="20"/>
                <w:szCs w:val="20"/>
                <w:lang w:eastAsia="en-GB"/>
              </w:rPr>
            </w:pPr>
            <w:r w:rsidRPr="008E7FE6">
              <w:rPr>
                <w:rFonts w:eastAsia="Times New Roman" w:cs="Times New Roman"/>
                <w:color w:val="000000"/>
                <w:sz w:val="20"/>
                <w:szCs w:val="20"/>
                <w:lang w:eastAsia="en-GB"/>
              </w:rPr>
              <w:t>12</w:t>
            </w:r>
          </w:p>
        </w:tc>
        <w:tc>
          <w:tcPr>
            <w:tcW w:w="960" w:type="dxa"/>
            <w:tcBorders>
              <w:top w:val="nil"/>
              <w:left w:val="nil"/>
              <w:bottom w:val="single" w:sz="4" w:space="0" w:color="auto"/>
              <w:right w:val="single" w:sz="4" w:space="0" w:color="auto"/>
            </w:tcBorders>
            <w:shd w:val="clear" w:color="auto" w:fill="auto"/>
            <w:noWrap/>
            <w:vAlign w:val="bottom"/>
            <w:hideMark/>
          </w:tcPr>
          <w:p w:rsidR="00F964BF" w:rsidRPr="008E7FE6" w:rsidRDefault="00F964BF" w:rsidP="00E757DE">
            <w:pPr>
              <w:spacing w:line="240" w:lineRule="auto"/>
              <w:jc w:val="center"/>
              <w:rPr>
                <w:rFonts w:eastAsia="Times New Roman" w:cs="Times New Roman"/>
                <w:color w:val="000000"/>
                <w:sz w:val="20"/>
                <w:szCs w:val="20"/>
                <w:lang w:eastAsia="en-GB"/>
              </w:rPr>
            </w:pPr>
            <w:r w:rsidRPr="008E7FE6">
              <w:rPr>
                <w:rFonts w:eastAsia="Times New Roman" w:cs="Times New Roman"/>
                <w:color w:val="000000"/>
                <w:sz w:val="20"/>
                <w:szCs w:val="20"/>
                <w:lang w:eastAsia="en-GB"/>
              </w:rPr>
              <w:t>6</w:t>
            </w:r>
          </w:p>
        </w:tc>
      </w:tr>
      <w:tr w:rsidR="00F964BF" w:rsidRPr="008E7FE6" w:rsidTr="00E757DE">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F964BF" w:rsidRPr="008E7FE6" w:rsidRDefault="00F964BF" w:rsidP="00E757DE">
            <w:pPr>
              <w:spacing w:line="240" w:lineRule="auto"/>
              <w:jc w:val="center"/>
              <w:rPr>
                <w:rFonts w:eastAsia="Times New Roman" w:cs="Times New Roman"/>
                <w:color w:val="000000"/>
                <w:sz w:val="20"/>
                <w:szCs w:val="20"/>
                <w:lang w:eastAsia="en-GB"/>
              </w:rPr>
            </w:pPr>
            <w:r w:rsidRPr="008E7FE6">
              <w:rPr>
                <w:rFonts w:eastAsia="Times New Roman" w:cs="Times New Roman"/>
                <w:color w:val="000000"/>
                <w:sz w:val="20"/>
                <w:szCs w:val="20"/>
                <w:lang w:eastAsia="en-GB"/>
              </w:rPr>
              <w:t>2015</w:t>
            </w:r>
          </w:p>
        </w:tc>
        <w:tc>
          <w:tcPr>
            <w:tcW w:w="1440" w:type="dxa"/>
            <w:tcBorders>
              <w:top w:val="nil"/>
              <w:left w:val="nil"/>
              <w:bottom w:val="single" w:sz="4" w:space="0" w:color="auto"/>
              <w:right w:val="single" w:sz="4" w:space="0" w:color="auto"/>
            </w:tcBorders>
            <w:shd w:val="clear" w:color="000000" w:fill="FFFFFF"/>
            <w:vAlign w:val="center"/>
            <w:hideMark/>
          </w:tcPr>
          <w:p w:rsidR="00F964BF" w:rsidRPr="008E7FE6" w:rsidRDefault="00F964BF" w:rsidP="00E757DE">
            <w:pPr>
              <w:spacing w:line="240" w:lineRule="auto"/>
              <w:jc w:val="center"/>
              <w:rPr>
                <w:rFonts w:eastAsia="Times New Roman" w:cs="Times New Roman"/>
                <w:color w:val="000000"/>
                <w:sz w:val="20"/>
                <w:szCs w:val="20"/>
                <w:lang w:eastAsia="en-GB"/>
              </w:rPr>
            </w:pPr>
            <w:r w:rsidRPr="008E7FE6">
              <w:rPr>
                <w:rFonts w:eastAsia="Times New Roman" w:cs="Times New Roman"/>
                <w:color w:val="000000"/>
                <w:sz w:val="20"/>
                <w:szCs w:val="20"/>
                <w:lang w:eastAsia="en-GB"/>
              </w:rPr>
              <w:t>30</w:t>
            </w:r>
          </w:p>
        </w:tc>
        <w:tc>
          <w:tcPr>
            <w:tcW w:w="960" w:type="dxa"/>
            <w:tcBorders>
              <w:top w:val="nil"/>
              <w:left w:val="nil"/>
              <w:bottom w:val="single" w:sz="4" w:space="0" w:color="auto"/>
              <w:right w:val="single" w:sz="4" w:space="0" w:color="auto"/>
            </w:tcBorders>
            <w:shd w:val="clear" w:color="auto" w:fill="auto"/>
            <w:noWrap/>
            <w:vAlign w:val="bottom"/>
            <w:hideMark/>
          </w:tcPr>
          <w:p w:rsidR="00F964BF" w:rsidRPr="008E7FE6" w:rsidRDefault="00F964BF" w:rsidP="00E757DE">
            <w:pPr>
              <w:spacing w:line="240" w:lineRule="auto"/>
              <w:jc w:val="center"/>
              <w:rPr>
                <w:rFonts w:eastAsia="Times New Roman" w:cs="Times New Roman"/>
                <w:color w:val="000000"/>
                <w:sz w:val="20"/>
                <w:szCs w:val="20"/>
                <w:lang w:eastAsia="en-GB"/>
              </w:rPr>
            </w:pPr>
            <w:r w:rsidRPr="008E7FE6">
              <w:rPr>
                <w:rFonts w:eastAsia="Times New Roman" w:cs="Times New Roman"/>
                <w:color w:val="000000"/>
                <w:sz w:val="20"/>
                <w:szCs w:val="20"/>
                <w:lang w:eastAsia="en-GB"/>
              </w:rPr>
              <w:t>1</w:t>
            </w:r>
          </w:p>
        </w:tc>
      </w:tr>
      <w:tr w:rsidR="00F964BF" w:rsidRPr="008E7FE6" w:rsidTr="00E757DE">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F964BF" w:rsidRPr="008E7FE6" w:rsidRDefault="00F964BF" w:rsidP="00E757DE">
            <w:pPr>
              <w:spacing w:line="240" w:lineRule="auto"/>
              <w:jc w:val="center"/>
              <w:rPr>
                <w:rFonts w:eastAsia="Times New Roman" w:cs="Times New Roman"/>
                <w:color w:val="000000"/>
                <w:sz w:val="20"/>
                <w:szCs w:val="20"/>
                <w:lang w:eastAsia="en-GB"/>
              </w:rPr>
            </w:pPr>
            <w:r w:rsidRPr="008E7FE6">
              <w:rPr>
                <w:rFonts w:eastAsia="Times New Roman" w:cs="Times New Roman"/>
                <w:color w:val="000000"/>
                <w:sz w:val="20"/>
                <w:szCs w:val="20"/>
                <w:lang w:eastAsia="en-GB"/>
              </w:rPr>
              <w:t>2016</w:t>
            </w:r>
          </w:p>
        </w:tc>
        <w:tc>
          <w:tcPr>
            <w:tcW w:w="1440" w:type="dxa"/>
            <w:tcBorders>
              <w:top w:val="nil"/>
              <w:left w:val="nil"/>
              <w:bottom w:val="single" w:sz="4" w:space="0" w:color="auto"/>
              <w:right w:val="single" w:sz="4" w:space="0" w:color="auto"/>
            </w:tcBorders>
            <w:shd w:val="clear" w:color="000000" w:fill="FFFFFF"/>
            <w:vAlign w:val="center"/>
            <w:hideMark/>
          </w:tcPr>
          <w:p w:rsidR="00F964BF" w:rsidRPr="008E7FE6" w:rsidRDefault="00F964BF" w:rsidP="00E757DE">
            <w:pPr>
              <w:spacing w:line="240" w:lineRule="auto"/>
              <w:jc w:val="center"/>
              <w:rPr>
                <w:rFonts w:eastAsia="Times New Roman" w:cs="Times New Roman"/>
                <w:color w:val="000000"/>
                <w:sz w:val="20"/>
                <w:szCs w:val="20"/>
                <w:lang w:eastAsia="en-GB"/>
              </w:rPr>
            </w:pPr>
            <w:r w:rsidRPr="008E7FE6">
              <w:rPr>
                <w:rFonts w:eastAsia="Times New Roman" w:cs="Times New Roman"/>
                <w:color w:val="000000"/>
                <w:sz w:val="20"/>
                <w:szCs w:val="20"/>
                <w:lang w:eastAsia="en-GB"/>
              </w:rPr>
              <w:t>19</w:t>
            </w:r>
          </w:p>
        </w:tc>
        <w:tc>
          <w:tcPr>
            <w:tcW w:w="960" w:type="dxa"/>
            <w:tcBorders>
              <w:top w:val="nil"/>
              <w:left w:val="nil"/>
              <w:bottom w:val="single" w:sz="4" w:space="0" w:color="auto"/>
              <w:right w:val="single" w:sz="4" w:space="0" w:color="auto"/>
            </w:tcBorders>
            <w:shd w:val="clear" w:color="auto" w:fill="auto"/>
            <w:noWrap/>
            <w:vAlign w:val="bottom"/>
            <w:hideMark/>
          </w:tcPr>
          <w:p w:rsidR="00F964BF" w:rsidRPr="008E7FE6" w:rsidRDefault="00F964BF" w:rsidP="00E757DE">
            <w:pPr>
              <w:spacing w:line="240" w:lineRule="auto"/>
              <w:jc w:val="center"/>
              <w:rPr>
                <w:rFonts w:eastAsia="Times New Roman" w:cs="Times New Roman"/>
                <w:color w:val="000000"/>
                <w:sz w:val="20"/>
                <w:szCs w:val="20"/>
                <w:lang w:eastAsia="en-GB"/>
              </w:rPr>
            </w:pPr>
            <w:r w:rsidRPr="008E7FE6">
              <w:rPr>
                <w:rFonts w:eastAsia="Times New Roman" w:cs="Times New Roman"/>
                <w:color w:val="000000"/>
                <w:sz w:val="20"/>
                <w:szCs w:val="20"/>
                <w:lang w:eastAsia="en-GB"/>
              </w:rPr>
              <w:t>3</w:t>
            </w:r>
          </w:p>
        </w:tc>
      </w:tr>
      <w:tr w:rsidR="00F964BF" w:rsidRPr="008E7FE6" w:rsidTr="00E757DE">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F964BF" w:rsidRPr="008E7FE6" w:rsidRDefault="00F964BF" w:rsidP="00E757DE">
            <w:pPr>
              <w:spacing w:line="240" w:lineRule="auto"/>
              <w:jc w:val="center"/>
              <w:rPr>
                <w:rFonts w:eastAsia="Times New Roman" w:cs="Times New Roman"/>
                <w:color w:val="000000"/>
                <w:sz w:val="20"/>
                <w:szCs w:val="20"/>
                <w:lang w:eastAsia="en-GB"/>
              </w:rPr>
            </w:pPr>
            <w:r w:rsidRPr="008E7FE6">
              <w:rPr>
                <w:rFonts w:eastAsia="Times New Roman" w:cs="Times New Roman"/>
                <w:color w:val="000000"/>
                <w:sz w:val="20"/>
                <w:szCs w:val="20"/>
                <w:lang w:eastAsia="en-GB"/>
              </w:rPr>
              <w:t>2017</w:t>
            </w:r>
          </w:p>
        </w:tc>
        <w:tc>
          <w:tcPr>
            <w:tcW w:w="1440" w:type="dxa"/>
            <w:tcBorders>
              <w:top w:val="nil"/>
              <w:left w:val="nil"/>
              <w:bottom w:val="single" w:sz="4" w:space="0" w:color="auto"/>
              <w:right w:val="single" w:sz="4" w:space="0" w:color="auto"/>
            </w:tcBorders>
            <w:shd w:val="clear" w:color="000000" w:fill="FFFFFF"/>
            <w:vAlign w:val="center"/>
            <w:hideMark/>
          </w:tcPr>
          <w:p w:rsidR="00F964BF" w:rsidRPr="008E7FE6" w:rsidRDefault="00F964BF" w:rsidP="00E757DE">
            <w:pPr>
              <w:spacing w:line="240" w:lineRule="auto"/>
              <w:jc w:val="center"/>
              <w:rPr>
                <w:rFonts w:eastAsia="Times New Roman" w:cs="Times New Roman"/>
                <w:color w:val="000000"/>
                <w:sz w:val="20"/>
                <w:szCs w:val="20"/>
                <w:lang w:eastAsia="en-GB"/>
              </w:rPr>
            </w:pPr>
            <w:r w:rsidRPr="008E7FE6">
              <w:rPr>
                <w:rFonts w:eastAsia="Times New Roman" w:cs="Times New Roman"/>
                <w:color w:val="000000"/>
                <w:sz w:val="20"/>
                <w:szCs w:val="20"/>
                <w:lang w:eastAsia="en-GB"/>
              </w:rPr>
              <w:t>15</w:t>
            </w:r>
          </w:p>
        </w:tc>
        <w:tc>
          <w:tcPr>
            <w:tcW w:w="960" w:type="dxa"/>
            <w:tcBorders>
              <w:top w:val="nil"/>
              <w:left w:val="nil"/>
              <w:bottom w:val="single" w:sz="4" w:space="0" w:color="auto"/>
              <w:right w:val="single" w:sz="4" w:space="0" w:color="auto"/>
            </w:tcBorders>
            <w:shd w:val="clear" w:color="auto" w:fill="auto"/>
            <w:noWrap/>
            <w:vAlign w:val="bottom"/>
            <w:hideMark/>
          </w:tcPr>
          <w:p w:rsidR="00F964BF" w:rsidRPr="008E7FE6" w:rsidRDefault="00F964BF" w:rsidP="00E757DE">
            <w:pPr>
              <w:spacing w:line="240" w:lineRule="auto"/>
              <w:jc w:val="center"/>
              <w:rPr>
                <w:rFonts w:eastAsia="Times New Roman" w:cs="Times New Roman"/>
                <w:color w:val="000000"/>
                <w:sz w:val="20"/>
                <w:szCs w:val="20"/>
                <w:lang w:eastAsia="en-GB"/>
              </w:rPr>
            </w:pPr>
            <w:r w:rsidRPr="008E7FE6">
              <w:rPr>
                <w:rFonts w:eastAsia="Times New Roman" w:cs="Times New Roman"/>
                <w:color w:val="000000"/>
                <w:sz w:val="20"/>
                <w:szCs w:val="20"/>
                <w:lang w:eastAsia="en-GB"/>
              </w:rPr>
              <w:t>3</w:t>
            </w:r>
          </w:p>
        </w:tc>
      </w:tr>
      <w:tr w:rsidR="00F964BF" w:rsidRPr="008E7FE6" w:rsidTr="00E757DE">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F964BF" w:rsidRPr="008E7FE6" w:rsidRDefault="00F964BF" w:rsidP="00E757DE">
            <w:pPr>
              <w:spacing w:line="240" w:lineRule="auto"/>
              <w:jc w:val="center"/>
              <w:rPr>
                <w:rFonts w:eastAsia="Times New Roman" w:cs="Times New Roman"/>
                <w:color w:val="000000"/>
                <w:sz w:val="20"/>
                <w:szCs w:val="20"/>
                <w:lang w:eastAsia="en-GB"/>
              </w:rPr>
            </w:pPr>
            <w:r w:rsidRPr="008E7FE6">
              <w:rPr>
                <w:rFonts w:eastAsia="Times New Roman" w:cs="Times New Roman"/>
                <w:color w:val="000000"/>
                <w:sz w:val="20"/>
                <w:szCs w:val="20"/>
                <w:lang w:eastAsia="en-GB"/>
              </w:rPr>
              <w:t>2018</w:t>
            </w:r>
          </w:p>
        </w:tc>
        <w:tc>
          <w:tcPr>
            <w:tcW w:w="1440" w:type="dxa"/>
            <w:tcBorders>
              <w:top w:val="nil"/>
              <w:left w:val="nil"/>
              <w:bottom w:val="single" w:sz="4" w:space="0" w:color="auto"/>
              <w:right w:val="single" w:sz="4" w:space="0" w:color="auto"/>
            </w:tcBorders>
            <w:shd w:val="clear" w:color="000000" w:fill="FFFFFF"/>
            <w:vAlign w:val="center"/>
            <w:hideMark/>
          </w:tcPr>
          <w:p w:rsidR="00F964BF" w:rsidRPr="008E7FE6" w:rsidRDefault="00F964BF" w:rsidP="00E757DE">
            <w:pPr>
              <w:spacing w:line="240" w:lineRule="auto"/>
              <w:jc w:val="center"/>
              <w:rPr>
                <w:rFonts w:eastAsia="Times New Roman" w:cs="Times New Roman"/>
                <w:color w:val="000000"/>
                <w:sz w:val="20"/>
                <w:szCs w:val="20"/>
                <w:lang w:eastAsia="en-GB"/>
              </w:rPr>
            </w:pPr>
            <w:r w:rsidRPr="008E7FE6">
              <w:rPr>
                <w:rFonts w:eastAsia="Times New Roman" w:cs="Times New Roman"/>
                <w:color w:val="000000"/>
                <w:sz w:val="20"/>
                <w:szCs w:val="20"/>
                <w:lang w:eastAsia="en-GB"/>
              </w:rPr>
              <w:t>7</w:t>
            </w:r>
          </w:p>
        </w:tc>
        <w:tc>
          <w:tcPr>
            <w:tcW w:w="960" w:type="dxa"/>
            <w:tcBorders>
              <w:top w:val="nil"/>
              <w:left w:val="nil"/>
              <w:bottom w:val="single" w:sz="4" w:space="0" w:color="auto"/>
              <w:right w:val="single" w:sz="4" w:space="0" w:color="auto"/>
            </w:tcBorders>
            <w:shd w:val="clear" w:color="auto" w:fill="auto"/>
            <w:noWrap/>
            <w:vAlign w:val="bottom"/>
            <w:hideMark/>
          </w:tcPr>
          <w:p w:rsidR="00F964BF" w:rsidRPr="008E7FE6" w:rsidRDefault="00F964BF" w:rsidP="00E757DE">
            <w:pPr>
              <w:spacing w:line="240" w:lineRule="auto"/>
              <w:jc w:val="center"/>
              <w:rPr>
                <w:rFonts w:eastAsia="Times New Roman" w:cs="Times New Roman"/>
                <w:color w:val="000000"/>
                <w:sz w:val="20"/>
                <w:szCs w:val="20"/>
                <w:lang w:eastAsia="en-GB"/>
              </w:rPr>
            </w:pPr>
            <w:r w:rsidRPr="008E7FE6">
              <w:rPr>
                <w:rFonts w:eastAsia="Times New Roman" w:cs="Times New Roman"/>
                <w:color w:val="000000"/>
                <w:sz w:val="20"/>
                <w:szCs w:val="20"/>
                <w:lang w:eastAsia="en-GB"/>
              </w:rPr>
              <w:t>1</w:t>
            </w:r>
          </w:p>
        </w:tc>
      </w:tr>
      <w:tr w:rsidR="00F964BF" w:rsidRPr="008E7FE6" w:rsidTr="00E757DE">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964BF" w:rsidRPr="008E7FE6" w:rsidRDefault="00F964BF" w:rsidP="00E757DE">
            <w:pPr>
              <w:spacing w:line="240" w:lineRule="auto"/>
              <w:jc w:val="center"/>
              <w:rPr>
                <w:rFonts w:eastAsia="Times New Roman" w:cs="Times New Roman"/>
                <w:color w:val="000000"/>
                <w:sz w:val="20"/>
                <w:szCs w:val="20"/>
                <w:lang w:eastAsia="en-GB"/>
              </w:rPr>
            </w:pPr>
            <w:r w:rsidRPr="008E7FE6">
              <w:rPr>
                <w:rFonts w:eastAsia="Times New Roman" w:cs="Times New Roman"/>
                <w:color w:val="000000"/>
                <w:sz w:val="20"/>
                <w:szCs w:val="20"/>
                <w:lang w:eastAsia="en-GB"/>
              </w:rPr>
              <w:t>RAZEM</w:t>
            </w:r>
          </w:p>
        </w:tc>
        <w:tc>
          <w:tcPr>
            <w:tcW w:w="1440" w:type="dxa"/>
            <w:tcBorders>
              <w:top w:val="nil"/>
              <w:left w:val="nil"/>
              <w:bottom w:val="single" w:sz="4" w:space="0" w:color="auto"/>
              <w:right w:val="single" w:sz="4" w:space="0" w:color="auto"/>
            </w:tcBorders>
            <w:shd w:val="clear" w:color="auto" w:fill="auto"/>
            <w:noWrap/>
            <w:vAlign w:val="bottom"/>
            <w:hideMark/>
          </w:tcPr>
          <w:p w:rsidR="00F964BF" w:rsidRPr="008E7FE6" w:rsidRDefault="00F964BF" w:rsidP="00E757DE">
            <w:pPr>
              <w:spacing w:line="240" w:lineRule="auto"/>
              <w:jc w:val="center"/>
              <w:rPr>
                <w:rFonts w:eastAsia="Times New Roman" w:cs="Times New Roman"/>
                <w:color w:val="000000"/>
                <w:sz w:val="20"/>
                <w:szCs w:val="20"/>
                <w:lang w:eastAsia="en-GB"/>
              </w:rPr>
            </w:pPr>
            <w:r w:rsidRPr="008E7FE6">
              <w:rPr>
                <w:rFonts w:eastAsia="Times New Roman" w:cs="Times New Roman"/>
                <w:color w:val="000000"/>
                <w:sz w:val="20"/>
                <w:szCs w:val="20"/>
                <w:lang w:eastAsia="en-GB"/>
              </w:rPr>
              <w:t>466</w:t>
            </w:r>
          </w:p>
        </w:tc>
        <w:tc>
          <w:tcPr>
            <w:tcW w:w="960" w:type="dxa"/>
            <w:tcBorders>
              <w:top w:val="nil"/>
              <w:left w:val="nil"/>
              <w:bottom w:val="single" w:sz="4" w:space="0" w:color="auto"/>
              <w:right w:val="single" w:sz="4" w:space="0" w:color="auto"/>
            </w:tcBorders>
            <w:shd w:val="clear" w:color="auto" w:fill="auto"/>
            <w:noWrap/>
            <w:vAlign w:val="bottom"/>
            <w:hideMark/>
          </w:tcPr>
          <w:p w:rsidR="00F964BF" w:rsidRPr="008E7FE6" w:rsidRDefault="00F964BF" w:rsidP="00E757DE">
            <w:pPr>
              <w:spacing w:line="240" w:lineRule="auto"/>
              <w:jc w:val="center"/>
              <w:rPr>
                <w:rFonts w:eastAsia="Times New Roman" w:cs="Times New Roman"/>
                <w:color w:val="000000"/>
                <w:sz w:val="20"/>
                <w:szCs w:val="20"/>
                <w:lang w:eastAsia="en-GB"/>
              </w:rPr>
            </w:pPr>
            <w:r w:rsidRPr="008E7FE6">
              <w:rPr>
                <w:rFonts w:eastAsia="Times New Roman" w:cs="Times New Roman"/>
                <w:color w:val="000000"/>
                <w:sz w:val="20"/>
                <w:szCs w:val="20"/>
                <w:lang w:eastAsia="en-GB"/>
              </w:rPr>
              <w:t>54</w:t>
            </w:r>
          </w:p>
        </w:tc>
      </w:tr>
    </w:tbl>
    <w:p w:rsidR="00F964BF" w:rsidRDefault="00F964BF" w:rsidP="00F964BF">
      <w:pPr>
        <w:autoSpaceDE w:val="0"/>
        <w:autoSpaceDN w:val="0"/>
        <w:adjustRightInd w:val="0"/>
        <w:spacing w:line="360" w:lineRule="auto"/>
        <w:jc w:val="center"/>
        <w:rPr>
          <w:rFonts w:cs="Times New Roman"/>
          <w:szCs w:val="24"/>
        </w:rPr>
      </w:pPr>
    </w:p>
    <w:p w:rsidR="00F964BF" w:rsidRPr="0057656B" w:rsidRDefault="00F964BF" w:rsidP="00F964BF">
      <w:pPr>
        <w:autoSpaceDE w:val="0"/>
        <w:autoSpaceDN w:val="0"/>
        <w:adjustRightInd w:val="0"/>
        <w:spacing w:line="360" w:lineRule="auto"/>
        <w:rPr>
          <w:rFonts w:cs="Times New Roman"/>
          <w:sz w:val="20"/>
          <w:szCs w:val="20"/>
        </w:rPr>
      </w:pPr>
      <w:r w:rsidRPr="0057656B">
        <w:rPr>
          <w:rFonts w:cs="Times New Roman"/>
          <w:sz w:val="20"/>
          <w:szCs w:val="20"/>
        </w:rPr>
        <w:t>Źródło: opracowanie własne na podstawie danych GPW w Warszawie oraz PSIK.</w:t>
      </w:r>
    </w:p>
    <w:p w:rsidR="00F964BF" w:rsidRDefault="00F964BF" w:rsidP="00F964BF">
      <w:pPr>
        <w:autoSpaceDE w:val="0"/>
        <w:autoSpaceDN w:val="0"/>
        <w:adjustRightInd w:val="0"/>
        <w:spacing w:line="360" w:lineRule="auto"/>
        <w:rPr>
          <w:rFonts w:cs="Times New Roman"/>
          <w:szCs w:val="24"/>
        </w:rPr>
      </w:pPr>
    </w:p>
    <w:p w:rsidR="00F964BF" w:rsidRDefault="00F964BF" w:rsidP="00BF12A7">
      <w:pPr>
        <w:autoSpaceDE w:val="0"/>
        <w:autoSpaceDN w:val="0"/>
        <w:adjustRightInd w:val="0"/>
        <w:spacing w:line="360" w:lineRule="auto"/>
        <w:ind w:firstLine="708"/>
        <w:rPr>
          <w:rFonts w:cs="Times New Roman"/>
          <w:szCs w:val="24"/>
        </w:rPr>
      </w:pPr>
      <w:r>
        <w:rPr>
          <w:rFonts w:cs="Times New Roman"/>
          <w:szCs w:val="24"/>
        </w:rPr>
        <w:t xml:space="preserve">Analizując liczbę debiutów spółek zasilanych funduszami PE należy stwierdzić, iż liczba i czas dokonania debiutu giełdowego uzależniony jest od stanu rynku giełdowego. Można stwierdzić, iż najwyższa aktywność funduszy w przeprowadzeniu transakcji </w:t>
      </w:r>
      <w:proofErr w:type="spellStart"/>
      <w:r>
        <w:rPr>
          <w:rFonts w:cs="Times New Roman"/>
          <w:szCs w:val="24"/>
        </w:rPr>
        <w:t>dezinwestycji</w:t>
      </w:r>
      <w:proofErr w:type="spellEnd"/>
      <w:r>
        <w:rPr>
          <w:rFonts w:cs="Times New Roman"/>
          <w:szCs w:val="24"/>
        </w:rPr>
        <w:t xml:space="preserve"> posiadanych udziałów metoda IPO przypada na okresy dobrej koniunktury na rynku giełdowym. Wraz ze spadkiem liczby debiutów spada liczba </w:t>
      </w:r>
      <w:proofErr w:type="spellStart"/>
      <w:r>
        <w:rPr>
          <w:rFonts w:cs="Times New Roman"/>
          <w:szCs w:val="24"/>
        </w:rPr>
        <w:t>dezinwestycji</w:t>
      </w:r>
      <w:proofErr w:type="spellEnd"/>
      <w:r>
        <w:rPr>
          <w:rFonts w:cs="Times New Roman"/>
          <w:szCs w:val="24"/>
        </w:rPr>
        <w:t xml:space="preserve"> za pomocą transakcji pierwszej oferty publicznej. </w:t>
      </w:r>
    </w:p>
    <w:p w:rsidR="00F964BF" w:rsidRPr="00F93FBE" w:rsidRDefault="00F964BF" w:rsidP="00BF12A7">
      <w:pPr>
        <w:autoSpaceDE w:val="0"/>
        <w:autoSpaceDN w:val="0"/>
        <w:adjustRightInd w:val="0"/>
        <w:spacing w:line="360" w:lineRule="auto"/>
        <w:rPr>
          <w:rFonts w:cs="Times New Roman"/>
          <w:szCs w:val="24"/>
        </w:rPr>
      </w:pPr>
      <w:r w:rsidRPr="00A70C9F">
        <w:rPr>
          <w:rFonts w:cs="Times New Roman"/>
          <w:szCs w:val="24"/>
        </w:rPr>
        <w:t>W ocenie wysokości niedoszacowania ceny emisyjnej akcji posłużono się w pierwszej kolejności analizą pierwotnej stopy zwro</w:t>
      </w:r>
      <w:r>
        <w:rPr>
          <w:rFonts w:cs="Times New Roman"/>
          <w:szCs w:val="24"/>
        </w:rPr>
        <w:t>tu</w:t>
      </w:r>
      <w:r w:rsidRPr="00A70C9F">
        <w:rPr>
          <w:rFonts w:cs="Times New Roman"/>
          <w:szCs w:val="24"/>
        </w:rPr>
        <w:t xml:space="preserve">. Niedoszacowanie ceny emisyjnej portfela akcji podczas pierwszej oferty publicznej, mierzone pierwotną stopą zwrotu dla lat 2000-2018 dotyczyło  </w:t>
      </w:r>
      <w:r>
        <w:rPr>
          <w:rFonts w:cs="Times New Roman"/>
          <w:szCs w:val="24"/>
        </w:rPr>
        <w:t>412</w:t>
      </w:r>
      <w:r w:rsidRPr="00A70C9F">
        <w:rPr>
          <w:rFonts w:cs="Times New Roman"/>
          <w:szCs w:val="24"/>
        </w:rPr>
        <w:t xml:space="preserve"> spółek niezasilanych funduszami PE</w:t>
      </w:r>
      <w:r>
        <w:rPr>
          <w:rFonts w:cs="Times New Roman"/>
          <w:szCs w:val="24"/>
        </w:rPr>
        <w:t xml:space="preserve"> oraz 54</w:t>
      </w:r>
      <w:r w:rsidRPr="00A70C9F">
        <w:rPr>
          <w:rFonts w:cs="Times New Roman"/>
          <w:szCs w:val="24"/>
        </w:rPr>
        <w:t xml:space="preserve"> zasilanych funduszami PE. Przeciętne niedoszacowanie ceny w przypadku spółek niezasilanych funduszami PE wyniosło 9,99% a w przypadku spółek zasilanych funduszami PE było ono niższe i wyniosło 9,11%. Można tu sformułować hipotezę, że w drugim przypadku inwestorzy wychodzący ze spółki przedkładali potrzebę </w:t>
      </w:r>
      <w:proofErr w:type="spellStart"/>
      <w:r w:rsidRPr="00A70C9F">
        <w:rPr>
          <w:rFonts w:cs="Times New Roman"/>
          <w:szCs w:val="24"/>
        </w:rPr>
        <w:t>dezinwestycji</w:t>
      </w:r>
      <w:proofErr w:type="spellEnd"/>
      <w:r w:rsidRPr="00A70C9F">
        <w:rPr>
          <w:rFonts w:cs="Times New Roman"/>
          <w:szCs w:val="24"/>
        </w:rPr>
        <w:t xml:space="preserve"> ponad cenę sprzedaży i akceptowali jej relatywnie niski poziom. Inwestorzy największą pierwotną stopę zwrotu osiągali w okresie dobrej koniunktury na rynku akcji (2006 r. i pierwsza połowa 2007 r.). Najniższe stopy zwrotu wystąpiły w roku </w:t>
      </w:r>
      <w:r w:rsidRPr="00A70C9F">
        <w:rPr>
          <w:rFonts w:cs="Times New Roman"/>
          <w:szCs w:val="24"/>
        </w:rPr>
        <w:lastRenderedPageBreak/>
        <w:t xml:space="preserve">2008, czyli w okresie całorocznego kryzysu. W roku 2017 pierwotne stopy zwrotu były ujemne i </w:t>
      </w:r>
      <w:r>
        <w:rPr>
          <w:rFonts w:cs="Times New Roman"/>
          <w:szCs w:val="24"/>
        </w:rPr>
        <w:t xml:space="preserve">transakcje </w:t>
      </w:r>
      <w:r w:rsidRPr="00A70C9F">
        <w:rPr>
          <w:rFonts w:cs="Times New Roman"/>
          <w:szCs w:val="24"/>
        </w:rPr>
        <w:t>IPO zanotowało średnią stopę zwrotu na poziomie -0,05%. Należy wskazać, iż spółki za</w:t>
      </w:r>
      <w:r>
        <w:rPr>
          <w:rFonts w:cs="Times New Roman"/>
          <w:szCs w:val="24"/>
        </w:rPr>
        <w:t xml:space="preserve">silane funduszami PE w 2017 r. </w:t>
      </w:r>
      <w:r w:rsidRPr="00A70C9F">
        <w:rPr>
          <w:rFonts w:cs="Times New Roman"/>
          <w:szCs w:val="24"/>
        </w:rPr>
        <w:t xml:space="preserve">miały średnią na poziomie 2,33%. </w:t>
      </w:r>
      <w:r>
        <w:rPr>
          <w:rFonts w:cs="Times New Roman"/>
          <w:szCs w:val="24"/>
        </w:rPr>
        <w:t>Udział IPO spółek zasilanych funduszami wysokiego ryzyka w badanym okresie wzrósł w porównaniu z wcześniejszymi latami, gdzie w latach 2006-2012 udział ich wynosił nie więcej niż 10% a w okresie 2015-2018 wyniósł on średnio 16,6%. Analizując stopy zwrotu 54</w:t>
      </w:r>
      <w:r w:rsidRPr="00F93FBE">
        <w:rPr>
          <w:rFonts w:cs="Times New Roman"/>
          <w:szCs w:val="24"/>
        </w:rPr>
        <w:t xml:space="preserve"> spółek z</w:t>
      </w:r>
      <w:r>
        <w:rPr>
          <w:rFonts w:cs="Times New Roman"/>
          <w:szCs w:val="24"/>
        </w:rPr>
        <w:t>asilanych funduszami VC oraz 416</w:t>
      </w:r>
      <w:r w:rsidRPr="00F93FBE">
        <w:rPr>
          <w:rFonts w:cs="Times New Roman"/>
          <w:szCs w:val="24"/>
        </w:rPr>
        <w:t xml:space="preserve"> spółek nie posiadających wsparcia funduszy w</w:t>
      </w:r>
      <w:r>
        <w:rPr>
          <w:rFonts w:cs="Times New Roman"/>
          <w:szCs w:val="24"/>
        </w:rPr>
        <w:t>ysokiego ryzyka w okresie 2000-2018</w:t>
      </w:r>
      <w:r w:rsidRPr="00F93FBE">
        <w:rPr>
          <w:rFonts w:cs="Times New Roman"/>
          <w:szCs w:val="24"/>
        </w:rPr>
        <w:t xml:space="preserve"> należy stwierdzić, iż spółki tradycyjne osiągnęły </w:t>
      </w:r>
      <w:r>
        <w:rPr>
          <w:rFonts w:cs="Times New Roman"/>
          <w:szCs w:val="24"/>
        </w:rPr>
        <w:t>w całym okresie badania nieznacznie wyższy</w:t>
      </w:r>
      <w:r w:rsidRPr="00F93FBE">
        <w:rPr>
          <w:rFonts w:cs="Times New Roman"/>
          <w:szCs w:val="24"/>
        </w:rPr>
        <w:t xml:space="preserve"> poziom niedoszacowania. Dla spółek szerokiego rynku poziom niedoszacowania pierwsz</w:t>
      </w:r>
      <w:r>
        <w:rPr>
          <w:rFonts w:cs="Times New Roman"/>
          <w:szCs w:val="24"/>
        </w:rPr>
        <w:t>ej oferty publicznej wyniósł 9,99</w:t>
      </w:r>
      <w:r w:rsidRPr="00F93FBE">
        <w:rPr>
          <w:rFonts w:cs="Times New Roman"/>
          <w:szCs w:val="24"/>
        </w:rPr>
        <w:t xml:space="preserve">% a dla spółek z kapitałem </w:t>
      </w:r>
      <w:r>
        <w:rPr>
          <w:rFonts w:cs="Times New Roman"/>
          <w:szCs w:val="24"/>
        </w:rPr>
        <w:t>PE już tylko 9,1</w:t>
      </w:r>
      <w:r w:rsidRPr="00F93FBE">
        <w:rPr>
          <w:rFonts w:cs="Times New Roman"/>
          <w:szCs w:val="24"/>
        </w:rPr>
        <w:t xml:space="preserve">%. Porównując to z badaniami przeprowadzonymi przez R. </w:t>
      </w:r>
      <w:proofErr w:type="spellStart"/>
      <w:r w:rsidRPr="00F93FBE">
        <w:rPr>
          <w:rFonts w:cs="Times New Roman"/>
          <w:szCs w:val="24"/>
        </w:rPr>
        <w:t>Sieradzieg</w:t>
      </w:r>
      <w:r>
        <w:rPr>
          <w:rFonts w:cs="Times New Roman"/>
          <w:szCs w:val="24"/>
        </w:rPr>
        <w:t>o</w:t>
      </w:r>
      <w:proofErr w:type="spellEnd"/>
      <w:r>
        <w:rPr>
          <w:rFonts w:cs="Times New Roman"/>
          <w:szCs w:val="24"/>
        </w:rPr>
        <w:t xml:space="preserve"> oraz P. Zasępa dla okresu 2003</w:t>
      </w:r>
      <w:r w:rsidRPr="00F93FBE">
        <w:rPr>
          <w:rFonts w:cs="Times New Roman"/>
          <w:szCs w:val="24"/>
        </w:rPr>
        <w:t xml:space="preserve">-2011 sytuacja </w:t>
      </w:r>
      <w:r>
        <w:rPr>
          <w:rFonts w:cs="Times New Roman"/>
          <w:szCs w:val="24"/>
        </w:rPr>
        <w:t xml:space="preserve">w badanym okresie </w:t>
      </w:r>
      <w:r w:rsidRPr="00F93FBE">
        <w:rPr>
          <w:rFonts w:cs="Times New Roman"/>
          <w:szCs w:val="24"/>
        </w:rPr>
        <w:t>zmieniła się diametralnie</w:t>
      </w:r>
      <w:r>
        <w:rPr>
          <w:rStyle w:val="Odwoanieprzypisudolnego"/>
          <w:rFonts w:cs="Times New Roman"/>
          <w:szCs w:val="24"/>
        </w:rPr>
        <w:footnoteReference w:id="9"/>
      </w:r>
      <w:r w:rsidRPr="00F93FBE">
        <w:rPr>
          <w:rFonts w:cs="Times New Roman"/>
          <w:szCs w:val="24"/>
        </w:rPr>
        <w:t>. Średnia dla spółek niezasilanych funduszami wyniosła dla tego okresu 14,5%, a dla spółek zasilanych funduszami VC/PE 11,5% z odchyleniem standardowym 5</w:t>
      </w:r>
      <w:r>
        <w:rPr>
          <w:rFonts w:cs="Times New Roman"/>
          <w:szCs w:val="24"/>
        </w:rPr>
        <w:t>%</w:t>
      </w:r>
      <w:r w:rsidRPr="00F93FBE">
        <w:rPr>
          <w:rFonts w:cs="Times New Roman"/>
          <w:szCs w:val="24"/>
        </w:rPr>
        <w:t>. Podstawowe statystki rozkładu stóp zwrotu prezentuj</w:t>
      </w:r>
      <w:r>
        <w:rPr>
          <w:rFonts w:cs="Times New Roman"/>
          <w:szCs w:val="24"/>
        </w:rPr>
        <w:t>e</w:t>
      </w:r>
      <w:r w:rsidRPr="00F93FBE">
        <w:rPr>
          <w:rFonts w:cs="Times New Roman"/>
          <w:szCs w:val="24"/>
        </w:rPr>
        <w:t xml:space="preserve"> tabela </w:t>
      </w:r>
      <w:r>
        <w:rPr>
          <w:rFonts w:cs="Times New Roman"/>
          <w:szCs w:val="24"/>
        </w:rPr>
        <w:t>2</w:t>
      </w:r>
      <w:r w:rsidRPr="00F93FBE">
        <w:rPr>
          <w:rFonts w:cs="Times New Roman"/>
          <w:szCs w:val="24"/>
        </w:rPr>
        <w:t xml:space="preserve">. </w:t>
      </w:r>
    </w:p>
    <w:p w:rsidR="00F964BF" w:rsidRPr="005C1D9D" w:rsidRDefault="00F964BF" w:rsidP="00F964BF">
      <w:pPr>
        <w:spacing w:line="360" w:lineRule="auto"/>
        <w:rPr>
          <w:rFonts w:cs="Times New Roman"/>
          <w:szCs w:val="24"/>
        </w:rPr>
      </w:pPr>
      <w:r w:rsidRPr="005C1D9D">
        <w:rPr>
          <w:rFonts w:cs="Times New Roman"/>
          <w:szCs w:val="24"/>
        </w:rPr>
        <w:t>Tabela 2.  Statystyki spółek dokonujących IPO na GPW w Warszawie w latach 2000-2018</w:t>
      </w:r>
    </w:p>
    <w:tbl>
      <w:tblPr>
        <w:tblW w:w="7393" w:type="dxa"/>
        <w:jc w:val="center"/>
        <w:tblInd w:w="-452" w:type="dxa"/>
        <w:tblLook w:val="04A0" w:firstRow="1" w:lastRow="0" w:firstColumn="1" w:lastColumn="0" w:noHBand="0" w:noVBand="1"/>
      </w:tblPr>
      <w:tblGrid>
        <w:gridCol w:w="3547"/>
        <w:gridCol w:w="1880"/>
        <w:gridCol w:w="1966"/>
      </w:tblGrid>
      <w:tr w:rsidR="00F964BF" w:rsidRPr="00D96E2E" w:rsidTr="00E757DE">
        <w:trPr>
          <w:trHeight w:val="300"/>
          <w:jc w:val="center"/>
        </w:trPr>
        <w:tc>
          <w:tcPr>
            <w:tcW w:w="35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964BF" w:rsidRPr="00D96E2E" w:rsidRDefault="00F964BF" w:rsidP="00E757DE">
            <w:pPr>
              <w:spacing w:line="240" w:lineRule="auto"/>
              <w:jc w:val="center"/>
              <w:rPr>
                <w:rFonts w:eastAsia="Times New Roman" w:cs="Times New Roman"/>
                <w:color w:val="000000"/>
                <w:sz w:val="20"/>
                <w:szCs w:val="20"/>
                <w:lang w:eastAsia="en-GB"/>
              </w:rPr>
            </w:pPr>
            <w:r w:rsidRPr="00D96E2E">
              <w:rPr>
                <w:rFonts w:eastAsia="Times New Roman" w:cs="Times New Roman"/>
                <w:color w:val="000000"/>
                <w:sz w:val="20"/>
                <w:szCs w:val="20"/>
                <w:lang w:eastAsia="en-GB"/>
              </w:rPr>
              <w:t>Okres</w:t>
            </w:r>
          </w:p>
        </w:tc>
        <w:tc>
          <w:tcPr>
            <w:tcW w:w="1880" w:type="dxa"/>
            <w:tcBorders>
              <w:top w:val="single" w:sz="4" w:space="0" w:color="auto"/>
              <w:left w:val="nil"/>
              <w:bottom w:val="single" w:sz="4" w:space="0" w:color="auto"/>
              <w:right w:val="single" w:sz="4" w:space="0" w:color="auto"/>
            </w:tcBorders>
            <w:shd w:val="clear" w:color="auto" w:fill="auto"/>
            <w:noWrap/>
            <w:vAlign w:val="bottom"/>
            <w:hideMark/>
          </w:tcPr>
          <w:p w:rsidR="00F964BF" w:rsidRPr="00D96E2E" w:rsidRDefault="00F964BF" w:rsidP="00E757DE">
            <w:pPr>
              <w:spacing w:line="240" w:lineRule="auto"/>
              <w:jc w:val="center"/>
              <w:rPr>
                <w:rFonts w:eastAsia="Times New Roman" w:cs="Times New Roman"/>
                <w:color w:val="000000"/>
                <w:sz w:val="20"/>
                <w:szCs w:val="20"/>
                <w:lang w:eastAsia="en-GB"/>
              </w:rPr>
            </w:pPr>
            <w:r w:rsidRPr="00D96E2E">
              <w:rPr>
                <w:rFonts w:eastAsia="Times New Roman" w:cs="Times New Roman"/>
                <w:color w:val="000000"/>
                <w:sz w:val="20"/>
                <w:szCs w:val="20"/>
                <w:lang w:eastAsia="en-GB"/>
              </w:rPr>
              <w:t>2000-2018</w:t>
            </w:r>
          </w:p>
        </w:tc>
        <w:tc>
          <w:tcPr>
            <w:tcW w:w="1966" w:type="dxa"/>
            <w:tcBorders>
              <w:top w:val="single" w:sz="4" w:space="0" w:color="auto"/>
              <w:left w:val="nil"/>
              <w:bottom w:val="single" w:sz="4" w:space="0" w:color="auto"/>
              <w:right w:val="single" w:sz="4" w:space="0" w:color="auto"/>
            </w:tcBorders>
            <w:shd w:val="clear" w:color="auto" w:fill="auto"/>
            <w:noWrap/>
            <w:vAlign w:val="bottom"/>
            <w:hideMark/>
          </w:tcPr>
          <w:p w:rsidR="00F964BF" w:rsidRPr="00D96E2E" w:rsidRDefault="00F964BF" w:rsidP="00E757DE">
            <w:pPr>
              <w:spacing w:line="240" w:lineRule="auto"/>
              <w:jc w:val="center"/>
              <w:rPr>
                <w:rFonts w:eastAsia="Times New Roman" w:cs="Times New Roman"/>
                <w:color w:val="000000"/>
                <w:sz w:val="20"/>
                <w:szCs w:val="20"/>
                <w:lang w:eastAsia="en-GB"/>
              </w:rPr>
            </w:pPr>
            <w:r w:rsidRPr="00D96E2E">
              <w:rPr>
                <w:rFonts w:eastAsia="Times New Roman" w:cs="Times New Roman"/>
                <w:color w:val="000000"/>
                <w:sz w:val="20"/>
                <w:szCs w:val="20"/>
                <w:lang w:eastAsia="en-GB"/>
              </w:rPr>
              <w:t>2003-2014</w:t>
            </w:r>
          </w:p>
        </w:tc>
      </w:tr>
      <w:tr w:rsidR="00F964BF" w:rsidRPr="00D96E2E" w:rsidTr="00E757DE">
        <w:trPr>
          <w:trHeight w:val="300"/>
          <w:jc w:val="center"/>
        </w:trPr>
        <w:tc>
          <w:tcPr>
            <w:tcW w:w="3547" w:type="dxa"/>
            <w:tcBorders>
              <w:top w:val="nil"/>
              <w:left w:val="single" w:sz="4" w:space="0" w:color="auto"/>
              <w:bottom w:val="single" w:sz="4" w:space="0" w:color="auto"/>
              <w:right w:val="single" w:sz="4" w:space="0" w:color="auto"/>
            </w:tcBorders>
            <w:shd w:val="clear" w:color="auto" w:fill="auto"/>
            <w:noWrap/>
            <w:vAlign w:val="center"/>
            <w:hideMark/>
          </w:tcPr>
          <w:p w:rsidR="00F964BF" w:rsidRPr="00D96E2E" w:rsidRDefault="00F964BF" w:rsidP="00E757DE">
            <w:pPr>
              <w:spacing w:line="240" w:lineRule="auto"/>
              <w:jc w:val="center"/>
              <w:rPr>
                <w:rFonts w:eastAsia="Times New Roman" w:cs="Times New Roman"/>
                <w:color w:val="000000"/>
                <w:sz w:val="20"/>
                <w:szCs w:val="20"/>
                <w:lang w:eastAsia="en-GB"/>
              </w:rPr>
            </w:pPr>
            <w:r w:rsidRPr="00D96E2E">
              <w:rPr>
                <w:rFonts w:eastAsia="Times New Roman" w:cs="Times New Roman"/>
                <w:color w:val="000000"/>
                <w:sz w:val="20"/>
                <w:szCs w:val="20"/>
                <w:lang w:eastAsia="en-GB"/>
              </w:rPr>
              <w:t>Niedoszacowanie IPO</w:t>
            </w:r>
          </w:p>
        </w:tc>
        <w:tc>
          <w:tcPr>
            <w:tcW w:w="1880" w:type="dxa"/>
            <w:tcBorders>
              <w:top w:val="nil"/>
              <w:left w:val="nil"/>
              <w:bottom w:val="single" w:sz="4" w:space="0" w:color="auto"/>
              <w:right w:val="single" w:sz="4" w:space="0" w:color="auto"/>
            </w:tcBorders>
            <w:shd w:val="clear" w:color="auto" w:fill="auto"/>
            <w:noWrap/>
            <w:vAlign w:val="center"/>
            <w:hideMark/>
          </w:tcPr>
          <w:p w:rsidR="00F964BF" w:rsidRPr="00D96E2E" w:rsidRDefault="00F964BF" w:rsidP="00E757DE">
            <w:pPr>
              <w:spacing w:line="240" w:lineRule="auto"/>
              <w:jc w:val="center"/>
              <w:rPr>
                <w:rFonts w:eastAsia="Times New Roman" w:cs="Times New Roman"/>
                <w:color w:val="000000"/>
                <w:sz w:val="20"/>
                <w:szCs w:val="20"/>
                <w:lang w:eastAsia="en-GB"/>
              </w:rPr>
            </w:pPr>
            <w:r w:rsidRPr="00D96E2E">
              <w:rPr>
                <w:rFonts w:eastAsia="Times New Roman" w:cs="Times New Roman"/>
                <w:color w:val="000000"/>
                <w:sz w:val="20"/>
                <w:szCs w:val="20"/>
                <w:lang w:eastAsia="en-GB"/>
              </w:rPr>
              <w:t>9,99%</w:t>
            </w:r>
          </w:p>
        </w:tc>
        <w:tc>
          <w:tcPr>
            <w:tcW w:w="1966" w:type="dxa"/>
            <w:tcBorders>
              <w:top w:val="nil"/>
              <w:left w:val="nil"/>
              <w:bottom w:val="single" w:sz="4" w:space="0" w:color="auto"/>
              <w:right w:val="single" w:sz="4" w:space="0" w:color="auto"/>
            </w:tcBorders>
            <w:shd w:val="clear" w:color="auto" w:fill="auto"/>
            <w:noWrap/>
            <w:vAlign w:val="center"/>
            <w:hideMark/>
          </w:tcPr>
          <w:p w:rsidR="00F964BF" w:rsidRPr="00D96E2E" w:rsidRDefault="00F964BF" w:rsidP="00E757DE">
            <w:pPr>
              <w:spacing w:line="240" w:lineRule="auto"/>
              <w:jc w:val="center"/>
              <w:rPr>
                <w:rFonts w:eastAsia="Times New Roman" w:cs="Times New Roman"/>
                <w:color w:val="000000"/>
                <w:sz w:val="20"/>
                <w:szCs w:val="20"/>
                <w:lang w:eastAsia="en-GB"/>
              </w:rPr>
            </w:pPr>
            <w:r w:rsidRPr="00D96E2E">
              <w:rPr>
                <w:rFonts w:eastAsia="Times New Roman" w:cs="Times New Roman"/>
                <w:color w:val="000000"/>
                <w:sz w:val="20"/>
                <w:szCs w:val="20"/>
                <w:lang w:eastAsia="en-GB"/>
              </w:rPr>
              <w:t>7,30%</w:t>
            </w:r>
          </w:p>
        </w:tc>
      </w:tr>
      <w:tr w:rsidR="00F964BF" w:rsidRPr="00D96E2E" w:rsidTr="00E757DE">
        <w:trPr>
          <w:trHeight w:val="300"/>
          <w:jc w:val="center"/>
        </w:trPr>
        <w:tc>
          <w:tcPr>
            <w:tcW w:w="3547" w:type="dxa"/>
            <w:tcBorders>
              <w:top w:val="nil"/>
              <w:left w:val="single" w:sz="4" w:space="0" w:color="auto"/>
              <w:bottom w:val="single" w:sz="4" w:space="0" w:color="auto"/>
              <w:right w:val="single" w:sz="4" w:space="0" w:color="auto"/>
            </w:tcBorders>
            <w:shd w:val="clear" w:color="auto" w:fill="auto"/>
            <w:noWrap/>
            <w:vAlign w:val="center"/>
            <w:hideMark/>
          </w:tcPr>
          <w:p w:rsidR="00F964BF" w:rsidRPr="00D96E2E" w:rsidRDefault="00F964BF" w:rsidP="00E757DE">
            <w:pPr>
              <w:spacing w:line="240" w:lineRule="auto"/>
              <w:jc w:val="center"/>
              <w:rPr>
                <w:rFonts w:eastAsia="Times New Roman" w:cs="Times New Roman"/>
                <w:color w:val="000000"/>
                <w:sz w:val="20"/>
                <w:szCs w:val="20"/>
                <w:lang w:eastAsia="en-GB"/>
              </w:rPr>
            </w:pPr>
            <w:r w:rsidRPr="00D96E2E">
              <w:rPr>
                <w:rFonts w:eastAsia="Times New Roman" w:cs="Times New Roman"/>
                <w:color w:val="000000"/>
                <w:sz w:val="20"/>
                <w:szCs w:val="20"/>
                <w:lang w:eastAsia="en-GB"/>
              </w:rPr>
              <w:t>Nied</w:t>
            </w:r>
            <w:r>
              <w:rPr>
                <w:rFonts w:eastAsia="Times New Roman" w:cs="Times New Roman"/>
                <w:color w:val="000000"/>
                <w:sz w:val="20"/>
                <w:szCs w:val="20"/>
                <w:lang w:eastAsia="en-GB"/>
              </w:rPr>
              <w:t xml:space="preserve">oszacowanie </w:t>
            </w:r>
            <w:r w:rsidRPr="00D96E2E">
              <w:rPr>
                <w:rFonts w:eastAsia="Times New Roman" w:cs="Times New Roman"/>
                <w:color w:val="000000"/>
                <w:sz w:val="20"/>
                <w:szCs w:val="20"/>
                <w:lang w:eastAsia="en-GB"/>
              </w:rPr>
              <w:t>PE IPO</w:t>
            </w:r>
          </w:p>
        </w:tc>
        <w:tc>
          <w:tcPr>
            <w:tcW w:w="1880" w:type="dxa"/>
            <w:tcBorders>
              <w:top w:val="nil"/>
              <w:left w:val="nil"/>
              <w:bottom w:val="single" w:sz="4" w:space="0" w:color="auto"/>
              <w:right w:val="single" w:sz="4" w:space="0" w:color="auto"/>
            </w:tcBorders>
            <w:shd w:val="clear" w:color="auto" w:fill="auto"/>
            <w:noWrap/>
            <w:vAlign w:val="center"/>
            <w:hideMark/>
          </w:tcPr>
          <w:p w:rsidR="00F964BF" w:rsidRPr="00D96E2E" w:rsidRDefault="00F964BF" w:rsidP="00E757DE">
            <w:pPr>
              <w:spacing w:line="240" w:lineRule="auto"/>
              <w:jc w:val="center"/>
              <w:rPr>
                <w:rFonts w:eastAsia="Times New Roman" w:cs="Times New Roman"/>
                <w:color w:val="000000"/>
                <w:sz w:val="20"/>
                <w:szCs w:val="20"/>
                <w:lang w:eastAsia="en-GB"/>
              </w:rPr>
            </w:pPr>
            <w:r w:rsidRPr="00D96E2E">
              <w:rPr>
                <w:rFonts w:eastAsia="Times New Roman" w:cs="Times New Roman"/>
                <w:color w:val="000000"/>
                <w:sz w:val="20"/>
                <w:szCs w:val="20"/>
                <w:lang w:eastAsia="en-GB"/>
              </w:rPr>
              <w:t>9,12%</w:t>
            </w:r>
          </w:p>
        </w:tc>
        <w:tc>
          <w:tcPr>
            <w:tcW w:w="1966" w:type="dxa"/>
            <w:tcBorders>
              <w:top w:val="nil"/>
              <w:left w:val="nil"/>
              <w:bottom w:val="single" w:sz="4" w:space="0" w:color="auto"/>
              <w:right w:val="single" w:sz="4" w:space="0" w:color="auto"/>
            </w:tcBorders>
            <w:shd w:val="clear" w:color="auto" w:fill="auto"/>
            <w:noWrap/>
            <w:vAlign w:val="center"/>
            <w:hideMark/>
          </w:tcPr>
          <w:p w:rsidR="00F964BF" w:rsidRPr="00D96E2E" w:rsidRDefault="00F964BF" w:rsidP="00E757DE">
            <w:pPr>
              <w:spacing w:line="240" w:lineRule="auto"/>
              <w:jc w:val="center"/>
              <w:rPr>
                <w:rFonts w:eastAsia="Times New Roman" w:cs="Times New Roman"/>
                <w:color w:val="000000"/>
                <w:sz w:val="20"/>
                <w:szCs w:val="20"/>
                <w:lang w:eastAsia="en-GB"/>
              </w:rPr>
            </w:pPr>
            <w:r w:rsidRPr="00D96E2E">
              <w:rPr>
                <w:rFonts w:eastAsia="Times New Roman" w:cs="Times New Roman"/>
                <w:color w:val="000000"/>
                <w:sz w:val="20"/>
                <w:szCs w:val="20"/>
                <w:lang w:eastAsia="en-GB"/>
              </w:rPr>
              <w:t>8,24%</w:t>
            </w:r>
          </w:p>
        </w:tc>
      </w:tr>
      <w:tr w:rsidR="00F964BF" w:rsidRPr="00D96E2E" w:rsidTr="00E757DE">
        <w:trPr>
          <w:trHeight w:val="300"/>
          <w:jc w:val="center"/>
        </w:trPr>
        <w:tc>
          <w:tcPr>
            <w:tcW w:w="3547" w:type="dxa"/>
            <w:tcBorders>
              <w:top w:val="nil"/>
              <w:left w:val="single" w:sz="4" w:space="0" w:color="auto"/>
              <w:bottom w:val="single" w:sz="4" w:space="0" w:color="auto"/>
              <w:right w:val="single" w:sz="4" w:space="0" w:color="auto"/>
            </w:tcBorders>
            <w:shd w:val="clear" w:color="auto" w:fill="auto"/>
            <w:noWrap/>
            <w:vAlign w:val="center"/>
            <w:hideMark/>
          </w:tcPr>
          <w:p w:rsidR="00F964BF" w:rsidRPr="00D96E2E" w:rsidRDefault="00F964BF" w:rsidP="00E757DE">
            <w:pPr>
              <w:spacing w:line="240" w:lineRule="auto"/>
              <w:jc w:val="center"/>
              <w:rPr>
                <w:rFonts w:eastAsia="Times New Roman" w:cs="Times New Roman"/>
                <w:color w:val="000000"/>
                <w:sz w:val="20"/>
                <w:szCs w:val="20"/>
                <w:lang w:eastAsia="en-GB"/>
              </w:rPr>
            </w:pPr>
            <w:r w:rsidRPr="00D96E2E">
              <w:rPr>
                <w:rFonts w:eastAsia="Times New Roman" w:cs="Times New Roman"/>
                <w:color w:val="000000"/>
                <w:sz w:val="20"/>
                <w:szCs w:val="20"/>
                <w:lang w:eastAsia="en-GB"/>
              </w:rPr>
              <w:t>Skośność IPO</w:t>
            </w:r>
          </w:p>
        </w:tc>
        <w:tc>
          <w:tcPr>
            <w:tcW w:w="1880" w:type="dxa"/>
            <w:tcBorders>
              <w:top w:val="nil"/>
              <w:left w:val="nil"/>
              <w:bottom w:val="single" w:sz="4" w:space="0" w:color="auto"/>
              <w:right w:val="single" w:sz="4" w:space="0" w:color="auto"/>
            </w:tcBorders>
            <w:shd w:val="clear" w:color="auto" w:fill="auto"/>
            <w:noWrap/>
            <w:vAlign w:val="center"/>
            <w:hideMark/>
          </w:tcPr>
          <w:p w:rsidR="00F964BF" w:rsidRPr="00D96E2E" w:rsidRDefault="00F964BF" w:rsidP="00E757DE">
            <w:pPr>
              <w:spacing w:line="240" w:lineRule="auto"/>
              <w:jc w:val="center"/>
              <w:rPr>
                <w:rFonts w:eastAsia="Times New Roman" w:cs="Times New Roman"/>
                <w:color w:val="000000"/>
                <w:sz w:val="20"/>
                <w:szCs w:val="20"/>
                <w:lang w:eastAsia="en-GB"/>
              </w:rPr>
            </w:pPr>
            <w:r w:rsidRPr="00D96E2E">
              <w:rPr>
                <w:rFonts w:eastAsia="Times New Roman" w:cs="Times New Roman"/>
                <w:color w:val="000000"/>
                <w:sz w:val="20"/>
                <w:szCs w:val="20"/>
                <w:lang w:eastAsia="en-GB"/>
              </w:rPr>
              <w:t>7,95</w:t>
            </w:r>
          </w:p>
        </w:tc>
        <w:tc>
          <w:tcPr>
            <w:tcW w:w="1966" w:type="dxa"/>
            <w:tcBorders>
              <w:top w:val="nil"/>
              <w:left w:val="nil"/>
              <w:bottom w:val="single" w:sz="4" w:space="0" w:color="auto"/>
              <w:right w:val="single" w:sz="4" w:space="0" w:color="auto"/>
            </w:tcBorders>
            <w:shd w:val="clear" w:color="auto" w:fill="auto"/>
            <w:noWrap/>
            <w:vAlign w:val="center"/>
            <w:hideMark/>
          </w:tcPr>
          <w:p w:rsidR="00F964BF" w:rsidRPr="00D96E2E" w:rsidRDefault="00F964BF" w:rsidP="00E757DE">
            <w:pPr>
              <w:spacing w:line="240" w:lineRule="auto"/>
              <w:jc w:val="center"/>
              <w:rPr>
                <w:rFonts w:eastAsia="Times New Roman" w:cs="Times New Roman"/>
                <w:color w:val="000000"/>
                <w:sz w:val="20"/>
                <w:szCs w:val="20"/>
                <w:lang w:eastAsia="en-GB"/>
              </w:rPr>
            </w:pPr>
            <w:r w:rsidRPr="00D96E2E">
              <w:rPr>
                <w:rFonts w:eastAsia="Times New Roman" w:cs="Times New Roman"/>
                <w:color w:val="000000"/>
                <w:sz w:val="20"/>
                <w:szCs w:val="20"/>
                <w:lang w:eastAsia="en-GB"/>
              </w:rPr>
              <w:t>0,97</w:t>
            </w:r>
          </w:p>
        </w:tc>
      </w:tr>
      <w:tr w:rsidR="00F964BF" w:rsidRPr="00D96E2E" w:rsidTr="00E757DE">
        <w:trPr>
          <w:trHeight w:val="300"/>
          <w:jc w:val="center"/>
        </w:trPr>
        <w:tc>
          <w:tcPr>
            <w:tcW w:w="3547" w:type="dxa"/>
            <w:tcBorders>
              <w:top w:val="nil"/>
              <w:left w:val="single" w:sz="4" w:space="0" w:color="auto"/>
              <w:bottom w:val="single" w:sz="4" w:space="0" w:color="auto"/>
              <w:right w:val="single" w:sz="4" w:space="0" w:color="auto"/>
            </w:tcBorders>
            <w:shd w:val="clear" w:color="auto" w:fill="auto"/>
            <w:noWrap/>
            <w:vAlign w:val="center"/>
            <w:hideMark/>
          </w:tcPr>
          <w:p w:rsidR="00F964BF" w:rsidRPr="00D96E2E" w:rsidRDefault="00F964BF" w:rsidP="00E757DE">
            <w:pPr>
              <w:spacing w:line="240" w:lineRule="auto"/>
              <w:jc w:val="center"/>
              <w:rPr>
                <w:rFonts w:eastAsia="Times New Roman" w:cs="Times New Roman"/>
                <w:color w:val="000000"/>
                <w:sz w:val="20"/>
                <w:szCs w:val="20"/>
                <w:lang w:eastAsia="en-GB"/>
              </w:rPr>
            </w:pPr>
            <w:r w:rsidRPr="00D96E2E">
              <w:rPr>
                <w:rFonts w:eastAsia="Times New Roman" w:cs="Times New Roman"/>
                <w:color w:val="000000"/>
                <w:sz w:val="20"/>
                <w:szCs w:val="20"/>
                <w:lang w:eastAsia="en-GB"/>
              </w:rPr>
              <w:t>Sko</w:t>
            </w:r>
            <w:r>
              <w:rPr>
                <w:rFonts w:eastAsia="Times New Roman" w:cs="Times New Roman"/>
                <w:color w:val="000000"/>
                <w:sz w:val="20"/>
                <w:szCs w:val="20"/>
                <w:lang w:eastAsia="en-GB"/>
              </w:rPr>
              <w:t xml:space="preserve">śność </w:t>
            </w:r>
            <w:r w:rsidRPr="00D96E2E">
              <w:rPr>
                <w:rFonts w:eastAsia="Times New Roman" w:cs="Times New Roman"/>
                <w:color w:val="000000"/>
                <w:sz w:val="20"/>
                <w:szCs w:val="20"/>
                <w:lang w:eastAsia="en-GB"/>
              </w:rPr>
              <w:t>PE IPO</w:t>
            </w:r>
          </w:p>
        </w:tc>
        <w:tc>
          <w:tcPr>
            <w:tcW w:w="1880" w:type="dxa"/>
            <w:tcBorders>
              <w:top w:val="nil"/>
              <w:left w:val="nil"/>
              <w:bottom w:val="single" w:sz="4" w:space="0" w:color="auto"/>
              <w:right w:val="single" w:sz="4" w:space="0" w:color="auto"/>
            </w:tcBorders>
            <w:shd w:val="clear" w:color="auto" w:fill="auto"/>
            <w:noWrap/>
            <w:vAlign w:val="center"/>
            <w:hideMark/>
          </w:tcPr>
          <w:p w:rsidR="00F964BF" w:rsidRPr="00D96E2E" w:rsidRDefault="00F964BF" w:rsidP="00E757DE">
            <w:pPr>
              <w:spacing w:line="240" w:lineRule="auto"/>
              <w:jc w:val="center"/>
              <w:rPr>
                <w:rFonts w:eastAsia="Times New Roman" w:cs="Times New Roman"/>
                <w:color w:val="000000"/>
                <w:sz w:val="20"/>
                <w:szCs w:val="20"/>
                <w:lang w:eastAsia="en-GB"/>
              </w:rPr>
            </w:pPr>
            <w:r w:rsidRPr="00D96E2E">
              <w:rPr>
                <w:rFonts w:eastAsia="Times New Roman" w:cs="Times New Roman"/>
                <w:color w:val="000000"/>
                <w:sz w:val="20"/>
                <w:szCs w:val="20"/>
                <w:lang w:eastAsia="en-GB"/>
              </w:rPr>
              <w:t>2,54</w:t>
            </w:r>
          </w:p>
        </w:tc>
        <w:tc>
          <w:tcPr>
            <w:tcW w:w="1966" w:type="dxa"/>
            <w:tcBorders>
              <w:top w:val="nil"/>
              <w:left w:val="nil"/>
              <w:bottom w:val="single" w:sz="4" w:space="0" w:color="auto"/>
              <w:right w:val="single" w:sz="4" w:space="0" w:color="auto"/>
            </w:tcBorders>
            <w:shd w:val="clear" w:color="auto" w:fill="auto"/>
            <w:noWrap/>
            <w:vAlign w:val="center"/>
            <w:hideMark/>
          </w:tcPr>
          <w:p w:rsidR="00F964BF" w:rsidRPr="00D96E2E" w:rsidRDefault="00F964BF" w:rsidP="00E757DE">
            <w:pPr>
              <w:spacing w:line="240" w:lineRule="auto"/>
              <w:jc w:val="center"/>
              <w:rPr>
                <w:rFonts w:eastAsia="Times New Roman" w:cs="Times New Roman"/>
                <w:color w:val="000000"/>
                <w:sz w:val="20"/>
                <w:szCs w:val="20"/>
                <w:lang w:eastAsia="en-GB"/>
              </w:rPr>
            </w:pPr>
            <w:r w:rsidRPr="00D96E2E">
              <w:rPr>
                <w:rFonts w:eastAsia="Times New Roman" w:cs="Times New Roman"/>
                <w:color w:val="000000"/>
                <w:sz w:val="20"/>
                <w:szCs w:val="20"/>
                <w:lang w:eastAsia="en-GB"/>
              </w:rPr>
              <w:t>1,43</w:t>
            </w:r>
          </w:p>
        </w:tc>
      </w:tr>
      <w:tr w:rsidR="00F964BF" w:rsidRPr="00D96E2E" w:rsidTr="00E757DE">
        <w:trPr>
          <w:trHeight w:val="300"/>
          <w:jc w:val="center"/>
        </w:trPr>
        <w:tc>
          <w:tcPr>
            <w:tcW w:w="3547" w:type="dxa"/>
            <w:tcBorders>
              <w:top w:val="nil"/>
              <w:left w:val="single" w:sz="4" w:space="0" w:color="auto"/>
              <w:bottom w:val="single" w:sz="4" w:space="0" w:color="auto"/>
              <w:right w:val="single" w:sz="4" w:space="0" w:color="auto"/>
            </w:tcBorders>
            <w:shd w:val="clear" w:color="auto" w:fill="auto"/>
            <w:noWrap/>
            <w:vAlign w:val="center"/>
            <w:hideMark/>
          </w:tcPr>
          <w:p w:rsidR="00F964BF" w:rsidRPr="00D96E2E" w:rsidRDefault="00F964BF" w:rsidP="00E757DE">
            <w:pPr>
              <w:spacing w:line="240" w:lineRule="auto"/>
              <w:jc w:val="center"/>
              <w:rPr>
                <w:rFonts w:eastAsia="Times New Roman" w:cs="Times New Roman"/>
                <w:color w:val="000000"/>
                <w:sz w:val="20"/>
                <w:szCs w:val="20"/>
                <w:lang w:eastAsia="en-GB"/>
              </w:rPr>
            </w:pPr>
            <w:proofErr w:type="spellStart"/>
            <w:r w:rsidRPr="00D96E2E">
              <w:rPr>
                <w:rFonts w:eastAsia="Times New Roman" w:cs="Times New Roman"/>
                <w:color w:val="000000"/>
                <w:sz w:val="20"/>
                <w:szCs w:val="20"/>
                <w:lang w:eastAsia="en-GB"/>
              </w:rPr>
              <w:t>Kurtoza</w:t>
            </w:r>
            <w:proofErr w:type="spellEnd"/>
            <w:r w:rsidRPr="00D96E2E">
              <w:rPr>
                <w:rFonts w:eastAsia="Times New Roman" w:cs="Times New Roman"/>
                <w:color w:val="000000"/>
                <w:sz w:val="20"/>
                <w:szCs w:val="20"/>
                <w:lang w:eastAsia="en-GB"/>
              </w:rPr>
              <w:t xml:space="preserve"> IPO</w:t>
            </w:r>
          </w:p>
        </w:tc>
        <w:tc>
          <w:tcPr>
            <w:tcW w:w="1880" w:type="dxa"/>
            <w:tcBorders>
              <w:top w:val="nil"/>
              <w:left w:val="nil"/>
              <w:bottom w:val="single" w:sz="4" w:space="0" w:color="auto"/>
              <w:right w:val="single" w:sz="4" w:space="0" w:color="auto"/>
            </w:tcBorders>
            <w:shd w:val="clear" w:color="auto" w:fill="auto"/>
            <w:noWrap/>
            <w:vAlign w:val="center"/>
            <w:hideMark/>
          </w:tcPr>
          <w:p w:rsidR="00F964BF" w:rsidRPr="00D96E2E" w:rsidRDefault="00F964BF" w:rsidP="00E757DE">
            <w:pPr>
              <w:spacing w:line="240" w:lineRule="auto"/>
              <w:jc w:val="center"/>
              <w:rPr>
                <w:rFonts w:eastAsia="Times New Roman" w:cs="Times New Roman"/>
                <w:color w:val="000000"/>
                <w:sz w:val="20"/>
                <w:szCs w:val="20"/>
                <w:lang w:eastAsia="en-GB"/>
              </w:rPr>
            </w:pPr>
            <w:r w:rsidRPr="00D96E2E">
              <w:rPr>
                <w:rFonts w:eastAsia="Times New Roman" w:cs="Times New Roman"/>
                <w:color w:val="000000"/>
                <w:sz w:val="20"/>
                <w:szCs w:val="20"/>
                <w:lang w:eastAsia="en-GB"/>
              </w:rPr>
              <w:t>9,5</w:t>
            </w:r>
          </w:p>
        </w:tc>
        <w:tc>
          <w:tcPr>
            <w:tcW w:w="1966" w:type="dxa"/>
            <w:tcBorders>
              <w:top w:val="nil"/>
              <w:left w:val="nil"/>
              <w:bottom w:val="single" w:sz="4" w:space="0" w:color="auto"/>
              <w:right w:val="single" w:sz="4" w:space="0" w:color="auto"/>
            </w:tcBorders>
            <w:shd w:val="clear" w:color="auto" w:fill="auto"/>
            <w:noWrap/>
            <w:vAlign w:val="center"/>
            <w:hideMark/>
          </w:tcPr>
          <w:p w:rsidR="00F964BF" w:rsidRPr="00D96E2E" w:rsidRDefault="00F964BF" w:rsidP="00E757DE">
            <w:pPr>
              <w:spacing w:line="240" w:lineRule="auto"/>
              <w:jc w:val="center"/>
              <w:rPr>
                <w:rFonts w:eastAsia="Times New Roman" w:cs="Times New Roman"/>
                <w:color w:val="000000"/>
                <w:sz w:val="20"/>
                <w:szCs w:val="20"/>
                <w:lang w:eastAsia="en-GB"/>
              </w:rPr>
            </w:pPr>
            <w:r w:rsidRPr="00D96E2E">
              <w:rPr>
                <w:rFonts w:eastAsia="Times New Roman" w:cs="Times New Roman"/>
                <w:color w:val="000000"/>
                <w:sz w:val="20"/>
                <w:szCs w:val="20"/>
                <w:lang w:eastAsia="en-GB"/>
              </w:rPr>
              <w:t>5,28</w:t>
            </w:r>
          </w:p>
        </w:tc>
      </w:tr>
      <w:tr w:rsidR="00F964BF" w:rsidRPr="00D96E2E" w:rsidTr="00E757DE">
        <w:trPr>
          <w:trHeight w:val="300"/>
          <w:jc w:val="center"/>
        </w:trPr>
        <w:tc>
          <w:tcPr>
            <w:tcW w:w="3547" w:type="dxa"/>
            <w:tcBorders>
              <w:top w:val="nil"/>
              <w:left w:val="single" w:sz="4" w:space="0" w:color="auto"/>
              <w:bottom w:val="single" w:sz="4" w:space="0" w:color="auto"/>
              <w:right w:val="single" w:sz="4" w:space="0" w:color="auto"/>
            </w:tcBorders>
            <w:shd w:val="clear" w:color="auto" w:fill="auto"/>
            <w:noWrap/>
            <w:vAlign w:val="center"/>
            <w:hideMark/>
          </w:tcPr>
          <w:p w:rsidR="00F964BF" w:rsidRPr="00D96E2E" w:rsidRDefault="00F964BF" w:rsidP="00E757DE">
            <w:pPr>
              <w:spacing w:line="240" w:lineRule="auto"/>
              <w:jc w:val="center"/>
              <w:rPr>
                <w:rFonts w:eastAsia="Times New Roman" w:cs="Times New Roman"/>
                <w:color w:val="000000"/>
                <w:sz w:val="20"/>
                <w:szCs w:val="20"/>
                <w:lang w:eastAsia="en-GB"/>
              </w:rPr>
            </w:pPr>
            <w:proofErr w:type="spellStart"/>
            <w:r>
              <w:rPr>
                <w:rFonts w:eastAsia="Times New Roman" w:cs="Times New Roman"/>
                <w:color w:val="000000"/>
                <w:sz w:val="20"/>
                <w:szCs w:val="20"/>
                <w:lang w:eastAsia="en-GB"/>
              </w:rPr>
              <w:t>Kurtoza</w:t>
            </w:r>
            <w:proofErr w:type="spellEnd"/>
            <w:r>
              <w:rPr>
                <w:rFonts w:eastAsia="Times New Roman" w:cs="Times New Roman"/>
                <w:color w:val="000000"/>
                <w:sz w:val="20"/>
                <w:szCs w:val="20"/>
                <w:lang w:eastAsia="en-GB"/>
              </w:rPr>
              <w:t xml:space="preserve"> </w:t>
            </w:r>
            <w:r w:rsidRPr="00D96E2E">
              <w:rPr>
                <w:rFonts w:eastAsia="Times New Roman" w:cs="Times New Roman"/>
                <w:color w:val="000000"/>
                <w:sz w:val="20"/>
                <w:szCs w:val="20"/>
                <w:lang w:eastAsia="en-GB"/>
              </w:rPr>
              <w:t>PE IPO</w:t>
            </w:r>
          </w:p>
        </w:tc>
        <w:tc>
          <w:tcPr>
            <w:tcW w:w="1880" w:type="dxa"/>
            <w:tcBorders>
              <w:top w:val="nil"/>
              <w:left w:val="nil"/>
              <w:bottom w:val="single" w:sz="4" w:space="0" w:color="auto"/>
              <w:right w:val="single" w:sz="4" w:space="0" w:color="auto"/>
            </w:tcBorders>
            <w:shd w:val="clear" w:color="auto" w:fill="auto"/>
            <w:noWrap/>
            <w:vAlign w:val="center"/>
            <w:hideMark/>
          </w:tcPr>
          <w:p w:rsidR="00F964BF" w:rsidRPr="00D96E2E" w:rsidRDefault="00F964BF" w:rsidP="00E757DE">
            <w:pPr>
              <w:spacing w:line="240" w:lineRule="auto"/>
              <w:jc w:val="center"/>
              <w:rPr>
                <w:rFonts w:eastAsia="Times New Roman" w:cs="Times New Roman"/>
                <w:color w:val="000000"/>
                <w:sz w:val="20"/>
                <w:szCs w:val="20"/>
                <w:lang w:eastAsia="en-GB"/>
              </w:rPr>
            </w:pPr>
            <w:r w:rsidRPr="00D96E2E">
              <w:rPr>
                <w:rFonts w:eastAsia="Times New Roman" w:cs="Times New Roman"/>
                <w:color w:val="000000"/>
                <w:sz w:val="20"/>
                <w:szCs w:val="20"/>
                <w:lang w:eastAsia="en-GB"/>
              </w:rPr>
              <w:t>8,38</w:t>
            </w:r>
          </w:p>
        </w:tc>
        <w:tc>
          <w:tcPr>
            <w:tcW w:w="1966" w:type="dxa"/>
            <w:tcBorders>
              <w:top w:val="nil"/>
              <w:left w:val="nil"/>
              <w:bottom w:val="single" w:sz="4" w:space="0" w:color="auto"/>
              <w:right w:val="single" w:sz="4" w:space="0" w:color="auto"/>
            </w:tcBorders>
            <w:shd w:val="clear" w:color="auto" w:fill="auto"/>
            <w:noWrap/>
            <w:vAlign w:val="center"/>
            <w:hideMark/>
          </w:tcPr>
          <w:p w:rsidR="00F964BF" w:rsidRPr="00D96E2E" w:rsidRDefault="00F964BF" w:rsidP="00E757DE">
            <w:pPr>
              <w:spacing w:line="240" w:lineRule="auto"/>
              <w:jc w:val="center"/>
              <w:rPr>
                <w:rFonts w:eastAsia="Times New Roman" w:cs="Times New Roman"/>
                <w:color w:val="000000"/>
                <w:sz w:val="20"/>
                <w:szCs w:val="20"/>
                <w:lang w:eastAsia="en-GB"/>
              </w:rPr>
            </w:pPr>
            <w:r w:rsidRPr="00D96E2E">
              <w:rPr>
                <w:rFonts w:eastAsia="Times New Roman" w:cs="Times New Roman"/>
                <w:color w:val="000000"/>
                <w:sz w:val="20"/>
                <w:szCs w:val="20"/>
                <w:lang w:eastAsia="en-GB"/>
              </w:rPr>
              <w:t>1,44</w:t>
            </w:r>
          </w:p>
        </w:tc>
      </w:tr>
      <w:tr w:rsidR="00F964BF" w:rsidRPr="00D96E2E" w:rsidTr="00E757DE">
        <w:trPr>
          <w:trHeight w:val="300"/>
          <w:jc w:val="center"/>
        </w:trPr>
        <w:tc>
          <w:tcPr>
            <w:tcW w:w="3547" w:type="dxa"/>
            <w:tcBorders>
              <w:top w:val="nil"/>
              <w:left w:val="single" w:sz="4" w:space="0" w:color="auto"/>
              <w:bottom w:val="single" w:sz="4" w:space="0" w:color="auto"/>
              <w:right w:val="single" w:sz="4" w:space="0" w:color="auto"/>
            </w:tcBorders>
            <w:shd w:val="clear" w:color="auto" w:fill="auto"/>
            <w:noWrap/>
            <w:vAlign w:val="center"/>
            <w:hideMark/>
          </w:tcPr>
          <w:p w:rsidR="00F964BF" w:rsidRPr="00D96E2E" w:rsidRDefault="00F964BF" w:rsidP="00E757DE">
            <w:pPr>
              <w:spacing w:line="240" w:lineRule="auto"/>
              <w:jc w:val="center"/>
              <w:rPr>
                <w:rFonts w:eastAsia="Times New Roman" w:cs="Times New Roman"/>
                <w:color w:val="000000"/>
                <w:sz w:val="20"/>
                <w:szCs w:val="20"/>
                <w:lang w:eastAsia="en-GB"/>
              </w:rPr>
            </w:pPr>
            <w:r w:rsidRPr="00D96E2E">
              <w:rPr>
                <w:rFonts w:eastAsia="Times New Roman" w:cs="Times New Roman"/>
                <w:color w:val="000000"/>
                <w:sz w:val="20"/>
                <w:szCs w:val="20"/>
                <w:lang w:eastAsia="en-GB"/>
              </w:rPr>
              <w:t>Mediana IPO</w:t>
            </w:r>
          </w:p>
        </w:tc>
        <w:tc>
          <w:tcPr>
            <w:tcW w:w="1880" w:type="dxa"/>
            <w:tcBorders>
              <w:top w:val="nil"/>
              <w:left w:val="nil"/>
              <w:bottom w:val="single" w:sz="4" w:space="0" w:color="auto"/>
              <w:right w:val="single" w:sz="4" w:space="0" w:color="auto"/>
            </w:tcBorders>
            <w:shd w:val="clear" w:color="auto" w:fill="auto"/>
            <w:noWrap/>
            <w:vAlign w:val="center"/>
            <w:hideMark/>
          </w:tcPr>
          <w:p w:rsidR="00F964BF" w:rsidRPr="00D96E2E" w:rsidRDefault="00F964BF" w:rsidP="00E757DE">
            <w:pPr>
              <w:spacing w:line="240" w:lineRule="auto"/>
              <w:jc w:val="center"/>
              <w:rPr>
                <w:rFonts w:eastAsia="Times New Roman" w:cs="Times New Roman"/>
                <w:color w:val="000000"/>
                <w:sz w:val="20"/>
                <w:szCs w:val="20"/>
                <w:lang w:eastAsia="en-GB"/>
              </w:rPr>
            </w:pPr>
            <w:r w:rsidRPr="00D96E2E">
              <w:rPr>
                <w:rFonts w:eastAsia="Times New Roman" w:cs="Times New Roman"/>
                <w:color w:val="000000"/>
                <w:sz w:val="20"/>
                <w:szCs w:val="20"/>
                <w:lang w:eastAsia="en-GB"/>
              </w:rPr>
              <w:t>3,80%</w:t>
            </w:r>
          </w:p>
        </w:tc>
        <w:tc>
          <w:tcPr>
            <w:tcW w:w="1966" w:type="dxa"/>
            <w:tcBorders>
              <w:top w:val="nil"/>
              <w:left w:val="nil"/>
              <w:bottom w:val="single" w:sz="4" w:space="0" w:color="auto"/>
              <w:right w:val="single" w:sz="4" w:space="0" w:color="auto"/>
            </w:tcBorders>
            <w:shd w:val="clear" w:color="auto" w:fill="auto"/>
            <w:noWrap/>
            <w:vAlign w:val="center"/>
            <w:hideMark/>
          </w:tcPr>
          <w:p w:rsidR="00F964BF" w:rsidRPr="00D96E2E" w:rsidRDefault="00F964BF" w:rsidP="00E757DE">
            <w:pPr>
              <w:spacing w:line="240" w:lineRule="auto"/>
              <w:jc w:val="center"/>
              <w:rPr>
                <w:rFonts w:eastAsia="Times New Roman" w:cs="Times New Roman"/>
                <w:color w:val="000000"/>
                <w:sz w:val="20"/>
                <w:szCs w:val="20"/>
                <w:lang w:eastAsia="en-GB"/>
              </w:rPr>
            </w:pPr>
            <w:r w:rsidRPr="00D96E2E">
              <w:rPr>
                <w:rFonts w:eastAsia="Times New Roman" w:cs="Times New Roman"/>
                <w:color w:val="000000"/>
                <w:sz w:val="20"/>
                <w:szCs w:val="20"/>
                <w:lang w:eastAsia="en-GB"/>
              </w:rPr>
              <w:t>2,87%</w:t>
            </w:r>
          </w:p>
        </w:tc>
      </w:tr>
      <w:tr w:rsidR="00F964BF" w:rsidRPr="00D96E2E" w:rsidTr="00E757DE">
        <w:trPr>
          <w:trHeight w:val="300"/>
          <w:jc w:val="center"/>
        </w:trPr>
        <w:tc>
          <w:tcPr>
            <w:tcW w:w="3547" w:type="dxa"/>
            <w:tcBorders>
              <w:top w:val="nil"/>
              <w:left w:val="single" w:sz="4" w:space="0" w:color="auto"/>
              <w:bottom w:val="single" w:sz="4" w:space="0" w:color="auto"/>
              <w:right w:val="single" w:sz="4" w:space="0" w:color="auto"/>
            </w:tcBorders>
            <w:shd w:val="clear" w:color="auto" w:fill="auto"/>
            <w:noWrap/>
            <w:vAlign w:val="center"/>
            <w:hideMark/>
          </w:tcPr>
          <w:p w:rsidR="00F964BF" w:rsidRPr="00D96E2E" w:rsidRDefault="00F964BF" w:rsidP="00E757DE">
            <w:pPr>
              <w:spacing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 xml:space="preserve">Mediana </w:t>
            </w:r>
            <w:r w:rsidRPr="00D96E2E">
              <w:rPr>
                <w:rFonts w:eastAsia="Times New Roman" w:cs="Times New Roman"/>
                <w:color w:val="000000"/>
                <w:sz w:val="20"/>
                <w:szCs w:val="20"/>
                <w:lang w:eastAsia="en-GB"/>
              </w:rPr>
              <w:t>PE IPO</w:t>
            </w:r>
          </w:p>
        </w:tc>
        <w:tc>
          <w:tcPr>
            <w:tcW w:w="1880" w:type="dxa"/>
            <w:tcBorders>
              <w:top w:val="nil"/>
              <w:left w:val="nil"/>
              <w:bottom w:val="single" w:sz="4" w:space="0" w:color="auto"/>
              <w:right w:val="single" w:sz="4" w:space="0" w:color="auto"/>
            </w:tcBorders>
            <w:shd w:val="clear" w:color="auto" w:fill="auto"/>
            <w:noWrap/>
            <w:vAlign w:val="center"/>
            <w:hideMark/>
          </w:tcPr>
          <w:p w:rsidR="00F964BF" w:rsidRPr="00D96E2E" w:rsidRDefault="00F964BF" w:rsidP="00E757DE">
            <w:pPr>
              <w:spacing w:line="240" w:lineRule="auto"/>
              <w:jc w:val="center"/>
              <w:rPr>
                <w:rFonts w:eastAsia="Times New Roman" w:cs="Times New Roman"/>
                <w:color w:val="000000"/>
                <w:sz w:val="20"/>
                <w:szCs w:val="20"/>
                <w:lang w:eastAsia="en-GB"/>
              </w:rPr>
            </w:pPr>
            <w:r w:rsidRPr="00D96E2E">
              <w:rPr>
                <w:rFonts w:eastAsia="Times New Roman" w:cs="Times New Roman"/>
                <w:color w:val="000000"/>
                <w:sz w:val="20"/>
                <w:szCs w:val="20"/>
                <w:lang w:eastAsia="en-GB"/>
              </w:rPr>
              <w:t>4,70%</w:t>
            </w:r>
          </w:p>
        </w:tc>
        <w:tc>
          <w:tcPr>
            <w:tcW w:w="1966" w:type="dxa"/>
            <w:tcBorders>
              <w:top w:val="nil"/>
              <w:left w:val="nil"/>
              <w:bottom w:val="single" w:sz="4" w:space="0" w:color="auto"/>
              <w:right w:val="single" w:sz="4" w:space="0" w:color="auto"/>
            </w:tcBorders>
            <w:shd w:val="clear" w:color="auto" w:fill="auto"/>
            <w:noWrap/>
            <w:vAlign w:val="center"/>
            <w:hideMark/>
          </w:tcPr>
          <w:p w:rsidR="00F964BF" w:rsidRPr="00D96E2E" w:rsidRDefault="00F964BF" w:rsidP="00E757DE">
            <w:pPr>
              <w:spacing w:line="240" w:lineRule="auto"/>
              <w:jc w:val="center"/>
              <w:rPr>
                <w:rFonts w:eastAsia="Times New Roman" w:cs="Times New Roman"/>
                <w:color w:val="000000"/>
                <w:sz w:val="20"/>
                <w:szCs w:val="20"/>
                <w:lang w:eastAsia="en-GB"/>
              </w:rPr>
            </w:pPr>
            <w:r w:rsidRPr="00D96E2E">
              <w:rPr>
                <w:rFonts w:eastAsia="Times New Roman" w:cs="Times New Roman"/>
                <w:color w:val="000000"/>
                <w:sz w:val="20"/>
                <w:szCs w:val="20"/>
                <w:lang w:eastAsia="en-GB"/>
              </w:rPr>
              <w:t>4,76%</w:t>
            </w:r>
          </w:p>
        </w:tc>
      </w:tr>
      <w:tr w:rsidR="00F964BF" w:rsidRPr="00D96E2E" w:rsidTr="00E757DE">
        <w:trPr>
          <w:trHeight w:val="300"/>
          <w:jc w:val="center"/>
        </w:trPr>
        <w:tc>
          <w:tcPr>
            <w:tcW w:w="3547" w:type="dxa"/>
            <w:tcBorders>
              <w:top w:val="nil"/>
              <w:left w:val="single" w:sz="4" w:space="0" w:color="auto"/>
              <w:bottom w:val="single" w:sz="4" w:space="0" w:color="auto"/>
              <w:right w:val="single" w:sz="4" w:space="0" w:color="auto"/>
            </w:tcBorders>
            <w:shd w:val="clear" w:color="auto" w:fill="auto"/>
            <w:noWrap/>
            <w:vAlign w:val="center"/>
            <w:hideMark/>
          </w:tcPr>
          <w:p w:rsidR="00F964BF" w:rsidRPr="00D96E2E" w:rsidRDefault="00F964BF" w:rsidP="00E757DE">
            <w:pPr>
              <w:spacing w:line="240" w:lineRule="auto"/>
              <w:jc w:val="center"/>
              <w:rPr>
                <w:rFonts w:eastAsia="Times New Roman" w:cs="Times New Roman"/>
                <w:color w:val="000000"/>
                <w:sz w:val="20"/>
                <w:szCs w:val="20"/>
                <w:lang w:eastAsia="en-GB"/>
              </w:rPr>
            </w:pPr>
            <w:r w:rsidRPr="00D96E2E">
              <w:rPr>
                <w:rFonts w:eastAsia="Times New Roman" w:cs="Times New Roman"/>
                <w:color w:val="000000"/>
                <w:sz w:val="20"/>
                <w:szCs w:val="20"/>
                <w:lang w:eastAsia="en-GB"/>
              </w:rPr>
              <w:t xml:space="preserve">Odchylenie </w:t>
            </w:r>
            <w:proofErr w:type="spellStart"/>
            <w:r w:rsidRPr="00D96E2E">
              <w:rPr>
                <w:rFonts w:eastAsia="Times New Roman" w:cs="Times New Roman"/>
                <w:color w:val="000000"/>
                <w:sz w:val="20"/>
                <w:szCs w:val="20"/>
                <w:lang w:eastAsia="en-GB"/>
              </w:rPr>
              <w:t>standarowe</w:t>
            </w:r>
            <w:proofErr w:type="spellEnd"/>
            <w:r w:rsidRPr="00D96E2E">
              <w:rPr>
                <w:rFonts w:eastAsia="Times New Roman" w:cs="Times New Roman"/>
                <w:color w:val="000000"/>
                <w:sz w:val="20"/>
                <w:szCs w:val="20"/>
                <w:lang w:eastAsia="en-GB"/>
              </w:rPr>
              <w:t xml:space="preserve"> IPO</w:t>
            </w:r>
          </w:p>
        </w:tc>
        <w:tc>
          <w:tcPr>
            <w:tcW w:w="1880" w:type="dxa"/>
            <w:tcBorders>
              <w:top w:val="nil"/>
              <w:left w:val="nil"/>
              <w:bottom w:val="single" w:sz="4" w:space="0" w:color="auto"/>
              <w:right w:val="single" w:sz="4" w:space="0" w:color="auto"/>
            </w:tcBorders>
            <w:shd w:val="clear" w:color="auto" w:fill="auto"/>
            <w:noWrap/>
            <w:vAlign w:val="center"/>
            <w:hideMark/>
          </w:tcPr>
          <w:p w:rsidR="00F964BF" w:rsidRPr="00D96E2E" w:rsidRDefault="00F964BF" w:rsidP="00E757DE">
            <w:pPr>
              <w:spacing w:line="240" w:lineRule="auto"/>
              <w:jc w:val="center"/>
              <w:rPr>
                <w:rFonts w:eastAsia="Times New Roman" w:cs="Times New Roman"/>
                <w:color w:val="000000"/>
                <w:sz w:val="20"/>
                <w:szCs w:val="20"/>
                <w:lang w:eastAsia="en-GB"/>
              </w:rPr>
            </w:pPr>
            <w:r w:rsidRPr="00D96E2E">
              <w:rPr>
                <w:rFonts w:eastAsia="Times New Roman" w:cs="Times New Roman"/>
                <w:color w:val="000000"/>
                <w:sz w:val="20"/>
                <w:szCs w:val="20"/>
                <w:lang w:eastAsia="en-GB"/>
              </w:rPr>
              <w:t>32,90%</w:t>
            </w:r>
          </w:p>
        </w:tc>
        <w:tc>
          <w:tcPr>
            <w:tcW w:w="1966" w:type="dxa"/>
            <w:tcBorders>
              <w:top w:val="nil"/>
              <w:left w:val="nil"/>
              <w:bottom w:val="single" w:sz="4" w:space="0" w:color="auto"/>
              <w:right w:val="single" w:sz="4" w:space="0" w:color="auto"/>
            </w:tcBorders>
            <w:shd w:val="clear" w:color="auto" w:fill="auto"/>
            <w:noWrap/>
            <w:vAlign w:val="center"/>
            <w:hideMark/>
          </w:tcPr>
          <w:p w:rsidR="00F964BF" w:rsidRPr="00D96E2E" w:rsidRDefault="00F964BF" w:rsidP="00E757DE">
            <w:pPr>
              <w:spacing w:line="240" w:lineRule="auto"/>
              <w:jc w:val="center"/>
              <w:rPr>
                <w:rFonts w:eastAsia="Times New Roman" w:cs="Times New Roman"/>
                <w:color w:val="000000"/>
                <w:sz w:val="20"/>
                <w:szCs w:val="20"/>
                <w:lang w:eastAsia="en-GB"/>
              </w:rPr>
            </w:pPr>
            <w:r w:rsidRPr="00D96E2E">
              <w:rPr>
                <w:rFonts w:eastAsia="Times New Roman" w:cs="Times New Roman"/>
                <w:color w:val="000000"/>
                <w:sz w:val="20"/>
                <w:szCs w:val="20"/>
                <w:lang w:eastAsia="en-GB"/>
              </w:rPr>
              <w:t>18,51%</w:t>
            </w:r>
          </w:p>
        </w:tc>
      </w:tr>
      <w:tr w:rsidR="00F964BF" w:rsidRPr="00D96E2E" w:rsidTr="00E757DE">
        <w:trPr>
          <w:trHeight w:val="300"/>
          <w:jc w:val="center"/>
        </w:trPr>
        <w:tc>
          <w:tcPr>
            <w:tcW w:w="3547" w:type="dxa"/>
            <w:tcBorders>
              <w:top w:val="nil"/>
              <w:left w:val="single" w:sz="4" w:space="0" w:color="auto"/>
              <w:bottom w:val="single" w:sz="4" w:space="0" w:color="auto"/>
              <w:right w:val="single" w:sz="4" w:space="0" w:color="auto"/>
            </w:tcBorders>
            <w:shd w:val="clear" w:color="auto" w:fill="auto"/>
            <w:noWrap/>
            <w:vAlign w:val="center"/>
            <w:hideMark/>
          </w:tcPr>
          <w:p w:rsidR="00F964BF" w:rsidRPr="00D96E2E" w:rsidRDefault="00F964BF" w:rsidP="00E757DE">
            <w:pPr>
              <w:spacing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 xml:space="preserve">Odchylenie standardowe </w:t>
            </w:r>
            <w:r w:rsidRPr="00D96E2E">
              <w:rPr>
                <w:rFonts w:eastAsia="Times New Roman" w:cs="Times New Roman"/>
                <w:color w:val="000000"/>
                <w:sz w:val="20"/>
                <w:szCs w:val="20"/>
                <w:lang w:eastAsia="en-GB"/>
              </w:rPr>
              <w:t>PE IPO</w:t>
            </w:r>
          </w:p>
        </w:tc>
        <w:tc>
          <w:tcPr>
            <w:tcW w:w="1880" w:type="dxa"/>
            <w:tcBorders>
              <w:top w:val="nil"/>
              <w:left w:val="nil"/>
              <w:bottom w:val="single" w:sz="4" w:space="0" w:color="auto"/>
              <w:right w:val="single" w:sz="4" w:space="0" w:color="auto"/>
            </w:tcBorders>
            <w:shd w:val="clear" w:color="auto" w:fill="auto"/>
            <w:noWrap/>
            <w:vAlign w:val="center"/>
            <w:hideMark/>
          </w:tcPr>
          <w:p w:rsidR="00F964BF" w:rsidRPr="00D96E2E" w:rsidRDefault="00F964BF" w:rsidP="00E757DE">
            <w:pPr>
              <w:spacing w:line="240" w:lineRule="auto"/>
              <w:jc w:val="center"/>
              <w:rPr>
                <w:rFonts w:eastAsia="Times New Roman" w:cs="Times New Roman"/>
                <w:color w:val="000000"/>
                <w:sz w:val="20"/>
                <w:szCs w:val="20"/>
                <w:lang w:eastAsia="en-GB"/>
              </w:rPr>
            </w:pPr>
            <w:r w:rsidRPr="00D96E2E">
              <w:rPr>
                <w:rFonts w:eastAsia="Times New Roman" w:cs="Times New Roman"/>
                <w:color w:val="000000"/>
                <w:sz w:val="20"/>
                <w:szCs w:val="20"/>
                <w:lang w:eastAsia="en-GB"/>
              </w:rPr>
              <w:t>16,88%</w:t>
            </w:r>
          </w:p>
        </w:tc>
        <w:tc>
          <w:tcPr>
            <w:tcW w:w="1966" w:type="dxa"/>
            <w:tcBorders>
              <w:top w:val="nil"/>
              <w:left w:val="nil"/>
              <w:bottom w:val="single" w:sz="4" w:space="0" w:color="auto"/>
              <w:right w:val="single" w:sz="4" w:space="0" w:color="auto"/>
            </w:tcBorders>
            <w:shd w:val="clear" w:color="auto" w:fill="auto"/>
            <w:noWrap/>
            <w:vAlign w:val="center"/>
            <w:hideMark/>
          </w:tcPr>
          <w:p w:rsidR="00F964BF" w:rsidRPr="00D96E2E" w:rsidRDefault="00F964BF" w:rsidP="00E757DE">
            <w:pPr>
              <w:spacing w:line="240" w:lineRule="auto"/>
              <w:jc w:val="center"/>
              <w:rPr>
                <w:rFonts w:eastAsia="Times New Roman" w:cs="Times New Roman"/>
                <w:color w:val="000000"/>
                <w:sz w:val="20"/>
                <w:szCs w:val="20"/>
                <w:lang w:eastAsia="en-GB"/>
              </w:rPr>
            </w:pPr>
            <w:r w:rsidRPr="00D96E2E">
              <w:rPr>
                <w:rFonts w:eastAsia="Times New Roman" w:cs="Times New Roman"/>
                <w:color w:val="000000"/>
                <w:sz w:val="20"/>
                <w:szCs w:val="20"/>
                <w:lang w:eastAsia="en-GB"/>
              </w:rPr>
              <w:t>12,24%</w:t>
            </w:r>
          </w:p>
        </w:tc>
      </w:tr>
    </w:tbl>
    <w:p w:rsidR="00F964BF" w:rsidRPr="004369F7" w:rsidRDefault="00F964BF" w:rsidP="00F964BF">
      <w:pPr>
        <w:spacing w:line="360" w:lineRule="auto"/>
        <w:rPr>
          <w:rFonts w:cs="Times New Roman"/>
          <w:sz w:val="20"/>
          <w:szCs w:val="20"/>
        </w:rPr>
      </w:pPr>
      <w:r>
        <w:rPr>
          <w:rFonts w:cs="Times New Roman"/>
          <w:sz w:val="20"/>
          <w:szCs w:val="20"/>
        </w:rPr>
        <w:t>Ź</w:t>
      </w:r>
      <w:r w:rsidRPr="004369F7">
        <w:rPr>
          <w:rFonts w:cs="Times New Roman"/>
          <w:sz w:val="20"/>
          <w:szCs w:val="20"/>
        </w:rPr>
        <w:t>ródło: obliczenia własne.</w:t>
      </w:r>
    </w:p>
    <w:p w:rsidR="00F964BF" w:rsidRPr="00F93FBE" w:rsidRDefault="00F964BF" w:rsidP="00BF12A7">
      <w:pPr>
        <w:spacing w:line="360" w:lineRule="auto"/>
        <w:ind w:firstLine="708"/>
        <w:rPr>
          <w:rFonts w:cs="Times New Roman"/>
          <w:szCs w:val="24"/>
        </w:rPr>
      </w:pPr>
      <w:r>
        <w:rPr>
          <w:rFonts w:cs="Times New Roman"/>
          <w:szCs w:val="24"/>
        </w:rPr>
        <w:t xml:space="preserve">Analizując statystyki stop zwrotu w pierwszym dniu notowań po dokonaniu IPO należy stwierdzić, iż w badanym okresie poziom niedoszacowania IPO jest stosunkowo wysoki i wynosił 9,99% dla okresu 2000-2018.  W przeprowadzonych dotąd badaniach obejmujących GPW w Warszawie poziom niedoszacowania był znacznie niższy (7,3% dla wszystkich IPO i 8,24 dla IPO spółek zasilanych funduszami typu PE). Dla okresu 2003-2011 </w:t>
      </w:r>
      <w:r>
        <w:rPr>
          <w:rFonts w:cs="Times New Roman"/>
          <w:szCs w:val="24"/>
        </w:rPr>
        <w:lastRenderedPageBreak/>
        <w:t>R. Sieradzki stwierdził, iż wynosił on 14,2%.</w:t>
      </w:r>
      <w:r>
        <w:rPr>
          <w:rStyle w:val="Odwoanieprzypisudolnego"/>
          <w:rFonts w:cs="Times New Roman"/>
          <w:szCs w:val="24"/>
        </w:rPr>
        <w:footnoteReference w:id="10"/>
      </w:r>
      <w:r>
        <w:rPr>
          <w:rFonts w:cs="Times New Roman"/>
          <w:szCs w:val="24"/>
        </w:rPr>
        <w:t xml:space="preserve">.  Dla okresu 1991-2005 D. </w:t>
      </w:r>
      <w:proofErr w:type="spellStart"/>
      <w:r>
        <w:rPr>
          <w:rFonts w:cs="Times New Roman"/>
          <w:szCs w:val="24"/>
        </w:rPr>
        <w:t>Sukacz</w:t>
      </w:r>
      <w:proofErr w:type="spellEnd"/>
      <w:r>
        <w:rPr>
          <w:rFonts w:cs="Times New Roman"/>
          <w:szCs w:val="24"/>
        </w:rPr>
        <w:t xml:space="preserve"> potwierdził niedoszacowania na poziomie 26%</w:t>
      </w:r>
      <w:r>
        <w:rPr>
          <w:rStyle w:val="Odwoanieprzypisudolnego"/>
          <w:rFonts w:cs="Times New Roman"/>
          <w:szCs w:val="24"/>
        </w:rPr>
        <w:footnoteReference w:id="11"/>
      </w:r>
      <w:r w:rsidR="00EE26BF">
        <w:rPr>
          <w:rFonts w:cs="Times New Roman"/>
          <w:szCs w:val="24"/>
        </w:rPr>
        <w:t>. Należy podkreślić</w:t>
      </w:r>
      <w:r>
        <w:rPr>
          <w:rFonts w:cs="Times New Roman"/>
          <w:szCs w:val="24"/>
        </w:rPr>
        <w:t xml:space="preserve"> fakt, iż spółki zasilane funduszami PE osiągnęły niższy poziom niedoszac</w:t>
      </w:r>
      <w:r w:rsidR="00EE26BF">
        <w:rPr>
          <w:rFonts w:cs="Times New Roman"/>
          <w:szCs w:val="24"/>
        </w:rPr>
        <w:t>owania IPO dla szerokiego zakresu za lata 2000-2018</w:t>
      </w:r>
      <w:r>
        <w:rPr>
          <w:rFonts w:cs="Times New Roman"/>
          <w:szCs w:val="24"/>
        </w:rPr>
        <w:t xml:space="preserve">, który w badanym okresie wyniósł 9,12%. Dodatkowo można stwierdzić, iż przy niższym poziomie niedoszacowania spółki niezasilane funduszami typu PE mają niższą </w:t>
      </w:r>
      <w:proofErr w:type="spellStart"/>
      <w:r>
        <w:rPr>
          <w:rFonts w:cs="Times New Roman"/>
          <w:szCs w:val="24"/>
        </w:rPr>
        <w:t>kurtoz</w:t>
      </w:r>
      <w:r w:rsidR="00735DF6">
        <w:rPr>
          <w:rFonts w:cs="Times New Roman"/>
          <w:szCs w:val="24"/>
        </w:rPr>
        <w:t>ę</w:t>
      </w:r>
      <w:proofErr w:type="spellEnd"/>
      <w:r>
        <w:rPr>
          <w:rFonts w:cs="Times New Roman"/>
          <w:szCs w:val="24"/>
        </w:rPr>
        <w:t xml:space="preserve"> </w:t>
      </w:r>
      <w:r w:rsidR="00EE26BF">
        <w:rPr>
          <w:rFonts w:cs="Times New Roman"/>
          <w:szCs w:val="24"/>
        </w:rPr>
        <w:t xml:space="preserve">(8,38 vs 9,50) </w:t>
      </w:r>
      <w:r>
        <w:rPr>
          <w:rFonts w:cs="Times New Roman"/>
          <w:szCs w:val="24"/>
        </w:rPr>
        <w:t>oraz odchylenie standardowe w porównaniu ze spółkami wspomaganymi przez te fundusze</w:t>
      </w:r>
      <w:r w:rsidR="00EE26BF">
        <w:rPr>
          <w:rFonts w:cs="Times New Roman"/>
          <w:szCs w:val="24"/>
        </w:rPr>
        <w:t xml:space="preserve"> (16,88 vs 32,9%)</w:t>
      </w:r>
      <w:r>
        <w:rPr>
          <w:rFonts w:cs="Times New Roman"/>
          <w:szCs w:val="24"/>
        </w:rPr>
        <w:t xml:space="preserve">. </w:t>
      </w:r>
      <w:r w:rsidR="00EE26BF">
        <w:rPr>
          <w:rFonts w:cs="Times New Roman"/>
          <w:szCs w:val="24"/>
        </w:rPr>
        <w:t xml:space="preserve">Należy również wskazać, iż skośność wyników dla spółek zasilanych funduszami PE wynosi jedynie 2,54 a dla szerokiego rynku transakcji IPO jest to już aż 7,95. Interpretacja tego wyniku wskazuje, iż zachowanie się stóp zwrotu w pierwszym dniu notowań jest diametralnie inne. </w:t>
      </w:r>
      <w:r>
        <w:rPr>
          <w:rFonts w:cs="Times New Roman"/>
          <w:szCs w:val="24"/>
        </w:rPr>
        <w:t xml:space="preserve">Kierunkiem dla dalszego badania powinna być analiza długookresowego poziomu niedoszacowania IPO w takich okresach jak: 3 miesiące, 6 miesięcy, 12 miesięcy i 1 rok. Możliwym dalszy kierunkiem badań jest analiza poziomu niedoszacowania transakcji IPO w krajach regionu CEE oraz porównanie trendów na tym rynku z tendencjami na rozwiniętych rynkach giełdowych takich jak USA czy Wielka Brytania. </w:t>
      </w:r>
    </w:p>
    <w:p w:rsidR="00BF12A7" w:rsidRDefault="00BF12A7" w:rsidP="00F964BF">
      <w:pPr>
        <w:spacing w:line="360" w:lineRule="auto"/>
        <w:rPr>
          <w:rFonts w:cs="Times New Roman"/>
          <w:b/>
          <w:szCs w:val="24"/>
        </w:rPr>
      </w:pPr>
    </w:p>
    <w:p w:rsidR="00BF12A7" w:rsidRDefault="00BF12A7" w:rsidP="00F964BF">
      <w:pPr>
        <w:spacing w:line="360" w:lineRule="auto"/>
        <w:rPr>
          <w:rFonts w:cs="Times New Roman"/>
          <w:b/>
          <w:szCs w:val="24"/>
        </w:rPr>
      </w:pPr>
    </w:p>
    <w:p w:rsidR="00F964BF" w:rsidRPr="00832B02" w:rsidRDefault="00F964BF" w:rsidP="00F964BF">
      <w:pPr>
        <w:spacing w:line="360" w:lineRule="auto"/>
        <w:rPr>
          <w:rFonts w:cs="Times New Roman"/>
          <w:b/>
          <w:szCs w:val="24"/>
        </w:rPr>
      </w:pPr>
      <w:r w:rsidRPr="00832B02">
        <w:rPr>
          <w:rFonts w:cs="Times New Roman"/>
          <w:b/>
          <w:szCs w:val="24"/>
        </w:rPr>
        <w:t>Zakończenie</w:t>
      </w:r>
    </w:p>
    <w:p w:rsidR="00BF12A7" w:rsidRDefault="00BF12A7" w:rsidP="00F964BF">
      <w:pPr>
        <w:spacing w:line="360" w:lineRule="auto"/>
        <w:rPr>
          <w:rFonts w:cs="Times New Roman"/>
          <w:szCs w:val="24"/>
        </w:rPr>
      </w:pPr>
    </w:p>
    <w:p w:rsidR="00F964BF" w:rsidRDefault="00F964BF" w:rsidP="00BF12A7">
      <w:pPr>
        <w:spacing w:line="360" w:lineRule="auto"/>
        <w:ind w:firstLine="708"/>
        <w:rPr>
          <w:rFonts w:cs="Times New Roman"/>
          <w:szCs w:val="24"/>
        </w:rPr>
      </w:pPr>
      <w:r>
        <w:rPr>
          <w:rFonts w:cs="Times New Roman"/>
          <w:szCs w:val="24"/>
        </w:rPr>
        <w:t xml:space="preserve">Poprawne przeprowadzenie transakcji IPO dla spółki zasilanej funduszami PE jest niezbędną fazą w cyklu inwestycyjnym wspomagającą zakończenie zaangażowania się funduszu w spółkę portfelową. Badania nad poziomem niedoszacowania IPO tych spółek przeprowadzanych na rynku polskim są dość rzadkie. Artykuł ten wypełnia ta lukę badawczą. Po przenalizowaniu danych giełdowych dotyczących IPO należy stwierdzić, iż w badanym okresie niedoszacowanie osiągnięte przez spółki zasilane funduszami PE jest wyższe niż pozostałych spółek, co w pisuje się w trendy funkcjonujące na innych globalnych rynkach kapitałowych. </w:t>
      </w:r>
    </w:p>
    <w:p w:rsidR="00F964BF" w:rsidRPr="001752E9" w:rsidRDefault="00F964BF" w:rsidP="00F964BF">
      <w:pPr>
        <w:autoSpaceDE w:val="0"/>
        <w:autoSpaceDN w:val="0"/>
        <w:adjustRightInd w:val="0"/>
        <w:spacing w:line="240" w:lineRule="auto"/>
        <w:rPr>
          <w:rFonts w:cs="Times New Roman"/>
          <w:szCs w:val="24"/>
        </w:rPr>
      </w:pPr>
    </w:p>
    <w:p w:rsidR="009E45FC" w:rsidRPr="00F964BF" w:rsidRDefault="00E71FA1" w:rsidP="005A5218">
      <w:pPr>
        <w:spacing w:line="360" w:lineRule="auto"/>
        <w:rPr>
          <w:b/>
          <w:szCs w:val="24"/>
          <w:lang w:val="en-GB"/>
        </w:rPr>
      </w:pPr>
      <w:proofErr w:type="spellStart"/>
      <w:r>
        <w:rPr>
          <w:b/>
          <w:szCs w:val="24"/>
          <w:lang w:val="en-GB"/>
        </w:rPr>
        <w:t>Literatura</w:t>
      </w:r>
      <w:proofErr w:type="spellEnd"/>
    </w:p>
    <w:p w:rsidR="005D3094" w:rsidRPr="00625387" w:rsidRDefault="005D3094" w:rsidP="00625387">
      <w:pPr>
        <w:pStyle w:val="Nagwek2"/>
        <w:rPr>
          <w:lang w:val="en-GB"/>
        </w:rPr>
      </w:pPr>
      <w:r w:rsidRPr="00625387">
        <w:lastRenderedPageBreak/>
        <w:t xml:space="preserve">1. </w:t>
      </w:r>
      <w:proofErr w:type="spellStart"/>
      <w:r w:rsidRPr="00625387">
        <w:t>Mamcarz</w:t>
      </w:r>
      <w:proofErr w:type="spellEnd"/>
      <w:r w:rsidRPr="00625387">
        <w:t xml:space="preserve"> K., Niedoszacowanie ceny emisyjnej akcji w pierwszej ofercie publicznej jako instrument komunikacji spółek akcyjnych z inwestorami, </w:t>
      </w:r>
      <w:hyperlink r:id="rId10" w:history="1">
        <w:proofErr w:type="spellStart"/>
        <w:r w:rsidRPr="00625387">
          <w:rPr>
            <w:rStyle w:val="Hipercze"/>
            <w:color w:val="auto"/>
            <w:u w:val="none"/>
          </w:rPr>
          <w:t>Annales</w:t>
        </w:r>
        <w:proofErr w:type="spellEnd"/>
        <w:r w:rsidRPr="00625387">
          <w:rPr>
            <w:rStyle w:val="Hipercze"/>
            <w:color w:val="auto"/>
            <w:u w:val="none"/>
          </w:rPr>
          <w:t xml:space="preserve"> </w:t>
        </w:r>
        <w:proofErr w:type="spellStart"/>
        <w:r w:rsidRPr="00625387">
          <w:rPr>
            <w:rStyle w:val="Hipercze"/>
            <w:color w:val="auto"/>
            <w:u w:val="none"/>
          </w:rPr>
          <w:t>Universitatis</w:t>
        </w:r>
        <w:proofErr w:type="spellEnd"/>
        <w:r w:rsidRPr="00625387">
          <w:rPr>
            <w:rStyle w:val="Hipercze"/>
            <w:color w:val="auto"/>
            <w:u w:val="none"/>
          </w:rPr>
          <w:t xml:space="preserve"> </w:t>
        </w:r>
        <w:proofErr w:type="spellStart"/>
        <w:r w:rsidRPr="00625387">
          <w:rPr>
            <w:rStyle w:val="Hipercze"/>
            <w:color w:val="auto"/>
            <w:u w:val="none"/>
          </w:rPr>
          <w:t>Mariae</w:t>
        </w:r>
        <w:proofErr w:type="spellEnd"/>
        <w:r w:rsidRPr="00625387">
          <w:rPr>
            <w:rStyle w:val="Hipercze"/>
            <w:color w:val="auto"/>
            <w:u w:val="none"/>
          </w:rPr>
          <w:t xml:space="preserve"> Curie-Skłodowska. </w:t>
        </w:r>
        <w:proofErr w:type="spellStart"/>
        <w:r w:rsidRPr="00625387">
          <w:rPr>
            <w:rStyle w:val="Hipercze"/>
            <w:color w:val="auto"/>
            <w:u w:val="none"/>
            <w:lang w:val="en-GB"/>
          </w:rPr>
          <w:t>Sectio</w:t>
        </w:r>
        <w:proofErr w:type="spellEnd"/>
        <w:r w:rsidRPr="00625387">
          <w:rPr>
            <w:rStyle w:val="Hipercze"/>
            <w:color w:val="auto"/>
            <w:u w:val="none"/>
            <w:lang w:val="en-GB"/>
          </w:rPr>
          <w:t xml:space="preserve"> H. </w:t>
        </w:r>
        <w:proofErr w:type="spellStart"/>
        <w:r w:rsidRPr="00625387">
          <w:rPr>
            <w:rStyle w:val="Hipercze"/>
            <w:color w:val="auto"/>
            <w:u w:val="none"/>
            <w:lang w:val="en-GB"/>
          </w:rPr>
          <w:t>Oeconomia</w:t>
        </w:r>
        <w:proofErr w:type="spellEnd"/>
      </w:hyperlink>
      <w:r w:rsidRPr="00625387">
        <w:rPr>
          <w:lang w:val="en-GB"/>
        </w:rPr>
        <w:t xml:space="preserve">, </w:t>
      </w:r>
      <w:hyperlink r:id="rId11" w:history="1">
        <w:r w:rsidRPr="00625387">
          <w:rPr>
            <w:rStyle w:val="Hipercze"/>
            <w:color w:val="auto"/>
            <w:u w:val="none"/>
            <w:lang w:val="en-GB"/>
          </w:rPr>
          <w:t>2010</w:t>
        </w:r>
      </w:hyperlink>
      <w:r w:rsidRPr="00625387">
        <w:rPr>
          <w:lang w:val="en-GB"/>
        </w:rPr>
        <w:t xml:space="preserve">, </w:t>
      </w:r>
      <w:hyperlink r:id="rId12" w:history="1">
        <w:r w:rsidRPr="00625387">
          <w:rPr>
            <w:rStyle w:val="Hipercze"/>
            <w:color w:val="auto"/>
            <w:u w:val="none"/>
            <w:lang w:val="en-GB"/>
          </w:rPr>
          <w:t>44</w:t>
        </w:r>
      </w:hyperlink>
      <w:r w:rsidRPr="00625387">
        <w:rPr>
          <w:lang w:val="en-GB"/>
        </w:rPr>
        <w:t xml:space="preserve">, </w:t>
      </w:r>
      <w:hyperlink r:id="rId13" w:history="1">
        <w:proofErr w:type="spellStart"/>
        <w:r w:rsidRPr="00625387">
          <w:rPr>
            <w:rStyle w:val="Hipercze"/>
            <w:color w:val="auto"/>
            <w:u w:val="none"/>
            <w:lang w:val="en-GB"/>
          </w:rPr>
          <w:t>nr</w:t>
        </w:r>
        <w:proofErr w:type="spellEnd"/>
        <w:r w:rsidRPr="00625387">
          <w:rPr>
            <w:rStyle w:val="Hipercze"/>
            <w:color w:val="auto"/>
            <w:u w:val="none"/>
            <w:lang w:val="en-GB"/>
          </w:rPr>
          <w:t xml:space="preserve"> 2</w:t>
        </w:r>
      </w:hyperlink>
      <w:r w:rsidRPr="00625387">
        <w:rPr>
          <w:lang w:val="en-GB"/>
        </w:rPr>
        <w:t>, ss. 649-661.</w:t>
      </w:r>
    </w:p>
    <w:p w:rsidR="00BF12A7" w:rsidRPr="00E90321" w:rsidRDefault="005D3094" w:rsidP="00E90321">
      <w:pPr>
        <w:autoSpaceDE w:val="0"/>
        <w:autoSpaceDN w:val="0"/>
        <w:adjustRightInd w:val="0"/>
        <w:spacing w:line="360" w:lineRule="auto"/>
        <w:rPr>
          <w:rFonts w:cs="Times New Roman"/>
          <w:sz w:val="20"/>
          <w:szCs w:val="20"/>
          <w:lang w:val="en-GB"/>
        </w:rPr>
      </w:pPr>
      <w:r>
        <w:rPr>
          <w:rFonts w:cs="Times New Roman"/>
          <w:sz w:val="20"/>
          <w:szCs w:val="20"/>
          <w:lang w:val="en-GB"/>
        </w:rPr>
        <w:t>2</w:t>
      </w:r>
      <w:r w:rsidR="00E90321" w:rsidRPr="00E90321">
        <w:rPr>
          <w:rFonts w:cs="Times New Roman"/>
          <w:sz w:val="20"/>
          <w:szCs w:val="20"/>
          <w:lang w:val="en-GB"/>
        </w:rPr>
        <w:t xml:space="preserve">. </w:t>
      </w:r>
      <w:r w:rsidR="00BF12A7" w:rsidRPr="00E90321">
        <w:rPr>
          <w:rFonts w:cs="Times New Roman"/>
          <w:sz w:val="20"/>
          <w:szCs w:val="20"/>
          <w:lang w:val="en-GB"/>
        </w:rPr>
        <w:t>Miller</w:t>
      </w:r>
      <w:r w:rsidR="00C55C66" w:rsidRPr="00E90321">
        <w:rPr>
          <w:rFonts w:cs="Times New Roman"/>
          <w:sz w:val="20"/>
          <w:szCs w:val="20"/>
          <w:lang w:val="en-GB"/>
        </w:rPr>
        <w:t xml:space="preserve"> E. E.</w:t>
      </w:r>
      <w:r w:rsidR="00BF12A7" w:rsidRPr="00E90321">
        <w:rPr>
          <w:rFonts w:cs="Times New Roman"/>
          <w:sz w:val="20"/>
          <w:szCs w:val="20"/>
          <w:lang w:val="en-GB"/>
        </w:rPr>
        <w:t xml:space="preserve">, Risk, Uncertainty, and Divergence of Opinion, “Journal of </w:t>
      </w:r>
      <w:proofErr w:type="spellStart"/>
      <w:r w:rsidR="00BF12A7" w:rsidRPr="00E90321">
        <w:rPr>
          <w:rFonts w:cs="Times New Roman"/>
          <w:sz w:val="20"/>
          <w:szCs w:val="20"/>
          <w:lang w:val="en-GB"/>
        </w:rPr>
        <w:t>Finance”,Vol</w:t>
      </w:r>
      <w:proofErr w:type="spellEnd"/>
      <w:r w:rsidR="00BF12A7" w:rsidRPr="00E90321">
        <w:rPr>
          <w:rFonts w:cs="Times New Roman"/>
          <w:sz w:val="20"/>
          <w:szCs w:val="20"/>
          <w:lang w:val="en-GB"/>
        </w:rPr>
        <w:t>. 32(4), 1977, p. 1151.</w:t>
      </w:r>
    </w:p>
    <w:p w:rsidR="00C55C66" w:rsidRDefault="00BF12A7" w:rsidP="00E90321">
      <w:pPr>
        <w:pStyle w:val="Tekstprzypisudolnego"/>
        <w:spacing w:line="360" w:lineRule="auto"/>
        <w:rPr>
          <w:rFonts w:cs="Times New Roman"/>
          <w:sz w:val="20"/>
          <w:szCs w:val="20"/>
          <w:lang w:val="en-GB"/>
        </w:rPr>
      </w:pPr>
      <w:r w:rsidRPr="00E90321">
        <w:rPr>
          <w:rFonts w:cs="Times New Roman"/>
          <w:sz w:val="20"/>
          <w:szCs w:val="20"/>
          <w:lang w:val="en-GB"/>
        </w:rPr>
        <w:t>H.E. Leland,</w:t>
      </w:r>
      <w:r w:rsidR="00C55C66" w:rsidRPr="00E90321">
        <w:rPr>
          <w:rFonts w:cs="Times New Roman"/>
          <w:sz w:val="20"/>
          <w:szCs w:val="20"/>
          <w:lang w:val="en-GB"/>
        </w:rPr>
        <w:t xml:space="preserve"> H. E.</w:t>
      </w:r>
      <w:r w:rsidRPr="00E90321">
        <w:rPr>
          <w:rFonts w:cs="Times New Roman"/>
          <w:sz w:val="20"/>
          <w:szCs w:val="20"/>
          <w:lang w:val="en-GB"/>
        </w:rPr>
        <w:t>. Pyle</w:t>
      </w:r>
      <w:r w:rsidR="00C55C66" w:rsidRPr="00E90321">
        <w:rPr>
          <w:rFonts w:cs="Times New Roman"/>
          <w:sz w:val="20"/>
          <w:szCs w:val="20"/>
          <w:lang w:val="en-GB"/>
        </w:rPr>
        <w:t xml:space="preserve"> D. H.</w:t>
      </w:r>
      <w:r w:rsidRPr="00E90321">
        <w:rPr>
          <w:rFonts w:cs="Times New Roman"/>
          <w:sz w:val="20"/>
          <w:szCs w:val="20"/>
          <w:lang w:val="en-GB"/>
        </w:rPr>
        <w:t>, (1977) Informational Asymmetries, Financial Structure, and Financial Intermediation. Journal of Finance, 32,  ss. 371-387.</w:t>
      </w:r>
    </w:p>
    <w:p w:rsidR="0035548D" w:rsidRPr="005D3094" w:rsidRDefault="005D3094" w:rsidP="00E90321">
      <w:pPr>
        <w:pStyle w:val="Tekstprzypisudolnego"/>
        <w:spacing w:line="360" w:lineRule="auto"/>
        <w:rPr>
          <w:rFonts w:cs="Times New Roman"/>
          <w:sz w:val="20"/>
          <w:szCs w:val="20"/>
        </w:rPr>
      </w:pPr>
      <w:r w:rsidRPr="005D3094">
        <w:rPr>
          <w:rFonts w:cs="Times New Roman"/>
          <w:sz w:val="20"/>
          <w:szCs w:val="20"/>
        </w:rPr>
        <w:t>3</w:t>
      </w:r>
      <w:r w:rsidR="0035548D" w:rsidRPr="005D3094">
        <w:rPr>
          <w:rFonts w:cs="Times New Roman"/>
          <w:sz w:val="20"/>
          <w:szCs w:val="20"/>
        </w:rPr>
        <w:t>. Raporty Polskiego Stowarzyszenia Inwestorów Kapitałowych</w:t>
      </w:r>
    </w:p>
    <w:p w:rsidR="0035548D" w:rsidRPr="005D3094" w:rsidRDefault="005D3094" w:rsidP="00E90321">
      <w:pPr>
        <w:pStyle w:val="Tekstprzypisudolnego"/>
        <w:spacing w:line="360" w:lineRule="auto"/>
        <w:rPr>
          <w:rFonts w:cs="Times New Roman"/>
          <w:sz w:val="20"/>
          <w:szCs w:val="20"/>
        </w:rPr>
      </w:pPr>
      <w:r w:rsidRPr="005D3094">
        <w:rPr>
          <w:rFonts w:cs="Times New Roman"/>
          <w:sz w:val="20"/>
          <w:szCs w:val="20"/>
        </w:rPr>
        <w:t>4</w:t>
      </w:r>
      <w:r w:rsidR="0035548D" w:rsidRPr="005D3094">
        <w:rPr>
          <w:rFonts w:cs="Times New Roman"/>
          <w:sz w:val="20"/>
          <w:szCs w:val="20"/>
        </w:rPr>
        <w:t xml:space="preserve">. Raporty (EVCA YEARBOOKS 2000-2019) Europejskiego </w:t>
      </w:r>
      <w:proofErr w:type="spellStart"/>
      <w:r w:rsidR="0035548D" w:rsidRPr="005D3094">
        <w:rPr>
          <w:rFonts w:cs="Times New Roman"/>
          <w:sz w:val="20"/>
          <w:szCs w:val="20"/>
        </w:rPr>
        <w:t>Stowaryszenia</w:t>
      </w:r>
      <w:proofErr w:type="spellEnd"/>
      <w:r w:rsidR="0035548D" w:rsidRPr="005D3094">
        <w:rPr>
          <w:rFonts w:cs="Times New Roman"/>
          <w:sz w:val="20"/>
          <w:szCs w:val="20"/>
        </w:rPr>
        <w:t xml:space="preserve"> </w:t>
      </w:r>
      <w:proofErr w:type="spellStart"/>
      <w:r w:rsidR="0035548D" w:rsidRPr="005D3094">
        <w:rPr>
          <w:rFonts w:cs="Times New Roman"/>
          <w:sz w:val="20"/>
          <w:szCs w:val="20"/>
        </w:rPr>
        <w:t>Funuduszy</w:t>
      </w:r>
      <w:proofErr w:type="spellEnd"/>
      <w:r w:rsidR="0035548D" w:rsidRPr="005D3094">
        <w:rPr>
          <w:rFonts w:cs="Times New Roman"/>
          <w:sz w:val="20"/>
          <w:szCs w:val="20"/>
        </w:rPr>
        <w:t xml:space="preserve"> </w:t>
      </w:r>
      <w:proofErr w:type="spellStart"/>
      <w:r w:rsidR="0035548D" w:rsidRPr="005D3094">
        <w:rPr>
          <w:rFonts w:cs="Times New Roman"/>
          <w:sz w:val="20"/>
          <w:szCs w:val="20"/>
        </w:rPr>
        <w:t>Private</w:t>
      </w:r>
      <w:proofErr w:type="spellEnd"/>
      <w:r w:rsidR="0035548D" w:rsidRPr="005D3094">
        <w:rPr>
          <w:rFonts w:cs="Times New Roman"/>
          <w:sz w:val="20"/>
          <w:szCs w:val="20"/>
        </w:rPr>
        <w:t xml:space="preserve"> Equity  Venture Capital</w:t>
      </w:r>
    </w:p>
    <w:p w:rsidR="00BF12A7" w:rsidRPr="00E90321" w:rsidRDefault="005D3094" w:rsidP="00E90321">
      <w:pPr>
        <w:pStyle w:val="Tekstprzypisudolnego"/>
        <w:spacing w:line="360" w:lineRule="auto"/>
        <w:rPr>
          <w:sz w:val="20"/>
          <w:szCs w:val="20"/>
          <w:lang w:val="en-GB"/>
        </w:rPr>
      </w:pPr>
      <w:r>
        <w:rPr>
          <w:sz w:val="20"/>
          <w:szCs w:val="20"/>
          <w:lang w:val="en-GB"/>
        </w:rPr>
        <w:t>5</w:t>
      </w:r>
      <w:r w:rsidR="00E90321" w:rsidRPr="00E90321">
        <w:rPr>
          <w:sz w:val="20"/>
          <w:szCs w:val="20"/>
          <w:lang w:val="en-GB"/>
        </w:rPr>
        <w:t xml:space="preserve">. </w:t>
      </w:r>
      <w:proofErr w:type="spellStart"/>
      <w:r w:rsidR="00BF12A7" w:rsidRPr="00E90321">
        <w:rPr>
          <w:sz w:val="20"/>
          <w:szCs w:val="20"/>
          <w:lang w:val="en-GB"/>
        </w:rPr>
        <w:t>Sieradzki</w:t>
      </w:r>
      <w:proofErr w:type="spellEnd"/>
      <w:r w:rsidR="00BF12A7" w:rsidRPr="00E90321">
        <w:rPr>
          <w:sz w:val="20"/>
          <w:szCs w:val="20"/>
          <w:lang w:val="en-GB"/>
        </w:rPr>
        <w:t xml:space="preserve"> R., </w:t>
      </w:r>
      <w:proofErr w:type="spellStart"/>
      <w:r w:rsidR="00BF12A7" w:rsidRPr="00E90321">
        <w:rPr>
          <w:sz w:val="20"/>
          <w:szCs w:val="20"/>
          <w:lang w:val="en-GB"/>
        </w:rPr>
        <w:t>Zasępa</w:t>
      </w:r>
      <w:proofErr w:type="spellEnd"/>
      <w:r w:rsidR="00BF12A7" w:rsidRPr="00E90321">
        <w:rPr>
          <w:sz w:val="20"/>
          <w:szCs w:val="20"/>
          <w:lang w:val="en-GB"/>
        </w:rPr>
        <w:t xml:space="preserve"> P., </w:t>
      </w:r>
      <w:proofErr w:type="spellStart"/>
      <w:r w:rsidR="00BF12A7" w:rsidRPr="00E90321">
        <w:rPr>
          <w:bCs/>
          <w:sz w:val="20"/>
          <w:szCs w:val="20"/>
          <w:lang w:val="en-GB"/>
        </w:rPr>
        <w:t>Underpricing</w:t>
      </w:r>
      <w:proofErr w:type="spellEnd"/>
      <w:r w:rsidR="00BF12A7" w:rsidRPr="00E90321">
        <w:rPr>
          <w:bCs/>
          <w:sz w:val="20"/>
          <w:szCs w:val="20"/>
          <w:lang w:val="en-GB"/>
        </w:rPr>
        <w:t xml:space="preserve"> of Private Equity/</w:t>
      </w:r>
      <w:proofErr w:type="spellStart"/>
      <w:r w:rsidR="00BF12A7" w:rsidRPr="00E90321">
        <w:rPr>
          <w:bCs/>
          <w:sz w:val="20"/>
          <w:szCs w:val="20"/>
          <w:lang w:val="en-GB"/>
        </w:rPr>
        <w:t>VentureCapital</w:t>
      </w:r>
      <w:proofErr w:type="spellEnd"/>
      <w:r w:rsidR="00BF12A7" w:rsidRPr="00E90321">
        <w:rPr>
          <w:bCs/>
          <w:sz w:val="20"/>
          <w:szCs w:val="20"/>
          <w:lang w:val="en-GB"/>
        </w:rPr>
        <w:t xml:space="preserve"> backed IPOs. Do they differ from other offers?, Argumenta </w:t>
      </w:r>
      <w:proofErr w:type="spellStart"/>
      <w:r w:rsidR="00BF12A7" w:rsidRPr="00E90321">
        <w:rPr>
          <w:bCs/>
          <w:sz w:val="20"/>
          <w:szCs w:val="20"/>
          <w:lang w:val="en-GB"/>
        </w:rPr>
        <w:t>Oeconomica</w:t>
      </w:r>
      <w:proofErr w:type="spellEnd"/>
      <w:r w:rsidR="00BF12A7" w:rsidRPr="00E90321">
        <w:rPr>
          <w:bCs/>
          <w:sz w:val="20"/>
          <w:szCs w:val="20"/>
          <w:lang w:val="en-GB"/>
        </w:rPr>
        <w:t>, 2016.</w:t>
      </w:r>
    </w:p>
    <w:p w:rsidR="00BF12A7" w:rsidRPr="00E90321" w:rsidRDefault="005D3094" w:rsidP="00E90321">
      <w:pPr>
        <w:spacing w:before="120" w:after="120" w:line="360" w:lineRule="auto"/>
        <w:rPr>
          <w:rFonts w:cs="Times New Roman"/>
          <w:sz w:val="20"/>
          <w:szCs w:val="20"/>
          <w:lang w:val="en-GB"/>
        </w:rPr>
      </w:pPr>
      <w:r>
        <w:rPr>
          <w:rFonts w:cs="Times New Roman"/>
          <w:sz w:val="20"/>
          <w:szCs w:val="20"/>
          <w:lang w:val="en-GB"/>
        </w:rPr>
        <w:t>6</w:t>
      </w:r>
      <w:r w:rsidR="00E90321" w:rsidRPr="00E90321">
        <w:rPr>
          <w:rFonts w:cs="Times New Roman"/>
          <w:sz w:val="20"/>
          <w:szCs w:val="20"/>
          <w:lang w:val="en-GB"/>
        </w:rPr>
        <w:t xml:space="preserve">. </w:t>
      </w:r>
      <w:proofErr w:type="spellStart"/>
      <w:r w:rsidR="00BF12A7" w:rsidRPr="00E90321">
        <w:rPr>
          <w:rFonts w:cs="Times New Roman"/>
          <w:sz w:val="20"/>
          <w:szCs w:val="20"/>
          <w:lang w:val="en-GB"/>
        </w:rPr>
        <w:t>Sieradzki</w:t>
      </w:r>
      <w:proofErr w:type="spellEnd"/>
      <w:r w:rsidR="00E90321" w:rsidRPr="00E90321">
        <w:rPr>
          <w:rFonts w:cs="Times New Roman"/>
          <w:sz w:val="20"/>
          <w:szCs w:val="20"/>
          <w:lang w:val="en-GB"/>
        </w:rPr>
        <w:t xml:space="preserve"> R</w:t>
      </w:r>
      <w:r w:rsidR="00BF12A7" w:rsidRPr="00E90321">
        <w:rPr>
          <w:rFonts w:cs="Times New Roman"/>
          <w:sz w:val="20"/>
          <w:szCs w:val="20"/>
          <w:lang w:val="en-GB"/>
        </w:rPr>
        <w:t xml:space="preserve">, </w:t>
      </w:r>
      <w:r w:rsidR="00BF12A7" w:rsidRPr="00E90321">
        <w:rPr>
          <w:rFonts w:cs="Times New Roman"/>
          <w:iCs/>
          <w:sz w:val="20"/>
          <w:szCs w:val="20"/>
          <w:lang w:val="en-GB"/>
        </w:rPr>
        <w:t>Does It Pay To Invest In IPOs? Evidence from the Warsaw Stock Exchange</w:t>
      </w:r>
      <w:r w:rsidR="00BF12A7" w:rsidRPr="00E90321">
        <w:rPr>
          <w:rFonts w:cs="Times New Roman"/>
          <w:sz w:val="20"/>
          <w:szCs w:val="20"/>
          <w:lang w:val="en-GB"/>
        </w:rPr>
        <w:t xml:space="preserve">, Bank </w:t>
      </w:r>
      <w:proofErr w:type="spellStart"/>
      <w:r w:rsidR="00BF12A7" w:rsidRPr="00E90321">
        <w:rPr>
          <w:rFonts w:cs="Times New Roman"/>
          <w:sz w:val="20"/>
          <w:szCs w:val="20"/>
          <w:lang w:val="en-GB"/>
        </w:rPr>
        <w:t>i</w:t>
      </w:r>
      <w:proofErr w:type="spellEnd"/>
      <w:r w:rsidR="00BF12A7" w:rsidRPr="00E90321">
        <w:rPr>
          <w:rFonts w:cs="Times New Roman"/>
          <w:sz w:val="20"/>
          <w:szCs w:val="20"/>
          <w:lang w:val="en-GB"/>
        </w:rPr>
        <w:t xml:space="preserve"> </w:t>
      </w:r>
      <w:proofErr w:type="spellStart"/>
      <w:r w:rsidR="00BF12A7" w:rsidRPr="00E90321">
        <w:rPr>
          <w:rFonts w:cs="Times New Roman"/>
          <w:sz w:val="20"/>
          <w:szCs w:val="20"/>
          <w:lang w:val="en-GB"/>
        </w:rPr>
        <w:t>Kredyt</w:t>
      </w:r>
      <w:proofErr w:type="spellEnd"/>
      <w:r w:rsidR="00BF12A7" w:rsidRPr="00E90321">
        <w:rPr>
          <w:rFonts w:cs="Times New Roman"/>
          <w:sz w:val="20"/>
          <w:szCs w:val="20"/>
          <w:lang w:val="en-GB"/>
        </w:rPr>
        <w:t>, National Bank of Poland, Warsaw 2013.</w:t>
      </w:r>
    </w:p>
    <w:p w:rsidR="00E90321" w:rsidRPr="00E90321" w:rsidRDefault="005D3094" w:rsidP="00E90321">
      <w:pPr>
        <w:spacing w:line="360" w:lineRule="auto"/>
        <w:jc w:val="left"/>
        <w:rPr>
          <w:rFonts w:eastAsia="Times New Roman" w:cs="Times New Roman"/>
          <w:sz w:val="20"/>
          <w:szCs w:val="20"/>
          <w:lang w:eastAsia="en-GB"/>
        </w:rPr>
      </w:pPr>
      <w:r>
        <w:rPr>
          <w:rFonts w:eastAsia="Times New Roman" w:cs="Times New Roman"/>
          <w:sz w:val="20"/>
          <w:szCs w:val="20"/>
          <w:lang w:val="en-GB" w:eastAsia="en-GB"/>
        </w:rPr>
        <w:t>7</w:t>
      </w:r>
      <w:r w:rsidR="00E90321" w:rsidRPr="00E90321">
        <w:rPr>
          <w:rFonts w:eastAsia="Times New Roman" w:cs="Times New Roman"/>
          <w:sz w:val="20"/>
          <w:szCs w:val="20"/>
          <w:lang w:val="en-GB" w:eastAsia="en-GB"/>
        </w:rPr>
        <w:t xml:space="preserve">. Siew T.  Hong,  T. J. Wong., Earnings Management and the Post-Issue Underperformance of Seasoned Equity Offerings, 1998. </w:t>
      </w:r>
      <w:hyperlink r:id="rId14" w:tgtFrame="_blank" w:history="1">
        <w:r w:rsidR="00E90321" w:rsidRPr="00E90321">
          <w:rPr>
            <w:rFonts w:eastAsia="Times New Roman" w:cs="Times New Roman"/>
            <w:sz w:val="20"/>
            <w:szCs w:val="20"/>
            <w:lang w:eastAsia="en-GB"/>
          </w:rPr>
          <w:t>https://ssrn.com/abstract=2519</w:t>
        </w:r>
      </w:hyperlink>
      <w:r w:rsidR="00E90321" w:rsidRPr="00E90321">
        <w:rPr>
          <w:rFonts w:eastAsia="Times New Roman" w:cs="Times New Roman"/>
          <w:sz w:val="20"/>
          <w:szCs w:val="20"/>
          <w:lang w:eastAsia="en-GB"/>
        </w:rPr>
        <w:t>, dostęp 30.04.2019</w:t>
      </w:r>
    </w:p>
    <w:p w:rsidR="00BF12A7" w:rsidRPr="00E90321" w:rsidRDefault="005D3094" w:rsidP="00E90321">
      <w:pPr>
        <w:spacing w:before="120" w:after="120" w:line="360" w:lineRule="auto"/>
        <w:rPr>
          <w:rFonts w:cs="Times New Roman"/>
          <w:sz w:val="20"/>
          <w:szCs w:val="20"/>
        </w:rPr>
      </w:pPr>
      <w:r>
        <w:rPr>
          <w:rFonts w:cs="Times New Roman"/>
          <w:sz w:val="20"/>
          <w:szCs w:val="20"/>
        </w:rPr>
        <w:t>8</w:t>
      </w:r>
      <w:r w:rsidR="00E90321" w:rsidRPr="00E90321">
        <w:rPr>
          <w:rFonts w:cs="Times New Roman"/>
          <w:sz w:val="20"/>
          <w:szCs w:val="20"/>
        </w:rPr>
        <w:t xml:space="preserve">. </w:t>
      </w:r>
      <w:proofErr w:type="spellStart"/>
      <w:r w:rsidR="00BF12A7" w:rsidRPr="00E90321">
        <w:rPr>
          <w:rFonts w:cs="Times New Roman"/>
          <w:sz w:val="20"/>
          <w:szCs w:val="20"/>
        </w:rPr>
        <w:t>Sukacz</w:t>
      </w:r>
      <w:proofErr w:type="spellEnd"/>
      <w:r w:rsidR="00E90321" w:rsidRPr="00E90321">
        <w:rPr>
          <w:rFonts w:cs="Times New Roman"/>
          <w:sz w:val="20"/>
          <w:szCs w:val="20"/>
        </w:rPr>
        <w:t xml:space="preserve"> D.</w:t>
      </w:r>
      <w:r w:rsidR="00BF12A7" w:rsidRPr="00E90321">
        <w:rPr>
          <w:rFonts w:cs="Times New Roman"/>
          <w:sz w:val="20"/>
          <w:szCs w:val="20"/>
        </w:rPr>
        <w:t>, Pierwsze oferty publiczne na rynkach kapitałowych, Cedetu, Warszawa, 2005.</w:t>
      </w:r>
    </w:p>
    <w:p w:rsidR="00E90321" w:rsidRPr="00E90321" w:rsidRDefault="005D3094" w:rsidP="00E90321">
      <w:pPr>
        <w:pStyle w:val="Tekstprzypisudolnego"/>
        <w:spacing w:line="360" w:lineRule="auto"/>
        <w:rPr>
          <w:sz w:val="20"/>
          <w:szCs w:val="20"/>
          <w:lang w:val="en-GB"/>
        </w:rPr>
      </w:pPr>
      <w:r>
        <w:rPr>
          <w:iCs/>
          <w:sz w:val="20"/>
          <w:szCs w:val="20"/>
          <w:lang w:val="en-GB"/>
        </w:rPr>
        <w:t>9</w:t>
      </w:r>
      <w:r w:rsidR="00E90321" w:rsidRPr="00E90321">
        <w:rPr>
          <w:iCs/>
          <w:sz w:val="20"/>
          <w:szCs w:val="20"/>
          <w:lang w:val="en-GB"/>
        </w:rPr>
        <w:t xml:space="preserve">. Yung C. </w:t>
      </w:r>
      <w:r w:rsidR="00E90321" w:rsidRPr="00E90321">
        <w:rPr>
          <w:sz w:val="20"/>
          <w:szCs w:val="20"/>
          <w:lang w:val="en-GB"/>
        </w:rPr>
        <w:t xml:space="preserve">, </w:t>
      </w:r>
      <w:proofErr w:type="spellStart"/>
      <w:r w:rsidR="00E90321" w:rsidRPr="00E90321">
        <w:rPr>
          <w:iCs/>
          <w:sz w:val="20"/>
          <w:szCs w:val="20"/>
          <w:lang w:val="en-GB"/>
        </w:rPr>
        <w:t>Zender</w:t>
      </w:r>
      <w:proofErr w:type="spellEnd"/>
      <w:r w:rsidR="00E90321" w:rsidRPr="00E90321">
        <w:rPr>
          <w:iCs/>
          <w:sz w:val="20"/>
          <w:szCs w:val="20"/>
          <w:lang w:val="en-GB"/>
        </w:rPr>
        <w:t xml:space="preserve"> J. F.</w:t>
      </w:r>
      <w:r w:rsidR="00E90321" w:rsidRPr="00E90321">
        <w:rPr>
          <w:sz w:val="20"/>
          <w:szCs w:val="20"/>
          <w:lang w:val="en-GB"/>
        </w:rPr>
        <w:t xml:space="preserve">, </w:t>
      </w:r>
      <w:hyperlink r:id="rId15" w:history="1">
        <w:r w:rsidR="00E90321" w:rsidRPr="00E90321">
          <w:rPr>
            <w:rFonts w:cs="Times New Roman"/>
            <w:iCs/>
            <w:sz w:val="20"/>
            <w:szCs w:val="20"/>
            <w:lang w:val="en-GB" w:eastAsia="en-GB"/>
          </w:rPr>
          <w:t>Journal of Corporate Finance</w:t>
        </w:r>
      </w:hyperlink>
      <w:r w:rsidR="00E90321" w:rsidRPr="007E5FFC">
        <w:rPr>
          <w:rFonts w:cs="Times New Roman"/>
          <w:sz w:val="20"/>
          <w:szCs w:val="20"/>
          <w:lang w:val="en-GB" w:eastAsia="en-GB"/>
        </w:rPr>
        <w:t xml:space="preserve">, </w:t>
      </w:r>
      <w:r w:rsidR="00E90321" w:rsidRPr="00E90321">
        <w:rPr>
          <w:sz w:val="20"/>
          <w:szCs w:val="20"/>
          <w:lang w:val="en-GB"/>
        </w:rPr>
        <w:t>2010, vol. 16, issue 3, ss. 320-332.</w:t>
      </w:r>
    </w:p>
    <w:p w:rsidR="00E90321" w:rsidRPr="00E90321" w:rsidRDefault="00E90321" w:rsidP="00BF12A7">
      <w:pPr>
        <w:spacing w:before="120" w:after="120" w:line="240" w:lineRule="auto"/>
        <w:rPr>
          <w:rFonts w:cs="Times New Roman"/>
          <w:sz w:val="20"/>
          <w:szCs w:val="20"/>
          <w:lang w:val="en-GB"/>
        </w:rPr>
      </w:pPr>
    </w:p>
    <w:p w:rsidR="00EB563D" w:rsidRDefault="00EB563D" w:rsidP="00EB563D">
      <w:pPr>
        <w:spacing w:line="360" w:lineRule="auto"/>
        <w:rPr>
          <w:rFonts w:cs="Times New Roman"/>
          <w:szCs w:val="24"/>
        </w:rPr>
      </w:pPr>
      <w:r w:rsidRPr="0092080B">
        <w:rPr>
          <w:rFonts w:cs="Times New Roman"/>
          <w:szCs w:val="24"/>
        </w:rPr>
        <w:t xml:space="preserve">Światową gospodarkę wyróżnia dynamiczny rozwój rynków finansowych a wraz z nim tworzące się nowe, specyficzne segmenty tego rynku. Jednym z nich jest rynek funduszy </w:t>
      </w:r>
      <w:r>
        <w:rPr>
          <w:rFonts w:cs="Times New Roman"/>
          <w:i/>
          <w:szCs w:val="24"/>
        </w:rPr>
        <w:t xml:space="preserve"> </w:t>
      </w:r>
      <w:proofErr w:type="spellStart"/>
      <w:r>
        <w:rPr>
          <w:rFonts w:cs="Times New Roman"/>
          <w:i/>
          <w:szCs w:val="24"/>
        </w:rPr>
        <w:t>private</w:t>
      </w:r>
      <w:proofErr w:type="spellEnd"/>
      <w:r>
        <w:rPr>
          <w:rFonts w:cs="Times New Roman"/>
          <w:i/>
          <w:szCs w:val="24"/>
        </w:rPr>
        <w:t xml:space="preserve"> equity</w:t>
      </w:r>
      <w:r w:rsidRPr="0092080B">
        <w:rPr>
          <w:rFonts w:cs="Times New Roman"/>
          <w:szCs w:val="24"/>
        </w:rPr>
        <w:t>, który bardzo dynamic</w:t>
      </w:r>
      <w:r>
        <w:rPr>
          <w:rFonts w:cs="Times New Roman"/>
          <w:szCs w:val="24"/>
        </w:rPr>
        <w:t>znie rozwija się już od ponad 50</w:t>
      </w:r>
      <w:r w:rsidRPr="0092080B">
        <w:rPr>
          <w:rFonts w:cs="Times New Roman"/>
          <w:szCs w:val="24"/>
        </w:rPr>
        <w:t xml:space="preserve"> lat.</w:t>
      </w:r>
      <w:r>
        <w:rPr>
          <w:rFonts w:cs="Times New Roman"/>
          <w:szCs w:val="24"/>
        </w:rPr>
        <w:t xml:space="preserve"> Celem artykułu jest analiza poziomu niedoszacowania transakcji IPO na GPW w Warszawie spółek zasilanych funduszami venture </w:t>
      </w:r>
      <w:proofErr w:type="spellStart"/>
      <w:r>
        <w:rPr>
          <w:rFonts w:cs="Times New Roman"/>
          <w:szCs w:val="24"/>
        </w:rPr>
        <w:t>capital</w:t>
      </w:r>
      <w:proofErr w:type="spellEnd"/>
      <w:r>
        <w:rPr>
          <w:rFonts w:cs="Times New Roman"/>
          <w:szCs w:val="24"/>
        </w:rPr>
        <w:t xml:space="preserve"> oraz </w:t>
      </w:r>
      <w:proofErr w:type="spellStart"/>
      <w:r>
        <w:rPr>
          <w:rFonts w:cs="Times New Roman"/>
          <w:szCs w:val="24"/>
        </w:rPr>
        <w:t>private</w:t>
      </w:r>
      <w:proofErr w:type="spellEnd"/>
      <w:r>
        <w:rPr>
          <w:rFonts w:cs="Times New Roman"/>
          <w:szCs w:val="24"/>
        </w:rPr>
        <w:t xml:space="preserve"> equity. </w:t>
      </w:r>
      <w:r w:rsidRPr="00F93FBE">
        <w:rPr>
          <w:rFonts w:cs="Times New Roman"/>
          <w:szCs w:val="24"/>
        </w:rPr>
        <w:t xml:space="preserve">Analizując stopy zwrotu </w:t>
      </w:r>
      <w:r>
        <w:rPr>
          <w:rFonts w:cs="Times New Roman"/>
          <w:szCs w:val="24"/>
        </w:rPr>
        <w:t xml:space="preserve">54 spółek zasilanych funduszami </w:t>
      </w:r>
      <w:proofErr w:type="spellStart"/>
      <w:r>
        <w:rPr>
          <w:rFonts w:cs="Times New Roman"/>
          <w:szCs w:val="24"/>
        </w:rPr>
        <w:t>priavte</w:t>
      </w:r>
      <w:proofErr w:type="spellEnd"/>
      <w:r>
        <w:rPr>
          <w:rFonts w:cs="Times New Roman"/>
          <w:szCs w:val="24"/>
        </w:rPr>
        <w:t xml:space="preserve"> equity oraz 453</w:t>
      </w:r>
      <w:r w:rsidRPr="00F93FBE">
        <w:rPr>
          <w:rFonts w:cs="Times New Roman"/>
          <w:szCs w:val="24"/>
        </w:rPr>
        <w:t xml:space="preserve"> spółek nie posiadających wsparcia funduszy</w:t>
      </w:r>
      <w:r>
        <w:rPr>
          <w:rFonts w:cs="Times New Roman"/>
          <w:szCs w:val="24"/>
        </w:rPr>
        <w:t xml:space="preserve"> wysokiego ryzyka w okresie 2000</w:t>
      </w:r>
      <w:r w:rsidRPr="00F93FBE">
        <w:rPr>
          <w:rFonts w:cs="Times New Roman"/>
          <w:szCs w:val="24"/>
        </w:rPr>
        <w:t>-201</w:t>
      </w:r>
      <w:r>
        <w:rPr>
          <w:rFonts w:cs="Times New Roman"/>
          <w:szCs w:val="24"/>
        </w:rPr>
        <w:t>8</w:t>
      </w:r>
      <w:r w:rsidRPr="00F93FBE">
        <w:rPr>
          <w:rFonts w:cs="Times New Roman"/>
          <w:szCs w:val="24"/>
        </w:rPr>
        <w:t xml:space="preserve"> należy stwierdzić, iż spółki tradycyjne osiągnęły niższy poziom niedoszacowania. Dla spółek szerokiego rynku poziom niedoszacowania pierwsz</w:t>
      </w:r>
      <w:r>
        <w:rPr>
          <w:rFonts w:cs="Times New Roman"/>
          <w:szCs w:val="24"/>
        </w:rPr>
        <w:t>ej oferty publicznej wyniósł 9,99</w:t>
      </w:r>
      <w:r w:rsidRPr="00F93FBE">
        <w:rPr>
          <w:rFonts w:cs="Times New Roman"/>
          <w:szCs w:val="24"/>
        </w:rPr>
        <w:t>% a dla</w:t>
      </w:r>
      <w:r>
        <w:rPr>
          <w:rFonts w:cs="Times New Roman"/>
          <w:szCs w:val="24"/>
        </w:rPr>
        <w:t xml:space="preserve"> spółek z kapitałem IPO już 9,12</w:t>
      </w:r>
      <w:r w:rsidRPr="00F93FBE">
        <w:rPr>
          <w:rFonts w:cs="Times New Roman"/>
          <w:szCs w:val="24"/>
        </w:rPr>
        <w:t>%.</w:t>
      </w:r>
    </w:p>
    <w:p w:rsidR="00BF12A7" w:rsidRDefault="00BF12A7" w:rsidP="00BF12A7">
      <w:pPr>
        <w:tabs>
          <w:tab w:val="left" w:pos="1080"/>
        </w:tabs>
        <w:rPr>
          <w:szCs w:val="24"/>
        </w:rPr>
      </w:pPr>
    </w:p>
    <w:p w:rsidR="00234278" w:rsidRDefault="00234278" w:rsidP="00BF12A7">
      <w:pPr>
        <w:tabs>
          <w:tab w:val="left" w:pos="1080"/>
        </w:tabs>
        <w:rPr>
          <w:szCs w:val="24"/>
        </w:rPr>
      </w:pPr>
    </w:p>
    <w:p w:rsidR="00234278" w:rsidRDefault="00234278" w:rsidP="00BF12A7">
      <w:pPr>
        <w:tabs>
          <w:tab w:val="left" w:pos="1080"/>
        </w:tabs>
        <w:rPr>
          <w:szCs w:val="24"/>
        </w:rPr>
      </w:pPr>
    </w:p>
    <w:p w:rsidR="00234278" w:rsidRDefault="00234278" w:rsidP="00BF12A7">
      <w:pPr>
        <w:tabs>
          <w:tab w:val="left" w:pos="1080"/>
        </w:tabs>
        <w:rPr>
          <w:szCs w:val="24"/>
        </w:rPr>
      </w:pPr>
    </w:p>
    <w:p w:rsidR="00234278" w:rsidRDefault="00234278" w:rsidP="00BF12A7">
      <w:pPr>
        <w:tabs>
          <w:tab w:val="left" w:pos="1080"/>
        </w:tabs>
        <w:rPr>
          <w:szCs w:val="24"/>
        </w:rPr>
      </w:pPr>
    </w:p>
    <w:p w:rsidR="00234278" w:rsidRDefault="00234278" w:rsidP="00BF12A7">
      <w:pPr>
        <w:tabs>
          <w:tab w:val="left" w:pos="1080"/>
        </w:tabs>
        <w:rPr>
          <w:szCs w:val="24"/>
        </w:rPr>
      </w:pPr>
    </w:p>
    <w:p w:rsidR="00234278" w:rsidRDefault="00234278" w:rsidP="00BF12A7">
      <w:pPr>
        <w:tabs>
          <w:tab w:val="left" w:pos="1080"/>
        </w:tabs>
        <w:rPr>
          <w:szCs w:val="24"/>
        </w:rPr>
      </w:pPr>
    </w:p>
    <w:p w:rsidR="00234278" w:rsidRDefault="00234278" w:rsidP="00BF12A7">
      <w:pPr>
        <w:tabs>
          <w:tab w:val="left" w:pos="1080"/>
        </w:tabs>
        <w:rPr>
          <w:szCs w:val="24"/>
        </w:rPr>
      </w:pPr>
    </w:p>
    <w:p w:rsidR="00234278" w:rsidRDefault="00234278" w:rsidP="00BF12A7">
      <w:pPr>
        <w:tabs>
          <w:tab w:val="left" w:pos="1080"/>
        </w:tabs>
        <w:rPr>
          <w:szCs w:val="24"/>
        </w:rPr>
      </w:pPr>
    </w:p>
    <w:p w:rsidR="00234278" w:rsidRDefault="00234278" w:rsidP="00BF12A7">
      <w:pPr>
        <w:tabs>
          <w:tab w:val="left" w:pos="1080"/>
        </w:tabs>
        <w:rPr>
          <w:szCs w:val="24"/>
        </w:rPr>
      </w:pPr>
    </w:p>
    <w:p w:rsidR="00234278" w:rsidRDefault="00234278" w:rsidP="00BF12A7">
      <w:pPr>
        <w:tabs>
          <w:tab w:val="left" w:pos="1080"/>
        </w:tabs>
        <w:rPr>
          <w:szCs w:val="24"/>
        </w:rPr>
      </w:pPr>
    </w:p>
    <w:p w:rsidR="00234278" w:rsidRDefault="00234278" w:rsidP="00BF12A7">
      <w:pPr>
        <w:tabs>
          <w:tab w:val="left" w:pos="1080"/>
        </w:tabs>
        <w:rPr>
          <w:szCs w:val="24"/>
        </w:rPr>
      </w:pPr>
    </w:p>
    <w:p w:rsidR="00234278" w:rsidRDefault="00234278" w:rsidP="00BF12A7">
      <w:pPr>
        <w:tabs>
          <w:tab w:val="left" w:pos="1080"/>
        </w:tabs>
        <w:rPr>
          <w:szCs w:val="24"/>
        </w:rPr>
      </w:pPr>
    </w:p>
    <w:p w:rsidR="00234278" w:rsidRDefault="00234278" w:rsidP="00BF12A7">
      <w:pPr>
        <w:tabs>
          <w:tab w:val="left" w:pos="1080"/>
        </w:tabs>
        <w:rPr>
          <w:szCs w:val="24"/>
        </w:rPr>
      </w:pPr>
    </w:p>
    <w:p w:rsidR="00234278" w:rsidRDefault="00234278" w:rsidP="00BF12A7">
      <w:pPr>
        <w:tabs>
          <w:tab w:val="left" w:pos="1080"/>
        </w:tabs>
        <w:rPr>
          <w:szCs w:val="24"/>
        </w:rPr>
      </w:pPr>
    </w:p>
    <w:p w:rsidR="00234278" w:rsidRPr="00C326E3" w:rsidRDefault="00234278" w:rsidP="00C326E3">
      <w:pPr>
        <w:tabs>
          <w:tab w:val="left" w:pos="1080"/>
        </w:tabs>
        <w:jc w:val="center"/>
        <w:rPr>
          <w:b/>
          <w:szCs w:val="24"/>
        </w:rPr>
      </w:pPr>
      <w:r w:rsidRPr="00C326E3">
        <w:rPr>
          <w:b/>
          <w:szCs w:val="24"/>
        </w:rPr>
        <w:t>ENGLISH VERSION</w:t>
      </w:r>
    </w:p>
    <w:p w:rsidR="00234278" w:rsidRDefault="00234278" w:rsidP="00BF12A7">
      <w:pPr>
        <w:tabs>
          <w:tab w:val="left" w:pos="1080"/>
        </w:tabs>
        <w:rPr>
          <w:szCs w:val="24"/>
        </w:rPr>
      </w:pPr>
    </w:p>
    <w:p w:rsidR="00234278" w:rsidRDefault="00234278" w:rsidP="00BF12A7">
      <w:pPr>
        <w:tabs>
          <w:tab w:val="left" w:pos="1080"/>
        </w:tabs>
        <w:rPr>
          <w:szCs w:val="24"/>
        </w:rPr>
      </w:pPr>
    </w:p>
    <w:p w:rsidR="00234278" w:rsidRPr="00EE26BF" w:rsidRDefault="00234278" w:rsidP="00234278">
      <w:pPr>
        <w:jc w:val="center"/>
        <w:rPr>
          <w:sz w:val="20"/>
          <w:szCs w:val="20"/>
        </w:rPr>
      </w:pPr>
      <w:r w:rsidRPr="00EE26BF">
        <w:rPr>
          <w:sz w:val="20"/>
          <w:szCs w:val="20"/>
        </w:rPr>
        <w:t>PIOTR ZASĘPA</w:t>
      </w:r>
    </w:p>
    <w:p w:rsidR="00234278" w:rsidRPr="004872FC" w:rsidRDefault="00234278" w:rsidP="00234278">
      <w:pPr>
        <w:jc w:val="center"/>
        <w:rPr>
          <w:sz w:val="16"/>
          <w:szCs w:val="16"/>
        </w:rPr>
      </w:pPr>
      <w:r w:rsidRPr="004872FC">
        <w:rPr>
          <w:sz w:val="16"/>
          <w:szCs w:val="16"/>
        </w:rPr>
        <w:t>p.zasepa@ujd.edu.pl</w:t>
      </w:r>
    </w:p>
    <w:p w:rsidR="00234278" w:rsidRPr="00EE26BF" w:rsidRDefault="00234278" w:rsidP="00234278">
      <w:pPr>
        <w:jc w:val="center"/>
        <w:rPr>
          <w:color w:val="FF0000"/>
          <w:sz w:val="16"/>
          <w:szCs w:val="16"/>
          <w:lang w:val="en-GB"/>
        </w:rPr>
      </w:pPr>
      <w:r w:rsidRPr="00EE26BF">
        <w:rPr>
          <w:sz w:val="16"/>
          <w:szCs w:val="16"/>
          <w:lang w:val="en-GB"/>
        </w:rPr>
        <w:t xml:space="preserve">University of Jan </w:t>
      </w:r>
      <w:proofErr w:type="spellStart"/>
      <w:r w:rsidRPr="00EE26BF">
        <w:rPr>
          <w:sz w:val="16"/>
          <w:szCs w:val="16"/>
          <w:lang w:val="en-GB"/>
        </w:rPr>
        <w:t>Dlugosz</w:t>
      </w:r>
      <w:proofErr w:type="spellEnd"/>
      <w:r w:rsidRPr="00EE26BF">
        <w:rPr>
          <w:sz w:val="16"/>
          <w:szCs w:val="16"/>
          <w:lang w:val="en-GB"/>
        </w:rPr>
        <w:t xml:space="preserve"> in </w:t>
      </w:r>
      <w:proofErr w:type="spellStart"/>
      <w:r w:rsidRPr="00EE26BF">
        <w:rPr>
          <w:sz w:val="16"/>
          <w:szCs w:val="16"/>
          <w:lang w:val="en-GB"/>
        </w:rPr>
        <w:t>Częstochowa</w:t>
      </w:r>
      <w:proofErr w:type="spellEnd"/>
    </w:p>
    <w:p w:rsidR="00234278" w:rsidRPr="004872FC" w:rsidRDefault="00234278" w:rsidP="00234278">
      <w:pPr>
        <w:jc w:val="center"/>
        <w:rPr>
          <w:sz w:val="18"/>
          <w:szCs w:val="18"/>
          <w:lang w:val="en-GB"/>
        </w:rPr>
      </w:pPr>
      <w:r w:rsidRPr="004872FC">
        <w:rPr>
          <w:sz w:val="18"/>
          <w:szCs w:val="18"/>
          <w:lang w:val="en-GB"/>
        </w:rPr>
        <w:t xml:space="preserve">ORCID ID: </w:t>
      </w:r>
      <w:r w:rsidRPr="004872FC">
        <w:rPr>
          <w:rStyle w:val="orcid-id-https"/>
          <w:sz w:val="18"/>
          <w:szCs w:val="18"/>
          <w:lang w:val="en-GB"/>
        </w:rPr>
        <w:t>https://orcid.org/0000-0003-0099-6971</w:t>
      </w:r>
    </w:p>
    <w:p w:rsidR="00234278" w:rsidRPr="00E60C16" w:rsidRDefault="00234278" w:rsidP="00234278">
      <w:pPr>
        <w:rPr>
          <w:lang w:val="en-GB"/>
        </w:rPr>
      </w:pPr>
    </w:p>
    <w:p w:rsidR="00234278" w:rsidRPr="00E60C16" w:rsidRDefault="00234278" w:rsidP="00234278">
      <w:pPr>
        <w:rPr>
          <w:lang w:val="en-GB"/>
        </w:rPr>
      </w:pPr>
    </w:p>
    <w:p w:rsidR="00234278" w:rsidRDefault="00234278" w:rsidP="00234278">
      <w:pPr>
        <w:autoSpaceDE w:val="0"/>
        <w:autoSpaceDN w:val="0"/>
        <w:adjustRightInd w:val="0"/>
        <w:spacing w:line="240" w:lineRule="auto"/>
        <w:jc w:val="center"/>
        <w:rPr>
          <w:rFonts w:ascii="TimesNewRomanPSMT" w:hAnsi="TimesNewRomanPSMT" w:cs="TimesNewRomanPSMT"/>
          <w:sz w:val="21"/>
          <w:szCs w:val="21"/>
        </w:rPr>
      </w:pPr>
      <w:r>
        <w:rPr>
          <w:rFonts w:ascii="TimesNewRomanPSMT" w:hAnsi="TimesNewRomanPSMT" w:cs="TimesNewRomanPSMT"/>
          <w:sz w:val="21"/>
          <w:szCs w:val="21"/>
        </w:rPr>
        <w:t xml:space="preserve">Trendy niedoszacowania wartości akcji w procesie pierwszej oferty publicznej przez spółki zasilane funduszami </w:t>
      </w:r>
      <w:proofErr w:type="spellStart"/>
      <w:r>
        <w:rPr>
          <w:rFonts w:ascii="TimesNewRomanPSMT" w:hAnsi="TimesNewRomanPSMT" w:cs="TimesNewRomanPSMT"/>
          <w:sz w:val="21"/>
          <w:szCs w:val="21"/>
        </w:rPr>
        <w:t>private</w:t>
      </w:r>
      <w:proofErr w:type="spellEnd"/>
      <w:r>
        <w:rPr>
          <w:rFonts w:ascii="TimesNewRomanPSMT" w:hAnsi="TimesNewRomanPSMT" w:cs="TimesNewRomanPSMT"/>
          <w:sz w:val="21"/>
          <w:szCs w:val="21"/>
        </w:rPr>
        <w:t xml:space="preserve"> equity na rynku kapitałowym w Polsce w latach 2000-2018</w:t>
      </w:r>
    </w:p>
    <w:p w:rsidR="00234278" w:rsidRDefault="00234278" w:rsidP="00234278">
      <w:pPr>
        <w:autoSpaceDE w:val="0"/>
        <w:autoSpaceDN w:val="0"/>
        <w:adjustRightInd w:val="0"/>
        <w:spacing w:line="240" w:lineRule="auto"/>
        <w:rPr>
          <w:rFonts w:ascii="TimesNewRomanPSMT" w:hAnsi="TimesNewRomanPSMT" w:cs="TimesNewRomanPSMT"/>
        </w:rPr>
      </w:pPr>
    </w:p>
    <w:p w:rsidR="00234278" w:rsidRPr="004872FC" w:rsidRDefault="00234278" w:rsidP="00234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i/>
          <w:szCs w:val="24"/>
          <w:lang w:val="en-GB" w:eastAsia="en-GB"/>
        </w:rPr>
      </w:pPr>
      <w:r w:rsidRPr="004872FC">
        <w:rPr>
          <w:rFonts w:eastAsia="Times New Roman" w:cs="Times New Roman"/>
          <w:i/>
          <w:szCs w:val="24"/>
          <w:lang w:val="en" w:eastAsia="en-GB"/>
        </w:rPr>
        <w:t xml:space="preserve">Trends in underpricing of private equity backed IPO at the capital market in </w:t>
      </w:r>
      <w:proofErr w:type="spellStart"/>
      <w:r w:rsidRPr="004872FC">
        <w:rPr>
          <w:rFonts w:eastAsia="Times New Roman" w:cs="Times New Roman"/>
          <w:i/>
          <w:szCs w:val="24"/>
          <w:lang w:val="en" w:eastAsia="en-GB"/>
        </w:rPr>
        <w:t>Polandin</w:t>
      </w:r>
      <w:proofErr w:type="spellEnd"/>
      <w:r w:rsidRPr="004872FC">
        <w:rPr>
          <w:rFonts w:eastAsia="Times New Roman" w:cs="Times New Roman"/>
          <w:i/>
          <w:szCs w:val="24"/>
          <w:lang w:val="en" w:eastAsia="en-GB"/>
        </w:rPr>
        <w:t xml:space="preserve"> the years 2000-2018</w:t>
      </w:r>
    </w:p>
    <w:p w:rsidR="00234278" w:rsidRPr="00E60C16" w:rsidRDefault="00234278" w:rsidP="00234278">
      <w:pPr>
        <w:rPr>
          <w:lang w:val="en-GB"/>
        </w:rPr>
      </w:pPr>
    </w:p>
    <w:p w:rsidR="00234278" w:rsidRPr="00E60C16" w:rsidRDefault="00234278" w:rsidP="00234278">
      <w:pPr>
        <w:rPr>
          <w:sz w:val="16"/>
          <w:szCs w:val="16"/>
          <w:lang w:val="en-GB"/>
        </w:rPr>
      </w:pPr>
      <w:r w:rsidRPr="00E60C16">
        <w:rPr>
          <w:b/>
          <w:sz w:val="16"/>
          <w:szCs w:val="16"/>
          <w:lang w:val="en-GB"/>
        </w:rPr>
        <w:t>Keywords:</w:t>
      </w:r>
      <w:r>
        <w:rPr>
          <w:b/>
          <w:sz w:val="16"/>
          <w:szCs w:val="16"/>
          <w:lang w:val="en-GB"/>
        </w:rPr>
        <w:t xml:space="preserve"> IPO </w:t>
      </w:r>
      <w:proofErr w:type="spellStart"/>
      <w:r>
        <w:rPr>
          <w:b/>
          <w:sz w:val="16"/>
          <w:szCs w:val="16"/>
          <w:lang w:val="en-GB"/>
        </w:rPr>
        <w:t>underpricing</w:t>
      </w:r>
      <w:proofErr w:type="spellEnd"/>
      <w:r>
        <w:rPr>
          <w:b/>
          <w:sz w:val="16"/>
          <w:szCs w:val="16"/>
          <w:lang w:val="en-GB"/>
        </w:rPr>
        <w:t>, private equity backed IPO</w:t>
      </w:r>
      <w:r w:rsidRPr="00E60C16">
        <w:rPr>
          <w:sz w:val="16"/>
          <w:szCs w:val="16"/>
          <w:lang w:val="en-GB"/>
        </w:rPr>
        <w:t xml:space="preserve"> </w:t>
      </w:r>
    </w:p>
    <w:p w:rsidR="00234278" w:rsidRPr="004872FC" w:rsidRDefault="00234278" w:rsidP="00234278">
      <w:pPr>
        <w:rPr>
          <w:sz w:val="16"/>
          <w:szCs w:val="16"/>
          <w:lang w:val="en-GB"/>
        </w:rPr>
      </w:pPr>
      <w:r w:rsidRPr="004872FC">
        <w:rPr>
          <w:b/>
          <w:sz w:val="16"/>
          <w:szCs w:val="16"/>
          <w:lang w:val="en-GB"/>
        </w:rPr>
        <w:t>JEL:</w:t>
      </w:r>
      <w:r w:rsidRPr="004872FC">
        <w:rPr>
          <w:sz w:val="16"/>
          <w:szCs w:val="16"/>
          <w:lang w:val="en-GB"/>
        </w:rPr>
        <w:t xml:space="preserve"> </w:t>
      </w:r>
      <w:r w:rsidRPr="00EE26BF">
        <w:rPr>
          <w:rStyle w:val="st"/>
          <w:rFonts w:cs="Times New Roman"/>
          <w:sz w:val="20"/>
          <w:szCs w:val="20"/>
          <w:lang w:val="en-GB"/>
        </w:rPr>
        <w:t>G11, G24, G32</w:t>
      </w:r>
    </w:p>
    <w:p w:rsidR="00234278" w:rsidRDefault="00234278" w:rsidP="00234278">
      <w:pPr>
        <w:autoSpaceDE w:val="0"/>
        <w:autoSpaceDN w:val="0"/>
        <w:adjustRightInd w:val="0"/>
        <w:spacing w:line="240" w:lineRule="auto"/>
        <w:jc w:val="center"/>
        <w:rPr>
          <w:sz w:val="16"/>
          <w:szCs w:val="16"/>
          <w:lang w:val="en-GB"/>
        </w:rPr>
      </w:pPr>
      <w:r w:rsidRPr="00C26D6C">
        <w:rPr>
          <w:b/>
          <w:sz w:val="16"/>
          <w:szCs w:val="16"/>
          <w:lang w:val="en-GB"/>
        </w:rPr>
        <w:t>How to quote this paper</w:t>
      </w:r>
      <w:r w:rsidRPr="008430BA">
        <w:rPr>
          <w:b/>
          <w:sz w:val="16"/>
          <w:szCs w:val="16"/>
          <w:lang w:val="en-GB"/>
        </w:rPr>
        <w:t>:</w:t>
      </w:r>
      <w:r w:rsidRPr="008430BA">
        <w:rPr>
          <w:sz w:val="16"/>
          <w:szCs w:val="16"/>
          <w:lang w:val="en-GB"/>
        </w:rPr>
        <w:t xml:space="preserve"> P. </w:t>
      </w:r>
      <w:proofErr w:type="spellStart"/>
      <w:r w:rsidRPr="008430BA">
        <w:rPr>
          <w:sz w:val="16"/>
          <w:szCs w:val="16"/>
          <w:lang w:val="en-GB"/>
        </w:rPr>
        <w:t>Zasępa</w:t>
      </w:r>
      <w:proofErr w:type="spellEnd"/>
      <w:r w:rsidRPr="008430BA">
        <w:rPr>
          <w:sz w:val="16"/>
          <w:szCs w:val="16"/>
          <w:lang w:val="en-GB"/>
        </w:rPr>
        <w:t xml:space="preserve">, (2019). </w:t>
      </w:r>
      <w:r w:rsidRPr="008430BA">
        <w:rPr>
          <w:rFonts w:ascii="TimesNewRomanPSMT" w:hAnsi="TimesNewRomanPSMT" w:cs="TimesNewRomanPSMT"/>
          <w:sz w:val="16"/>
          <w:szCs w:val="16"/>
        </w:rPr>
        <w:t xml:space="preserve">Trendy niedoszacowania wartości akcji w procesie pierwszej oferty publicznej przez spółki zasilane funduszami </w:t>
      </w:r>
      <w:proofErr w:type="spellStart"/>
      <w:r w:rsidRPr="008430BA">
        <w:rPr>
          <w:rFonts w:ascii="TimesNewRomanPSMT" w:hAnsi="TimesNewRomanPSMT" w:cs="TimesNewRomanPSMT"/>
          <w:sz w:val="16"/>
          <w:szCs w:val="16"/>
        </w:rPr>
        <w:t>private</w:t>
      </w:r>
      <w:proofErr w:type="spellEnd"/>
      <w:r w:rsidRPr="008430BA">
        <w:rPr>
          <w:rFonts w:ascii="TimesNewRomanPSMT" w:hAnsi="TimesNewRomanPSMT" w:cs="TimesNewRomanPSMT"/>
          <w:sz w:val="16"/>
          <w:szCs w:val="16"/>
        </w:rPr>
        <w:t xml:space="preserve"> equity na rynku kapitałowym w Polsce w latach 2000-2018, </w:t>
      </w:r>
      <w:r w:rsidRPr="008430BA">
        <w:rPr>
          <w:sz w:val="16"/>
          <w:szCs w:val="16"/>
        </w:rPr>
        <w:t xml:space="preserve">. </w:t>
      </w:r>
      <w:proofErr w:type="spellStart"/>
      <w:r w:rsidRPr="008430BA">
        <w:rPr>
          <w:i/>
          <w:sz w:val="16"/>
          <w:szCs w:val="16"/>
          <w:lang w:val="en-GB"/>
        </w:rPr>
        <w:t>Annales</w:t>
      </w:r>
      <w:proofErr w:type="spellEnd"/>
      <w:r w:rsidRPr="008430BA">
        <w:rPr>
          <w:i/>
          <w:sz w:val="16"/>
          <w:szCs w:val="16"/>
          <w:lang w:val="en-GB"/>
        </w:rPr>
        <w:t xml:space="preserve"> </w:t>
      </w:r>
      <w:proofErr w:type="spellStart"/>
      <w:r w:rsidRPr="008430BA">
        <w:rPr>
          <w:i/>
          <w:sz w:val="16"/>
          <w:szCs w:val="16"/>
          <w:lang w:val="en-GB"/>
        </w:rPr>
        <w:t>Universitatis</w:t>
      </w:r>
      <w:proofErr w:type="spellEnd"/>
      <w:r w:rsidRPr="008430BA">
        <w:rPr>
          <w:i/>
          <w:sz w:val="16"/>
          <w:szCs w:val="16"/>
          <w:lang w:val="en-GB"/>
        </w:rPr>
        <w:t xml:space="preserve"> </w:t>
      </w:r>
      <w:proofErr w:type="spellStart"/>
      <w:r w:rsidRPr="008430BA">
        <w:rPr>
          <w:i/>
          <w:sz w:val="16"/>
          <w:szCs w:val="16"/>
          <w:lang w:val="en-GB"/>
        </w:rPr>
        <w:t>Mariae</w:t>
      </w:r>
      <w:proofErr w:type="spellEnd"/>
      <w:r w:rsidRPr="008430BA">
        <w:rPr>
          <w:i/>
          <w:sz w:val="16"/>
          <w:szCs w:val="16"/>
          <w:lang w:val="en-GB"/>
        </w:rPr>
        <w:t xml:space="preserve"> Curie-</w:t>
      </w:r>
      <w:proofErr w:type="spellStart"/>
      <w:r w:rsidRPr="008430BA">
        <w:rPr>
          <w:i/>
          <w:sz w:val="16"/>
          <w:szCs w:val="16"/>
          <w:lang w:val="en-GB"/>
        </w:rPr>
        <w:t>Skłodowska</w:t>
      </w:r>
      <w:proofErr w:type="spellEnd"/>
      <w:r w:rsidRPr="008430BA">
        <w:rPr>
          <w:i/>
          <w:sz w:val="16"/>
          <w:szCs w:val="16"/>
          <w:lang w:val="en-GB"/>
        </w:rPr>
        <w:t xml:space="preserve">, </w:t>
      </w:r>
      <w:proofErr w:type="spellStart"/>
      <w:r w:rsidRPr="008430BA">
        <w:rPr>
          <w:i/>
          <w:sz w:val="16"/>
          <w:szCs w:val="16"/>
          <w:lang w:val="en-GB"/>
        </w:rPr>
        <w:t>sectio</w:t>
      </w:r>
      <w:proofErr w:type="spellEnd"/>
      <w:r w:rsidRPr="008430BA">
        <w:rPr>
          <w:i/>
          <w:sz w:val="16"/>
          <w:szCs w:val="16"/>
          <w:lang w:val="en-GB"/>
        </w:rPr>
        <w:t xml:space="preserve"> H – </w:t>
      </w:r>
      <w:proofErr w:type="spellStart"/>
      <w:r w:rsidRPr="008430BA">
        <w:rPr>
          <w:i/>
          <w:sz w:val="16"/>
          <w:szCs w:val="16"/>
          <w:lang w:val="en-GB"/>
        </w:rPr>
        <w:t>Oeconomia</w:t>
      </w:r>
      <w:proofErr w:type="spellEnd"/>
      <w:r>
        <w:rPr>
          <w:sz w:val="16"/>
          <w:szCs w:val="16"/>
          <w:lang w:val="en-GB"/>
        </w:rPr>
        <w:t xml:space="preserve">, </w:t>
      </w:r>
    </w:p>
    <w:p w:rsidR="00234278" w:rsidRDefault="00234278" w:rsidP="00234278">
      <w:pPr>
        <w:rPr>
          <w:sz w:val="16"/>
          <w:szCs w:val="16"/>
          <w:lang w:val="en-GB"/>
        </w:rPr>
      </w:pPr>
    </w:p>
    <w:p w:rsidR="00234278" w:rsidRDefault="00234278" w:rsidP="00234278">
      <w:pPr>
        <w:rPr>
          <w:sz w:val="16"/>
          <w:szCs w:val="16"/>
          <w:lang w:val="en-GB"/>
        </w:rPr>
      </w:pPr>
    </w:p>
    <w:p w:rsidR="00234278" w:rsidRDefault="00234278" w:rsidP="00234278">
      <w:pPr>
        <w:rPr>
          <w:sz w:val="16"/>
          <w:szCs w:val="16"/>
          <w:lang w:val="en-GB"/>
        </w:rPr>
      </w:pPr>
    </w:p>
    <w:p w:rsidR="00234278" w:rsidRPr="008430BA" w:rsidRDefault="00234278" w:rsidP="00234278">
      <w:pPr>
        <w:spacing w:line="360" w:lineRule="auto"/>
        <w:rPr>
          <w:rFonts w:cs="Times New Roman"/>
          <w:sz w:val="20"/>
          <w:szCs w:val="20"/>
          <w:lang w:val="en-GB"/>
        </w:rPr>
      </w:pPr>
      <w:r w:rsidRPr="009C1073">
        <w:rPr>
          <w:b/>
          <w:sz w:val="20"/>
          <w:szCs w:val="20"/>
          <w:lang w:val="en-GB"/>
        </w:rPr>
        <w:t>Abstract</w:t>
      </w:r>
      <w:r>
        <w:rPr>
          <w:b/>
          <w:sz w:val="20"/>
          <w:szCs w:val="20"/>
          <w:lang w:val="en-GB"/>
        </w:rPr>
        <w:t xml:space="preserve"> </w:t>
      </w:r>
      <w:r w:rsidRPr="008430BA">
        <w:rPr>
          <w:rFonts w:cs="Times New Roman"/>
          <w:sz w:val="20"/>
          <w:szCs w:val="20"/>
          <w:lang w:val="en"/>
        </w:rPr>
        <w:t xml:space="preserve">The global economy is distinguished by the dynamic development of financial markets and with it creating a new specific segments of the market. One of them is the market for venture capital and private equity </w:t>
      </w:r>
      <w:bookmarkStart w:id="0" w:name="_GoBack"/>
      <w:bookmarkEnd w:id="0"/>
      <w:r w:rsidRPr="008430BA">
        <w:rPr>
          <w:rFonts w:cs="Times New Roman"/>
          <w:sz w:val="20"/>
          <w:szCs w:val="20"/>
          <w:lang w:val="en"/>
        </w:rPr>
        <w:t>funds, which is developing very dynamically for more than 50 years. This article aims to analyze the level of underestimation of the IPO on the Warsaw Stock Exchange companies supplied by venture capital and private equity funds. Analyzing the rate of retu</w:t>
      </w:r>
      <w:r>
        <w:rPr>
          <w:rFonts w:cs="Times New Roman"/>
          <w:sz w:val="20"/>
          <w:szCs w:val="20"/>
          <w:lang w:val="en"/>
        </w:rPr>
        <w:t>rn of 54</w:t>
      </w:r>
      <w:r w:rsidRPr="008430BA">
        <w:rPr>
          <w:rFonts w:cs="Times New Roman"/>
          <w:sz w:val="20"/>
          <w:szCs w:val="20"/>
          <w:lang w:val="en"/>
        </w:rPr>
        <w:t xml:space="preserve"> co</w:t>
      </w:r>
      <w:r>
        <w:rPr>
          <w:rFonts w:cs="Times New Roman"/>
          <w:sz w:val="20"/>
          <w:szCs w:val="20"/>
          <w:lang w:val="en"/>
        </w:rPr>
        <w:t>mpanies supplied VC funds and 453</w:t>
      </w:r>
      <w:r w:rsidRPr="008430BA">
        <w:rPr>
          <w:rFonts w:cs="Times New Roman"/>
          <w:sz w:val="20"/>
          <w:szCs w:val="20"/>
          <w:lang w:val="en"/>
        </w:rPr>
        <w:t xml:space="preserve"> companies do not have the support of venture capital funds in the 200</w:t>
      </w:r>
      <w:r>
        <w:rPr>
          <w:rFonts w:cs="Times New Roman"/>
          <w:sz w:val="20"/>
          <w:szCs w:val="20"/>
          <w:lang w:val="en"/>
        </w:rPr>
        <w:t>0</w:t>
      </w:r>
      <w:r w:rsidRPr="008430BA">
        <w:rPr>
          <w:rFonts w:cs="Times New Roman"/>
          <w:sz w:val="20"/>
          <w:szCs w:val="20"/>
          <w:lang w:val="en"/>
        </w:rPr>
        <w:t>-201</w:t>
      </w:r>
      <w:r>
        <w:rPr>
          <w:rFonts w:cs="Times New Roman"/>
          <w:sz w:val="20"/>
          <w:szCs w:val="20"/>
          <w:lang w:val="en"/>
        </w:rPr>
        <w:t>8</w:t>
      </w:r>
      <w:r w:rsidRPr="008430BA">
        <w:rPr>
          <w:rFonts w:cs="Times New Roman"/>
          <w:sz w:val="20"/>
          <w:szCs w:val="20"/>
          <w:lang w:val="en"/>
        </w:rPr>
        <w:t xml:space="preserve"> period should be stated that the company's traditional reached the lower level of underestimation. For companies a broad market level u</w:t>
      </w:r>
      <w:r>
        <w:rPr>
          <w:rFonts w:cs="Times New Roman"/>
          <w:sz w:val="20"/>
          <w:szCs w:val="20"/>
          <w:lang w:val="en"/>
        </w:rPr>
        <w:t>nderestimation of the IPO was 9.99</w:t>
      </w:r>
      <w:r w:rsidRPr="008430BA">
        <w:rPr>
          <w:rFonts w:cs="Times New Roman"/>
          <w:sz w:val="20"/>
          <w:szCs w:val="20"/>
          <w:lang w:val="en"/>
        </w:rPr>
        <w:t xml:space="preserve">% and for companies with VC/PE support - </w:t>
      </w:r>
      <w:r>
        <w:rPr>
          <w:rFonts w:cs="Times New Roman"/>
          <w:sz w:val="20"/>
          <w:szCs w:val="20"/>
          <w:lang w:val="en"/>
        </w:rPr>
        <w:t xml:space="preserve"> 9.12</w:t>
      </w:r>
      <w:r w:rsidRPr="008430BA">
        <w:rPr>
          <w:rFonts w:cs="Times New Roman"/>
          <w:sz w:val="20"/>
          <w:szCs w:val="20"/>
          <w:lang w:val="en"/>
        </w:rPr>
        <w:t>%.</w:t>
      </w:r>
    </w:p>
    <w:p w:rsidR="00234278" w:rsidRPr="00234278" w:rsidRDefault="00234278" w:rsidP="00BF12A7">
      <w:pPr>
        <w:tabs>
          <w:tab w:val="left" w:pos="1080"/>
        </w:tabs>
        <w:rPr>
          <w:szCs w:val="24"/>
          <w:lang w:val="en-GB"/>
        </w:rPr>
      </w:pPr>
    </w:p>
    <w:p w:rsidR="00234278" w:rsidRPr="00234278" w:rsidRDefault="00234278" w:rsidP="00BF12A7">
      <w:pPr>
        <w:tabs>
          <w:tab w:val="left" w:pos="1080"/>
        </w:tabs>
        <w:rPr>
          <w:szCs w:val="24"/>
          <w:lang w:val="en-GB"/>
        </w:rPr>
      </w:pPr>
    </w:p>
    <w:p w:rsidR="00234278" w:rsidRPr="00234278" w:rsidRDefault="00234278" w:rsidP="00BF12A7">
      <w:pPr>
        <w:tabs>
          <w:tab w:val="left" w:pos="1080"/>
        </w:tabs>
        <w:rPr>
          <w:szCs w:val="24"/>
          <w:lang w:val="en-GB"/>
        </w:rPr>
      </w:pPr>
    </w:p>
    <w:p w:rsidR="00234278" w:rsidRPr="00C326E3" w:rsidRDefault="00234278" w:rsidP="00C326E3">
      <w:pPr>
        <w:tabs>
          <w:tab w:val="left" w:pos="1080"/>
        </w:tabs>
        <w:spacing w:line="276" w:lineRule="auto"/>
        <w:rPr>
          <w:rFonts w:cs="Times New Roman"/>
          <w:szCs w:val="24"/>
          <w:lang w:val="en-GB"/>
        </w:rPr>
      </w:pPr>
      <w:r w:rsidRPr="00C326E3">
        <w:rPr>
          <w:rFonts w:cs="Times New Roman"/>
          <w:szCs w:val="24"/>
          <w:lang w:val="en-GB"/>
        </w:rPr>
        <w:t>Introduction</w:t>
      </w:r>
    </w:p>
    <w:p w:rsidR="00234278" w:rsidRPr="00C326E3" w:rsidRDefault="00234278" w:rsidP="00C326E3">
      <w:pPr>
        <w:pStyle w:val="HTML-wstpniesformatowany"/>
        <w:spacing w:line="276" w:lineRule="auto"/>
        <w:jc w:val="both"/>
        <w:rPr>
          <w:rFonts w:ascii="Times New Roman" w:hAnsi="Times New Roman" w:cs="Times New Roman"/>
          <w:sz w:val="24"/>
          <w:szCs w:val="24"/>
        </w:rPr>
      </w:pPr>
      <w:r w:rsidRPr="00C326E3">
        <w:rPr>
          <w:rFonts w:ascii="Times New Roman" w:hAnsi="Times New Roman" w:cs="Times New Roman"/>
          <w:sz w:val="24"/>
          <w:szCs w:val="24"/>
          <w:lang w:val="en"/>
        </w:rPr>
        <w:t xml:space="preserve">The joint-stock company's decision to conduct the initial public offering is conditioned by many factors, but the most obvious premise for making the company public is the desire to raise capital for development as a result of a new issue of shares. This, however, involves the need to incur the costs of issue and the costs of introducing shares to regulated secondary trading when the strategic choice of the issuer is to ensure the listing of shares on the secondary market, in particular on the stock exchange. In the case of companies powered by private equity funds, one of the reasons may be the desire to divest their portfolio shares. Funds often introduce a company to the stock exchange for the purpose of subsequent sale of their shares, as they may constitute the provisions of the investment agreement. According to statistical data, in the years 2000-2018, 453 companies debuted on the Warsaw Stock </w:t>
      </w:r>
      <w:r w:rsidRPr="00C326E3">
        <w:rPr>
          <w:rFonts w:ascii="Times New Roman" w:hAnsi="Times New Roman" w:cs="Times New Roman"/>
          <w:sz w:val="24"/>
          <w:szCs w:val="24"/>
          <w:lang w:val="en"/>
        </w:rPr>
        <w:lastRenderedPageBreak/>
        <w:t>Exchange, including 54 funded companies. This represents over 12% of all debuts (in quantitative terms), which deserves a closer look at the behavior of these entities after the initial public offering. The empirical research to date also in this case indicates the occurrence of certain patterns that characterize share prices and their rates of return. The aim of the article is to analyze the behavior of share prices and rates of return of companies supplied with private equity funds against the background of other entities conducting the Initial Public Offering (IPO) transaction on the Warsaw Stock Exchange in 2000-2018. The time range selected for analysis is quite wide and sufficient to examine changes in the behavior of share prices and their rates of return over the past eighteen years. Such a wide study period is also very interesting because the studies carried out so far regarding shorter sub-periods indicate different results compared to those observed during the analysis of data for the period indicated in the title of the article.</w:t>
      </w:r>
    </w:p>
    <w:p w:rsidR="00234278" w:rsidRPr="00C326E3" w:rsidRDefault="00234278" w:rsidP="00C326E3">
      <w:pPr>
        <w:pStyle w:val="HTML-wstpniesformatowany"/>
        <w:spacing w:line="276" w:lineRule="auto"/>
        <w:jc w:val="both"/>
        <w:rPr>
          <w:rFonts w:ascii="Times New Roman" w:hAnsi="Times New Roman" w:cs="Times New Roman"/>
          <w:sz w:val="24"/>
          <w:szCs w:val="24"/>
          <w:lang w:val="en"/>
        </w:rPr>
      </w:pPr>
      <w:r w:rsidRPr="00C326E3">
        <w:rPr>
          <w:rFonts w:ascii="Times New Roman" w:hAnsi="Times New Roman" w:cs="Times New Roman"/>
          <w:sz w:val="24"/>
          <w:szCs w:val="24"/>
          <w:lang w:val="en"/>
        </w:rPr>
        <w:t>The capital market is a place of both raising and investing capital, and its two main segments are the primary and secondary market. On the primary market, issuers offer investors shares at the issue price. If this is the first offer addressed to an unlimited number of investors (in Poland at least 100), it is the so-called initial public offering. The company offers its shares to the public for the first time and will be listed on the stock exchange only after the issue. From the issuer's point of view, the optimal mechanism of this offer is one that allows you to maximize income from the issue of shares.</w:t>
      </w:r>
    </w:p>
    <w:p w:rsidR="00234278" w:rsidRPr="00C326E3" w:rsidRDefault="00234278" w:rsidP="00C326E3">
      <w:pPr>
        <w:pStyle w:val="HTML-wstpniesformatowany"/>
        <w:spacing w:line="276" w:lineRule="auto"/>
        <w:jc w:val="both"/>
        <w:rPr>
          <w:rFonts w:ascii="Times New Roman" w:hAnsi="Times New Roman" w:cs="Times New Roman"/>
          <w:sz w:val="24"/>
          <w:szCs w:val="24"/>
          <w:lang w:val="en"/>
        </w:rPr>
      </w:pPr>
    </w:p>
    <w:p w:rsidR="00234278" w:rsidRPr="00C326E3" w:rsidRDefault="00234278" w:rsidP="00C326E3">
      <w:pPr>
        <w:pStyle w:val="HTML-wstpniesformatowany"/>
        <w:spacing w:line="276" w:lineRule="auto"/>
        <w:jc w:val="both"/>
        <w:rPr>
          <w:rFonts w:ascii="Times New Roman" w:hAnsi="Times New Roman" w:cs="Times New Roman"/>
          <w:sz w:val="24"/>
          <w:szCs w:val="24"/>
          <w:lang w:val="en"/>
        </w:rPr>
      </w:pPr>
      <w:r w:rsidRPr="00C326E3">
        <w:rPr>
          <w:rFonts w:ascii="Times New Roman" w:hAnsi="Times New Roman" w:cs="Times New Roman"/>
          <w:sz w:val="24"/>
          <w:szCs w:val="24"/>
          <w:lang w:val="en"/>
        </w:rPr>
        <w:t>Attempts to explain the phenomenon of increase in share prices in the short term (underpricing) and long-term decline in the long term after the company goes public (underperformance) constitute a wide research trend. Theories describing the phenomenon of underestimation can be divided into 4 main groups:</w:t>
      </w:r>
    </w:p>
    <w:p w:rsidR="00234278" w:rsidRPr="00C326E3" w:rsidRDefault="00234278" w:rsidP="00C326E3">
      <w:pPr>
        <w:pStyle w:val="HTML-wstpniesformatowany"/>
        <w:spacing w:line="276" w:lineRule="auto"/>
        <w:jc w:val="both"/>
        <w:rPr>
          <w:rFonts w:ascii="Times New Roman" w:hAnsi="Times New Roman" w:cs="Times New Roman"/>
          <w:sz w:val="24"/>
          <w:szCs w:val="24"/>
          <w:lang w:val="en"/>
        </w:rPr>
      </w:pPr>
      <w:r w:rsidRPr="00C326E3">
        <w:rPr>
          <w:rFonts w:ascii="Times New Roman" w:hAnsi="Times New Roman" w:cs="Times New Roman"/>
          <w:sz w:val="24"/>
          <w:szCs w:val="24"/>
          <w:lang w:val="en"/>
        </w:rPr>
        <w:t>• asymmetric information theories,</w:t>
      </w:r>
    </w:p>
    <w:p w:rsidR="00234278" w:rsidRPr="00C326E3" w:rsidRDefault="00234278" w:rsidP="00C326E3">
      <w:pPr>
        <w:pStyle w:val="HTML-wstpniesformatowany"/>
        <w:spacing w:line="276" w:lineRule="auto"/>
        <w:jc w:val="both"/>
        <w:rPr>
          <w:rFonts w:ascii="Times New Roman" w:hAnsi="Times New Roman" w:cs="Times New Roman"/>
          <w:sz w:val="24"/>
          <w:szCs w:val="24"/>
          <w:lang w:val="en"/>
        </w:rPr>
      </w:pPr>
      <w:r w:rsidRPr="00C326E3">
        <w:rPr>
          <w:rFonts w:ascii="Times New Roman" w:hAnsi="Times New Roman" w:cs="Times New Roman"/>
          <w:sz w:val="24"/>
          <w:szCs w:val="24"/>
          <w:lang w:val="en"/>
        </w:rPr>
        <w:t>• institutional explanation theories,</w:t>
      </w:r>
    </w:p>
    <w:p w:rsidR="00234278" w:rsidRPr="00C326E3" w:rsidRDefault="00234278" w:rsidP="00C326E3">
      <w:pPr>
        <w:pStyle w:val="HTML-wstpniesformatowany"/>
        <w:spacing w:line="276" w:lineRule="auto"/>
        <w:jc w:val="both"/>
        <w:rPr>
          <w:rFonts w:ascii="Times New Roman" w:hAnsi="Times New Roman" w:cs="Times New Roman"/>
          <w:sz w:val="24"/>
          <w:szCs w:val="24"/>
          <w:lang w:val="en"/>
        </w:rPr>
      </w:pPr>
      <w:r w:rsidRPr="00C326E3">
        <w:rPr>
          <w:rFonts w:ascii="Times New Roman" w:hAnsi="Times New Roman" w:cs="Times New Roman"/>
          <w:sz w:val="24"/>
          <w:szCs w:val="24"/>
          <w:lang w:val="en"/>
        </w:rPr>
        <w:t>• ownership and control theories,</w:t>
      </w:r>
    </w:p>
    <w:p w:rsidR="00234278" w:rsidRPr="00C326E3" w:rsidRDefault="00234278" w:rsidP="00C326E3">
      <w:pPr>
        <w:pStyle w:val="HTML-wstpniesformatowany"/>
        <w:spacing w:line="276" w:lineRule="auto"/>
        <w:jc w:val="both"/>
        <w:rPr>
          <w:rFonts w:ascii="Times New Roman" w:hAnsi="Times New Roman" w:cs="Times New Roman"/>
          <w:sz w:val="24"/>
          <w:szCs w:val="24"/>
          <w:lang w:val="en"/>
        </w:rPr>
      </w:pPr>
      <w:r w:rsidRPr="00C326E3">
        <w:rPr>
          <w:rFonts w:ascii="Times New Roman" w:hAnsi="Times New Roman" w:cs="Times New Roman"/>
          <w:sz w:val="24"/>
          <w:szCs w:val="24"/>
          <w:lang w:val="en"/>
        </w:rPr>
        <w:t xml:space="preserve">• </w:t>
      </w:r>
      <w:proofErr w:type="spellStart"/>
      <w:r w:rsidRPr="00C326E3">
        <w:rPr>
          <w:rFonts w:ascii="Times New Roman" w:hAnsi="Times New Roman" w:cs="Times New Roman"/>
          <w:sz w:val="24"/>
          <w:szCs w:val="24"/>
          <w:lang w:val="en"/>
        </w:rPr>
        <w:t>bahavioral</w:t>
      </w:r>
      <w:proofErr w:type="spellEnd"/>
      <w:r w:rsidRPr="00C326E3">
        <w:rPr>
          <w:rFonts w:ascii="Times New Roman" w:hAnsi="Times New Roman" w:cs="Times New Roman"/>
          <w:sz w:val="24"/>
          <w:szCs w:val="24"/>
          <w:lang w:val="en"/>
        </w:rPr>
        <w:t xml:space="preserve"> theories (behavioral explanations theories).</w:t>
      </w:r>
    </w:p>
    <w:p w:rsidR="00234278" w:rsidRPr="00C326E3" w:rsidRDefault="00234278" w:rsidP="00C326E3">
      <w:pPr>
        <w:tabs>
          <w:tab w:val="left" w:pos="1080"/>
        </w:tabs>
        <w:spacing w:line="276" w:lineRule="auto"/>
        <w:rPr>
          <w:rFonts w:cs="Times New Roman"/>
          <w:szCs w:val="24"/>
          <w:lang w:val="en"/>
        </w:rPr>
      </w:pPr>
    </w:p>
    <w:p w:rsidR="00234278" w:rsidRPr="00C326E3" w:rsidRDefault="00234278" w:rsidP="00C326E3">
      <w:pPr>
        <w:pStyle w:val="HTML-wstpniesformatowany"/>
        <w:spacing w:line="276" w:lineRule="auto"/>
        <w:jc w:val="both"/>
        <w:rPr>
          <w:rFonts w:ascii="Times New Roman" w:hAnsi="Times New Roman" w:cs="Times New Roman"/>
          <w:sz w:val="24"/>
          <w:szCs w:val="24"/>
        </w:rPr>
      </w:pPr>
      <w:r w:rsidRPr="00C326E3">
        <w:rPr>
          <w:rFonts w:ascii="Times New Roman" w:hAnsi="Times New Roman" w:cs="Times New Roman"/>
          <w:sz w:val="24"/>
          <w:szCs w:val="24"/>
          <w:lang w:val="en"/>
        </w:rPr>
        <w:t xml:space="preserve">A significant role was also played by the hypothesis of divergence of opinions, described by Miller, according to which investors assess the value of the company in a subjective way. A large divergence of opinion regarding the expected rates of return usually occurs at the time of issue. Then, it is difficult for new investors to obtain information about the company's condition. The consequence of adopting Miller's theory is the expectation of a higher level of short-term underpricing and a stronger, unfavorable, long-term price response in relation to shares of those companies, which at the time of issue were characterized by a higher degree of uncertainty. The level of uncertainty at the time of emission cannot be estimated directly. Hence, Miller refers to their substitutes for some indirect measures, the use of which will allow to approximate the scale of the phenomenon. A company's stability can be expressed by its size. The company's age also allows indirect measurement of the company's quality. Miller also indicates that the volatility of rates of return on company shares just after the issue may be an indirect measure of uncertainty (early aftermarket volatility). The condition of debuting companies can be assessed by potential investors on the basis of information from financial statements. Then, the company's profitability may also be the basis for estimating the level of </w:t>
      </w:r>
      <w:r w:rsidRPr="00C326E3">
        <w:rPr>
          <w:rFonts w:ascii="Times New Roman" w:hAnsi="Times New Roman" w:cs="Times New Roman"/>
          <w:sz w:val="24"/>
          <w:szCs w:val="24"/>
          <w:lang w:val="en"/>
        </w:rPr>
        <w:lastRenderedPageBreak/>
        <w:t>uncertainty in relation to the company. Theories based on information asymmetry indicate that investors should be rewarded more for investments in shares of those companies that have a higher level of uncertainty. In this context, underpricing can be seen as a kind of "payment" for the risk incurred. A specific feature of the public securities market is the need to make investment decisions in the conditions of limited access to information and the inability to fully assess its reliability. Asymmetry of information occurring between different market participants and resulting from their diverse ability to obtain, process and use information about the subject of a transaction is a common phenomenon, which has the negative effect of increasing investment risk. The problem of information asymmetry is increasing and is particularly noticeable in the process of implementing the initial public offering when stock market investors are offered shares in a relatively unknown to financial markets.</w:t>
      </w:r>
    </w:p>
    <w:p w:rsidR="00234278" w:rsidRPr="00C326E3" w:rsidRDefault="00234278" w:rsidP="00C326E3">
      <w:pPr>
        <w:pStyle w:val="HTML-wstpniesformatowany"/>
        <w:spacing w:line="276" w:lineRule="auto"/>
        <w:jc w:val="both"/>
        <w:rPr>
          <w:rFonts w:ascii="Times New Roman" w:hAnsi="Times New Roman" w:cs="Times New Roman"/>
          <w:sz w:val="24"/>
          <w:szCs w:val="24"/>
        </w:rPr>
      </w:pPr>
      <w:r w:rsidRPr="00C326E3">
        <w:rPr>
          <w:rFonts w:ascii="Times New Roman" w:hAnsi="Times New Roman" w:cs="Times New Roman"/>
          <w:sz w:val="24"/>
          <w:szCs w:val="24"/>
          <w:lang w:val="en"/>
        </w:rPr>
        <w:t>Making the right investment decisions requires obtaining relevant information about the securities sold in the offer. Since access to information about the issuer remains limited before an entity obtains the status of a public company, one of the key sources of knowledge about an enterprise that plans to debut on the stock market is the prospectus. It is the main tool for minimizing the information gap present during the implementation of the initial public offering, and its content is the basis for assessing the adequacy of the determined share sale price. In order to reduce information asymmetry, and thus to obtain a higher valuation of offered securities, some companies voluntarily accept additional obligations in the form of publication of information on financial data. Despite this, there are still some trends on the capital market in the behavior of share prices and rates of return during the first day of listing of shares after the IPO.</w:t>
      </w:r>
    </w:p>
    <w:p w:rsidR="00234278" w:rsidRPr="00C326E3" w:rsidRDefault="00234278" w:rsidP="00C326E3">
      <w:pPr>
        <w:tabs>
          <w:tab w:val="left" w:pos="1080"/>
        </w:tabs>
        <w:spacing w:line="276" w:lineRule="auto"/>
        <w:rPr>
          <w:rFonts w:cs="Times New Roman"/>
          <w:szCs w:val="24"/>
          <w:lang w:val="en-GB"/>
        </w:rPr>
      </w:pPr>
    </w:p>
    <w:p w:rsidR="00A56DE9" w:rsidRPr="00C326E3" w:rsidRDefault="00A56DE9" w:rsidP="00C326E3">
      <w:pPr>
        <w:pStyle w:val="HTML-wstpniesformatowany"/>
        <w:spacing w:line="276" w:lineRule="auto"/>
        <w:jc w:val="both"/>
        <w:rPr>
          <w:rFonts w:ascii="Times New Roman" w:hAnsi="Times New Roman" w:cs="Times New Roman"/>
          <w:sz w:val="24"/>
          <w:szCs w:val="24"/>
        </w:rPr>
      </w:pPr>
      <w:r w:rsidRPr="00C326E3">
        <w:rPr>
          <w:rFonts w:ascii="Times New Roman" w:hAnsi="Times New Roman" w:cs="Times New Roman"/>
          <w:sz w:val="24"/>
          <w:szCs w:val="24"/>
          <w:lang w:val="en"/>
        </w:rPr>
        <w:t>1. Review of literature and research on the underestimation of the initial public offering of companies supplied with private equity funds</w:t>
      </w:r>
    </w:p>
    <w:p w:rsidR="00A56DE9" w:rsidRPr="00C326E3" w:rsidRDefault="00A56DE9" w:rsidP="00C326E3">
      <w:pPr>
        <w:tabs>
          <w:tab w:val="left" w:pos="1080"/>
        </w:tabs>
        <w:spacing w:line="276" w:lineRule="auto"/>
        <w:rPr>
          <w:rFonts w:cs="Times New Roman"/>
          <w:szCs w:val="24"/>
          <w:lang w:val="en-GB"/>
        </w:rPr>
      </w:pPr>
    </w:p>
    <w:p w:rsidR="00801C30" w:rsidRPr="00C326E3" w:rsidRDefault="00801C30" w:rsidP="00C326E3">
      <w:pPr>
        <w:pStyle w:val="HTML-wstpniesformatowany"/>
        <w:spacing w:line="276" w:lineRule="auto"/>
        <w:jc w:val="both"/>
        <w:rPr>
          <w:rFonts w:ascii="Times New Roman" w:hAnsi="Times New Roman" w:cs="Times New Roman"/>
          <w:sz w:val="24"/>
          <w:szCs w:val="24"/>
        </w:rPr>
      </w:pPr>
      <w:r w:rsidRPr="00C326E3">
        <w:rPr>
          <w:rFonts w:ascii="Times New Roman" w:hAnsi="Times New Roman" w:cs="Times New Roman"/>
          <w:sz w:val="24"/>
          <w:szCs w:val="24"/>
          <w:lang w:val="en"/>
        </w:rPr>
        <w:t xml:space="preserve">Among the studies on the Polish capital market, one can mention numerous studies devoted to the phenomenon of underestimation of initial public offers (see </w:t>
      </w:r>
      <w:proofErr w:type="spellStart"/>
      <w:r w:rsidRPr="00C326E3">
        <w:rPr>
          <w:rFonts w:ascii="Times New Roman" w:hAnsi="Times New Roman" w:cs="Times New Roman"/>
          <w:sz w:val="24"/>
          <w:szCs w:val="24"/>
          <w:lang w:val="en"/>
        </w:rPr>
        <w:t>Sieradzki</w:t>
      </w:r>
      <w:proofErr w:type="spellEnd"/>
      <w:r w:rsidRPr="00C326E3">
        <w:rPr>
          <w:rFonts w:ascii="Times New Roman" w:hAnsi="Times New Roman" w:cs="Times New Roman"/>
          <w:sz w:val="24"/>
          <w:szCs w:val="24"/>
          <w:lang w:val="en"/>
        </w:rPr>
        <w:t xml:space="preserve"> 2013; </w:t>
      </w:r>
      <w:proofErr w:type="spellStart"/>
      <w:r w:rsidRPr="00C326E3">
        <w:rPr>
          <w:rFonts w:ascii="Times New Roman" w:hAnsi="Times New Roman" w:cs="Times New Roman"/>
          <w:sz w:val="24"/>
          <w:szCs w:val="24"/>
          <w:lang w:val="en"/>
        </w:rPr>
        <w:t>Lizińska</w:t>
      </w:r>
      <w:proofErr w:type="spellEnd"/>
      <w:r w:rsidRPr="00C326E3">
        <w:rPr>
          <w:rFonts w:ascii="Times New Roman" w:hAnsi="Times New Roman" w:cs="Times New Roman"/>
          <w:sz w:val="24"/>
          <w:szCs w:val="24"/>
          <w:lang w:val="en"/>
        </w:rPr>
        <w:t xml:space="preserve">, </w:t>
      </w:r>
      <w:proofErr w:type="spellStart"/>
      <w:r w:rsidRPr="00C326E3">
        <w:rPr>
          <w:rFonts w:ascii="Times New Roman" w:hAnsi="Times New Roman" w:cs="Times New Roman"/>
          <w:sz w:val="24"/>
          <w:szCs w:val="24"/>
          <w:lang w:val="en"/>
        </w:rPr>
        <w:t>Czapiewski</w:t>
      </w:r>
      <w:proofErr w:type="spellEnd"/>
      <w:r w:rsidRPr="00C326E3">
        <w:rPr>
          <w:rFonts w:ascii="Times New Roman" w:hAnsi="Times New Roman" w:cs="Times New Roman"/>
          <w:sz w:val="24"/>
          <w:szCs w:val="24"/>
          <w:lang w:val="en"/>
        </w:rPr>
        <w:t xml:space="preserve"> 2014, 2015; </w:t>
      </w:r>
      <w:proofErr w:type="spellStart"/>
      <w:r w:rsidRPr="00C326E3">
        <w:rPr>
          <w:rFonts w:ascii="Times New Roman" w:hAnsi="Times New Roman" w:cs="Times New Roman"/>
          <w:sz w:val="24"/>
          <w:szCs w:val="24"/>
          <w:lang w:val="en"/>
        </w:rPr>
        <w:t>Zaremba</w:t>
      </w:r>
      <w:proofErr w:type="spellEnd"/>
      <w:r w:rsidRPr="00C326E3">
        <w:rPr>
          <w:rFonts w:ascii="Times New Roman" w:hAnsi="Times New Roman" w:cs="Times New Roman"/>
          <w:sz w:val="24"/>
          <w:szCs w:val="24"/>
          <w:lang w:val="en"/>
        </w:rPr>
        <w:t xml:space="preserve">, </w:t>
      </w:r>
      <w:proofErr w:type="spellStart"/>
      <w:r w:rsidRPr="00C326E3">
        <w:rPr>
          <w:rFonts w:ascii="Times New Roman" w:hAnsi="Times New Roman" w:cs="Times New Roman"/>
          <w:sz w:val="24"/>
          <w:szCs w:val="24"/>
          <w:lang w:val="en"/>
        </w:rPr>
        <w:t>Żmudziński</w:t>
      </w:r>
      <w:proofErr w:type="spellEnd"/>
      <w:r w:rsidRPr="00C326E3">
        <w:rPr>
          <w:rFonts w:ascii="Times New Roman" w:hAnsi="Times New Roman" w:cs="Times New Roman"/>
          <w:sz w:val="24"/>
          <w:szCs w:val="24"/>
          <w:lang w:val="en"/>
        </w:rPr>
        <w:t xml:space="preserve"> 2014; </w:t>
      </w:r>
      <w:proofErr w:type="spellStart"/>
      <w:r w:rsidRPr="00C326E3">
        <w:rPr>
          <w:rFonts w:ascii="Times New Roman" w:hAnsi="Times New Roman" w:cs="Times New Roman"/>
          <w:sz w:val="24"/>
          <w:szCs w:val="24"/>
          <w:lang w:val="en"/>
        </w:rPr>
        <w:t>Sieradzki</w:t>
      </w:r>
      <w:proofErr w:type="spellEnd"/>
      <w:r w:rsidRPr="00C326E3">
        <w:rPr>
          <w:rFonts w:ascii="Times New Roman" w:hAnsi="Times New Roman" w:cs="Times New Roman"/>
          <w:sz w:val="24"/>
          <w:szCs w:val="24"/>
          <w:lang w:val="en"/>
        </w:rPr>
        <w:t xml:space="preserve">, </w:t>
      </w:r>
      <w:proofErr w:type="spellStart"/>
      <w:r w:rsidRPr="00C326E3">
        <w:rPr>
          <w:rFonts w:ascii="Times New Roman" w:hAnsi="Times New Roman" w:cs="Times New Roman"/>
          <w:sz w:val="24"/>
          <w:szCs w:val="24"/>
          <w:lang w:val="en"/>
        </w:rPr>
        <w:t>Zasępa</w:t>
      </w:r>
      <w:proofErr w:type="spellEnd"/>
      <w:r w:rsidRPr="00C326E3">
        <w:rPr>
          <w:rFonts w:ascii="Times New Roman" w:hAnsi="Times New Roman" w:cs="Times New Roman"/>
          <w:sz w:val="24"/>
          <w:szCs w:val="24"/>
          <w:lang w:val="en"/>
        </w:rPr>
        <w:t xml:space="preserve"> 2016) or even publications on financial forecasts (Czerwonka 2009 ; </w:t>
      </w:r>
      <w:proofErr w:type="spellStart"/>
      <w:r w:rsidRPr="00C326E3">
        <w:rPr>
          <w:rFonts w:ascii="Times New Roman" w:hAnsi="Times New Roman" w:cs="Times New Roman"/>
          <w:sz w:val="24"/>
          <w:szCs w:val="24"/>
          <w:lang w:val="en"/>
        </w:rPr>
        <w:t>Wójtowicz</w:t>
      </w:r>
      <w:proofErr w:type="spellEnd"/>
      <w:r w:rsidRPr="00C326E3">
        <w:rPr>
          <w:rFonts w:ascii="Times New Roman" w:hAnsi="Times New Roman" w:cs="Times New Roman"/>
          <w:sz w:val="24"/>
          <w:szCs w:val="24"/>
          <w:lang w:val="en"/>
        </w:rPr>
        <w:t xml:space="preserve"> 2015). However, few authors describe the breakdown of underestimation results broken down into companies powered by private equity funds and traditional IPO transactions. Lyn and </w:t>
      </w:r>
      <w:proofErr w:type="spellStart"/>
      <w:r w:rsidRPr="00C326E3">
        <w:rPr>
          <w:rFonts w:ascii="Times New Roman" w:hAnsi="Times New Roman" w:cs="Times New Roman"/>
          <w:sz w:val="24"/>
          <w:szCs w:val="24"/>
          <w:lang w:val="en"/>
        </w:rPr>
        <w:t>Zychowicz</w:t>
      </w:r>
      <w:proofErr w:type="spellEnd"/>
      <w:r w:rsidRPr="00C326E3">
        <w:rPr>
          <w:rFonts w:ascii="Times New Roman" w:hAnsi="Times New Roman" w:cs="Times New Roman"/>
          <w:sz w:val="24"/>
          <w:szCs w:val="24"/>
          <w:lang w:val="en"/>
        </w:rPr>
        <w:t xml:space="preserve"> (2002) analyze the results of 103 IPOs carried out on the Polish and Hungarian market in 1991–1998. They believe that the market was adjusted on the first day, average return in Poland was 15.1%, while in Hungary 54.4%. The authors suggest that one possible explanation for this disproportion is the different structure of investors in both markets. In Hungary, in 1996 foreign investors were inspected about 85% of the free market, while in Poland only 30%. They argue that foreign investors probably have this experience, knowledge and resources can reduce information asymmetries, which should correspond to lower price undercutting. However, this explanation suggests that underselling should be lower in Hungary than in Poland, given almost three times. D. </w:t>
      </w:r>
      <w:proofErr w:type="spellStart"/>
      <w:r w:rsidRPr="00C326E3">
        <w:rPr>
          <w:rFonts w:ascii="Times New Roman" w:hAnsi="Times New Roman" w:cs="Times New Roman"/>
          <w:sz w:val="24"/>
          <w:szCs w:val="24"/>
          <w:lang w:val="en"/>
        </w:rPr>
        <w:t>Sukacz</w:t>
      </w:r>
      <w:proofErr w:type="spellEnd"/>
      <w:r w:rsidRPr="00C326E3">
        <w:rPr>
          <w:rFonts w:ascii="Times New Roman" w:hAnsi="Times New Roman" w:cs="Times New Roman"/>
          <w:sz w:val="24"/>
          <w:szCs w:val="24"/>
          <w:lang w:val="en"/>
        </w:rPr>
        <w:t xml:space="preserve"> in 2005 examined 185 public offers carried out on the Polish market in 1991–2001. He finds that the average price undercutting on the first day of trading was 26%. The low IPO valuation was positively associated with the number of </w:t>
      </w:r>
      <w:r w:rsidRPr="00C326E3">
        <w:rPr>
          <w:rFonts w:ascii="Times New Roman" w:hAnsi="Times New Roman" w:cs="Times New Roman"/>
          <w:sz w:val="24"/>
          <w:szCs w:val="24"/>
          <w:lang w:val="en"/>
        </w:rPr>
        <w:lastRenderedPageBreak/>
        <w:t xml:space="preserve">days and the change in the WIG market index width from the last day of the subscription period to the first day of trading, and this was negatively related to the financial ratios P ​​/ E and P / BV. Contrary to </w:t>
      </w:r>
      <w:proofErr w:type="spellStart"/>
      <w:r w:rsidRPr="00C326E3">
        <w:rPr>
          <w:rFonts w:ascii="Times New Roman" w:hAnsi="Times New Roman" w:cs="Times New Roman"/>
          <w:sz w:val="24"/>
          <w:szCs w:val="24"/>
          <w:lang w:val="en"/>
        </w:rPr>
        <w:t>Aussenegg</w:t>
      </w:r>
      <w:proofErr w:type="spellEnd"/>
      <w:r w:rsidRPr="00C326E3">
        <w:rPr>
          <w:rFonts w:ascii="Times New Roman" w:hAnsi="Times New Roman" w:cs="Times New Roman"/>
          <w:sz w:val="24"/>
          <w:szCs w:val="24"/>
          <w:lang w:val="en"/>
        </w:rPr>
        <w:t xml:space="preserve"> (2000), he claims that the average initial return on IPOs of private companies was higher than on IPOs of privatized companies and amounted to 27.4% and 25.5% respectively. Furthermore, it states that the initial return on IPOs of smaller companies (i.e. listed on the WSE parallel market) were higher than those of larger companies (i.e. listed on the WSE main market). In 2013, R. </w:t>
      </w:r>
      <w:proofErr w:type="spellStart"/>
      <w:r w:rsidRPr="00C326E3">
        <w:rPr>
          <w:rFonts w:ascii="Times New Roman" w:hAnsi="Times New Roman" w:cs="Times New Roman"/>
          <w:sz w:val="24"/>
          <w:szCs w:val="24"/>
          <w:lang w:val="en"/>
        </w:rPr>
        <w:t>Sieradzki</w:t>
      </w:r>
      <w:proofErr w:type="spellEnd"/>
      <w:r w:rsidRPr="00C326E3">
        <w:rPr>
          <w:rFonts w:ascii="Times New Roman" w:hAnsi="Times New Roman" w:cs="Times New Roman"/>
          <w:sz w:val="24"/>
          <w:szCs w:val="24"/>
          <w:lang w:val="en"/>
        </w:rPr>
        <w:t xml:space="preserve"> conducted an IPO underestimation study in the period 2003-2011, where the average underestimation on the first day of trading was 14.2%. In the case of K. </w:t>
      </w:r>
      <w:proofErr w:type="spellStart"/>
      <w:r w:rsidRPr="00C326E3">
        <w:rPr>
          <w:rFonts w:ascii="Times New Roman" w:hAnsi="Times New Roman" w:cs="Times New Roman"/>
          <w:sz w:val="24"/>
          <w:szCs w:val="24"/>
          <w:lang w:val="en"/>
        </w:rPr>
        <w:t>Mamcarz</w:t>
      </w:r>
      <w:proofErr w:type="spellEnd"/>
      <w:r w:rsidRPr="00C326E3">
        <w:rPr>
          <w:rFonts w:ascii="Times New Roman" w:hAnsi="Times New Roman" w:cs="Times New Roman"/>
          <w:sz w:val="24"/>
          <w:szCs w:val="24"/>
          <w:lang w:val="en"/>
        </w:rPr>
        <w:t xml:space="preserve"> studies for the period 2006-2010, the average IPO underestimation rate was 19.95%.</w:t>
      </w:r>
    </w:p>
    <w:p w:rsidR="00801C30" w:rsidRPr="00C326E3" w:rsidRDefault="00801C30" w:rsidP="00C326E3">
      <w:pPr>
        <w:pStyle w:val="HTML-wstpniesformatowany"/>
        <w:spacing w:line="276" w:lineRule="auto"/>
        <w:jc w:val="both"/>
        <w:rPr>
          <w:rFonts w:ascii="Times New Roman" w:hAnsi="Times New Roman" w:cs="Times New Roman"/>
          <w:sz w:val="24"/>
          <w:szCs w:val="24"/>
        </w:rPr>
      </w:pPr>
    </w:p>
    <w:p w:rsidR="00801C30" w:rsidRPr="00C326E3" w:rsidRDefault="00801C30" w:rsidP="00C326E3">
      <w:pPr>
        <w:tabs>
          <w:tab w:val="left" w:pos="1080"/>
        </w:tabs>
        <w:spacing w:line="276" w:lineRule="auto"/>
        <w:rPr>
          <w:rFonts w:cs="Times New Roman"/>
          <w:szCs w:val="24"/>
          <w:lang w:val="en-GB"/>
        </w:rPr>
      </w:pPr>
    </w:p>
    <w:p w:rsidR="005B265C" w:rsidRPr="00C326E3" w:rsidRDefault="005B265C" w:rsidP="00C326E3">
      <w:pPr>
        <w:tabs>
          <w:tab w:val="left" w:pos="1080"/>
        </w:tabs>
        <w:spacing w:line="276" w:lineRule="auto"/>
        <w:rPr>
          <w:rFonts w:cs="Times New Roman"/>
          <w:szCs w:val="24"/>
          <w:lang w:val="en-GB"/>
        </w:rPr>
      </w:pPr>
    </w:p>
    <w:p w:rsidR="005B265C" w:rsidRPr="00C326E3" w:rsidRDefault="005B265C" w:rsidP="00C326E3">
      <w:pPr>
        <w:pStyle w:val="HTML-wstpniesformatowany"/>
        <w:spacing w:line="276" w:lineRule="auto"/>
        <w:jc w:val="both"/>
        <w:rPr>
          <w:rFonts w:ascii="Times New Roman" w:hAnsi="Times New Roman" w:cs="Times New Roman"/>
          <w:sz w:val="24"/>
          <w:szCs w:val="24"/>
        </w:rPr>
      </w:pPr>
      <w:r w:rsidRPr="00C326E3">
        <w:rPr>
          <w:rFonts w:ascii="Times New Roman" w:hAnsi="Times New Roman" w:cs="Times New Roman"/>
          <w:sz w:val="24"/>
          <w:szCs w:val="24"/>
          <w:lang w:val="en"/>
        </w:rPr>
        <w:t>2. Measures used in assessing the underestimation of share prices</w:t>
      </w:r>
    </w:p>
    <w:p w:rsidR="005B265C" w:rsidRPr="00C326E3" w:rsidRDefault="005B265C" w:rsidP="00C326E3">
      <w:pPr>
        <w:tabs>
          <w:tab w:val="left" w:pos="1080"/>
        </w:tabs>
        <w:spacing w:line="276" w:lineRule="auto"/>
        <w:rPr>
          <w:rFonts w:cs="Times New Roman"/>
          <w:szCs w:val="24"/>
          <w:lang w:val="en-GB"/>
        </w:rPr>
      </w:pPr>
    </w:p>
    <w:p w:rsidR="0043085E" w:rsidRPr="00C326E3" w:rsidRDefault="0043085E" w:rsidP="00C326E3">
      <w:pPr>
        <w:pStyle w:val="HTML-wstpniesformatowany"/>
        <w:spacing w:line="276" w:lineRule="auto"/>
        <w:jc w:val="both"/>
        <w:rPr>
          <w:rFonts w:ascii="Times New Roman" w:hAnsi="Times New Roman" w:cs="Times New Roman"/>
          <w:sz w:val="24"/>
          <w:szCs w:val="24"/>
          <w:lang w:val="en"/>
        </w:rPr>
      </w:pPr>
      <w:r w:rsidRPr="00C326E3">
        <w:rPr>
          <w:rFonts w:ascii="Times New Roman" w:hAnsi="Times New Roman" w:cs="Times New Roman"/>
          <w:sz w:val="24"/>
          <w:szCs w:val="24"/>
          <w:lang w:val="en"/>
        </w:rPr>
        <w:t>The issue of underestimation can be considered from two points of view, i.e. the issuer or investor, respectively. In the first case, it means that the issuer gives up some of the proceeds from the issue, while in the second, the investor often receives significant subscription profit. Of course, issuers should be interested in generating high revenues and investors in maximum profits. These subscription gains are publicized by the media and broadcasts described as great success. However, the question arises whether this situation is accidental or repeated in the long run and is in a way intended. In the first case, this can be reduced to low information efficiency of the market, while in the second, long and large subscription profits of the investor mean the permanent resignation of the issuer from a certain part of the proceeds from the issue, as the issue price could be set at a much higher level. Underestimation of the issue price of shares during the initial public offering can be determined in various ways. Most often, the following three concepts are used to indicate the level of IPO underestimation.</w:t>
      </w:r>
    </w:p>
    <w:p w:rsidR="0043085E" w:rsidRPr="00C326E3" w:rsidRDefault="0043085E" w:rsidP="00C326E3">
      <w:pPr>
        <w:pStyle w:val="HTML-wstpniesformatowany"/>
        <w:spacing w:line="276" w:lineRule="auto"/>
        <w:jc w:val="both"/>
        <w:rPr>
          <w:rFonts w:ascii="Times New Roman" w:hAnsi="Times New Roman" w:cs="Times New Roman"/>
          <w:sz w:val="24"/>
          <w:szCs w:val="24"/>
        </w:rPr>
      </w:pPr>
      <w:r w:rsidRPr="00C326E3">
        <w:rPr>
          <w:rFonts w:ascii="Times New Roman" w:hAnsi="Times New Roman" w:cs="Times New Roman"/>
          <w:sz w:val="24"/>
          <w:szCs w:val="24"/>
          <w:lang w:val="en"/>
        </w:rPr>
        <w:t>The first concept defines it as the absolute difference between the stock exchange rate on the first day of trading and the first issue price according to the following formula:</w:t>
      </w:r>
    </w:p>
    <w:p w:rsidR="0043085E" w:rsidRPr="00C326E3" w:rsidRDefault="0043085E" w:rsidP="00C326E3">
      <w:pPr>
        <w:spacing w:line="276" w:lineRule="auto"/>
        <w:rPr>
          <w:rFonts w:eastAsia="Times New Roman" w:cs="Times New Roman"/>
          <w:szCs w:val="24"/>
          <w:lang w:eastAsia="en-GB"/>
        </w:rPr>
      </w:pPr>
      <m:oMathPara>
        <m:oMath>
          <m:r>
            <w:rPr>
              <w:rFonts w:ascii="Cambria Math" w:eastAsia="Times New Roman" w:hAnsi="Cambria Math" w:cs="Times New Roman"/>
              <w:szCs w:val="24"/>
              <w:lang w:eastAsia="en-GB"/>
            </w:rPr>
            <m:t>U</m:t>
          </m:r>
          <m:sSub>
            <m:sSubPr>
              <m:ctrlPr>
                <w:rPr>
                  <w:rFonts w:ascii="Cambria Math" w:eastAsia="Times New Roman" w:hAnsi="Cambria Math" w:cs="Times New Roman"/>
                  <w:i/>
                  <w:szCs w:val="24"/>
                  <w:lang w:eastAsia="en-GB"/>
                </w:rPr>
              </m:ctrlPr>
            </m:sSubPr>
            <m:e>
              <m:r>
                <w:rPr>
                  <w:rFonts w:ascii="Cambria Math" w:eastAsia="Times New Roman" w:hAnsi="Cambria Math" w:cs="Times New Roman"/>
                  <w:szCs w:val="24"/>
                  <w:lang w:eastAsia="en-GB"/>
                </w:rPr>
                <m:t>D</m:t>
              </m:r>
            </m:e>
            <m:sub>
              <m:r>
                <w:rPr>
                  <w:rFonts w:ascii="Cambria Math" w:eastAsia="Times New Roman" w:hAnsi="Cambria Math" w:cs="Times New Roman"/>
                  <w:szCs w:val="24"/>
                  <w:lang w:eastAsia="en-GB"/>
                </w:rPr>
                <m:t>i</m:t>
              </m:r>
            </m:sub>
          </m:sSub>
          <m:r>
            <w:rPr>
              <w:rFonts w:ascii="Cambria Math" w:eastAsia="Times New Roman" w:hAnsi="Cambria Math" w:cs="Times New Roman"/>
              <w:szCs w:val="24"/>
              <w:lang w:eastAsia="en-GB"/>
            </w:rPr>
            <m:t>=</m:t>
          </m:r>
          <m:sSub>
            <m:sSubPr>
              <m:ctrlPr>
                <w:rPr>
                  <w:rFonts w:ascii="Cambria Math" w:eastAsia="Times New Roman" w:hAnsi="Cambria Math" w:cs="Times New Roman"/>
                  <w:i/>
                  <w:szCs w:val="24"/>
                  <w:lang w:eastAsia="en-GB"/>
                </w:rPr>
              </m:ctrlPr>
            </m:sSubPr>
            <m:e>
              <m:r>
                <w:rPr>
                  <w:rFonts w:ascii="Cambria Math" w:eastAsia="Times New Roman" w:hAnsi="Cambria Math" w:cs="Times New Roman"/>
                  <w:szCs w:val="24"/>
                  <w:lang w:eastAsia="en-GB"/>
                </w:rPr>
                <m:t>P</m:t>
              </m:r>
            </m:e>
            <m:sub>
              <m:r>
                <w:rPr>
                  <w:rFonts w:ascii="Cambria Math" w:eastAsia="Times New Roman" w:hAnsi="Cambria Math" w:cs="Times New Roman"/>
                  <w:szCs w:val="24"/>
                  <w:lang w:eastAsia="en-GB"/>
                </w:rPr>
                <m:t>i</m:t>
              </m:r>
            </m:sub>
          </m:sSub>
          <m:r>
            <w:rPr>
              <w:rFonts w:ascii="Cambria Math" w:eastAsia="Times New Roman" w:hAnsi="Cambria Math" w:cs="Times New Roman"/>
              <w:szCs w:val="24"/>
              <w:lang w:eastAsia="en-GB"/>
            </w:rPr>
            <m:t>-</m:t>
          </m:r>
          <m:sSub>
            <m:sSubPr>
              <m:ctrlPr>
                <w:rPr>
                  <w:rFonts w:ascii="Cambria Math" w:eastAsia="Times New Roman" w:hAnsi="Cambria Math" w:cs="Times New Roman"/>
                  <w:i/>
                  <w:szCs w:val="24"/>
                  <w:lang w:eastAsia="en-GB"/>
                </w:rPr>
              </m:ctrlPr>
            </m:sSubPr>
            <m:e>
              <m:r>
                <w:rPr>
                  <w:rFonts w:ascii="Cambria Math" w:eastAsia="Times New Roman" w:hAnsi="Cambria Math" w:cs="Times New Roman"/>
                  <w:szCs w:val="24"/>
                  <w:lang w:eastAsia="en-GB"/>
                </w:rPr>
                <m:t>E</m:t>
              </m:r>
            </m:e>
            <m:sub>
              <m:r>
                <w:rPr>
                  <w:rFonts w:ascii="Cambria Math" w:eastAsia="Times New Roman" w:hAnsi="Cambria Math" w:cs="Times New Roman"/>
                  <w:szCs w:val="24"/>
                  <w:lang w:eastAsia="en-GB"/>
                </w:rPr>
                <m:t>i</m:t>
              </m:r>
            </m:sub>
          </m:sSub>
        </m:oMath>
      </m:oMathPara>
    </w:p>
    <w:p w:rsidR="0043085E" w:rsidRPr="00C326E3" w:rsidRDefault="0043085E" w:rsidP="00C326E3">
      <w:pPr>
        <w:pStyle w:val="HTML-wstpniesformatowany"/>
        <w:spacing w:line="276" w:lineRule="auto"/>
        <w:jc w:val="both"/>
        <w:rPr>
          <w:rFonts w:ascii="Times New Roman" w:hAnsi="Times New Roman" w:cs="Times New Roman"/>
          <w:sz w:val="24"/>
          <w:szCs w:val="24"/>
          <w:lang w:val="en"/>
        </w:rPr>
      </w:pPr>
      <w:r w:rsidRPr="00C326E3">
        <w:rPr>
          <w:rFonts w:ascii="Times New Roman" w:hAnsi="Times New Roman" w:cs="Times New Roman"/>
          <w:sz w:val="24"/>
          <w:szCs w:val="24"/>
          <w:lang w:val="en"/>
        </w:rPr>
        <w:t>Where:</w:t>
      </w:r>
    </w:p>
    <w:p w:rsidR="0043085E" w:rsidRPr="00C326E3" w:rsidRDefault="0043085E" w:rsidP="00C326E3">
      <w:pPr>
        <w:pStyle w:val="HTML-wstpniesformatowany"/>
        <w:spacing w:line="276" w:lineRule="auto"/>
        <w:jc w:val="both"/>
        <w:rPr>
          <w:rFonts w:ascii="Times New Roman" w:hAnsi="Times New Roman" w:cs="Times New Roman"/>
          <w:sz w:val="24"/>
          <w:szCs w:val="24"/>
        </w:rPr>
      </w:pPr>
      <w:r w:rsidRPr="00C326E3">
        <w:rPr>
          <w:rFonts w:ascii="Times New Roman" w:hAnsi="Times New Roman" w:cs="Times New Roman"/>
          <w:sz w:val="24"/>
          <w:szCs w:val="24"/>
          <w:lang w:val="en"/>
        </w:rPr>
        <w:t xml:space="preserve">• </w:t>
      </w:r>
      <w:proofErr w:type="spellStart"/>
      <w:r w:rsidRPr="00C326E3">
        <w:rPr>
          <w:rFonts w:ascii="Times New Roman" w:hAnsi="Times New Roman" w:cs="Times New Roman"/>
          <w:sz w:val="24"/>
          <w:szCs w:val="24"/>
          <w:lang w:val="en"/>
        </w:rPr>
        <w:t>UDi</w:t>
      </w:r>
      <w:proofErr w:type="spellEnd"/>
      <w:r w:rsidRPr="00C326E3">
        <w:rPr>
          <w:rFonts w:ascii="Times New Roman" w:hAnsi="Times New Roman" w:cs="Times New Roman"/>
          <w:sz w:val="24"/>
          <w:szCs w:val="24"/>
          <w:lang w:val="en"/>
        </w:rPr>
        <w:t xml:space="preserve"> - underestimation of the price of the </w:t>
      </w:r>
      <w:proofErr w:type="spellStart"/>
      <w:r w:rsidRPr="00C326E3">
        <w:rPr>
          <w:rFonts w:ascii="Times New Roman" w:hAnsi="Times New Roman" w:cs="Times New Roman"/>
          <w:sz w:val="24"/>
          <w:szCs w:val="24"/>
          <w:lang w:val="en"/>
        </w:rPr>
        <w:t>i-th</w:t>
      </w:r>
      <w:proofErr w:type="spellEnd"/>
      <w:r w:rsidRPr="00C326E3">
        <w:rPr>
          <w:rFonts w:ascii="Times New Roman" w:hAnsi="Times New Roman" w:cs="Times New Roman"/>
          <w:sz w:val="24"/>
          <w:szCs w:val="24"/>
          <w:lang w:val="en"/>
        </w:rPr>
        <w:t xml:space="preserve"> share, Pi - the stock exchange price of the </w:t>
      </w:r>
      <w:proofErr w:type="spellStart"/>
      <w:r w:rsidRPr="00C326E3">
        <w:rPr>
          <w:rFonts w:ascii="Times New Roman" w:hAnsi="Times New Roman" w:cs="Times New Roman"/>
          <w:sz w:val="24"/>
          <w:szCs w:val="24"/>
          <w:lang w:val="en"/>
        </w:rPr>
        <w:t>i-th</w:t>
      </w:r>
      <w:proofErr w:type="spellEnd"/>
      <w:r w:rsidRPr="00C326E3">
        <w:rPr>
          <w:rFonts w:ascii="Times New Roman" w:hAnsi="Times New Roman" w:cs="Times New Roman"/>
          <w:sz w:val="24"/>
          <w:szCs w:val="24"/>
          <w:lang w:val="en"/>
        </w:rPr>
        <w:t xml:space="preserve"> share on the first day of trading, </w:t>
      </w:r>
      <w:proofErr w:type="spellStart"/>
      <w:r w:rsidRPr="00C326E3">
        <w:rPr>
          <w:rFonts w:ascii="Times New Roman" w:hAnsi="Times New Roman" w:cs="Times New Roman"/>
          <w:sz w:val="24"/>
          <w:szCs w:val="24"/>
          <w:lang w:val="en"/>
        </w:rPr>
        <w:t>Ei</w:t>
      </w:r>
      <w:proofErr w:type="spellEnd"/>
      <w:r w:rsidRPr="00C326E3">
        <w:rPr>
          <w:rFonts w:ascii="Times New Roman" w:hAnsi="Times New Roman" w:cs="Times New Roman"/>
          <w:sz w:val="24"/>
          <w:szCs w:val="24"/>
          <w:lang w:val="en"/>
        </w:rPr>
        <w:t xml:space="preserve"> - issue price of the </w:t>
      </w:r>
      <w:proofErr w:type="spellStart"/>
      <w:r w:rsidRPr="00C326E3">
        <w:rPr>
          <w:rFonts w:ascii="Times New Roman" w:hAnsi="Times New Roman" w:cs="Times New Roman"/>
          <w:sz w:val="24"/>
          <w:szCs w:val="24"/>
          <w:lang w:val="en"/>
        </w:rPr>
        <w:t>i-th</w:t>
      </w:r>
      <w:proofErr w:type="spellEnd"/>
      <w:r w:rsidRPr="00C326E3">
        <w:rPr>
          <w:rFonts w:ascii="Times New Roman" w:hAnsi="Times New Roman" w:cs="Times New Roman"/>
          <w:sz w:val="24"/>
          <w:szCs w:val="24"/>
          <w:lang w:val="en"/>
        </w:rPr>
        <w:t xml:space="preserve"> share.</w:t>
      </w:r>
    </w:p>
    <w:p w:rsidR="0043085E" w:rsidRPr="00C326E3" w:rsidRDefault="0043085E" w:rsidP="00C326E3">
      <w:pPr>
        <w:pStyle w:val="HTML-wstpniesformatowany"/>
        <w:spacing w:line="276" w:lineRule="auto"/>
        <w:jc w:val="both"/>
        <w:rPr>
          <w:rFonts w:ascii="Times New Roman" w:hAnsi="Times New Roman" w:cs="Times New Roman"/>
          <w:sz w:val="24"/>
          <w:szCs w:val="24"/>
          <w:lang w:val="en"/>
        </w:rPr>
      </w:pPr>
      <w:r w:rsidRPr="00C326E3">
        <w:rPr>
          <w:rFonts w:ascii="Times New Roman" w:hAnsi="Times New Roman" w:cs="Times New Roman"/>
          <w:sz w:val="24"/>
          <w:szCs w:val="24"/>
          <w:lang w:val="en"/>
        </w:rPr>
        <w:t xml:space="preserve">The second concept is the relative difference between the exchange rate of the </w:t>
      </w:r>
      <w:proofErr w:type="spellStart"/>
      <w:r w:rsidRPr="00C326E3">
        <w:rPr>
          <w:rFonts w:ascii="Times New Roman" w:hAnsi="Times New Roman" w:cs="Times New Roman"/>
          <w:sz w:val="24"/>
          <w:szCs w:val="24"/>
          <w:lang w:val="en"/>
        </w:rPr>
        <w:t>i-th</w:t>
      </w:r>
      <w:proofErr w:type="spellEnd"/>
      <w:r w:rsidRPr="00C326E3">
        <w:rPr>
          <w:rFonts w:ascii="Times New Roman" w:hAnsi="Times New Roman" w:cs="Times New Roman"/>
          <w:sz w:val="24"/>
          <w:szCs w:val="24"/>
          <w:lang w:val="en"/>
        </w:rPr>
        <w:t xml:space="preserve"> share on the first day of trading and the issue price of the share, defined as the initial return according to the following formula:</w:t>
      </w:r>
    </w:p>
    <w:p w:rsidR="0043085E" w:rsidRPr="00C326E3" w:rsidRDefault="0043085E" w:rsidP="00C326E3">
      <w:pPr>
        <w:pStyle w:val="Akapitzlist"/>
        <w:spacing w:after="0"/>
        <w:rPr>
          <w:rFonts w:ascii="Times New Roman" w:eastAsia="Times New Roman" w:hAnsi="Times New Roman" w:cs="Times New Roman"/>
          <w:sz w:val="24"/>
          <w:szCs w:val="24"/>
          <w:lang w:eastAsia="en-GB"/>
        </w:rPr>
      </w:pPr>
      <m:oMathPara>
        <m:oMath>
          <m:r>
            <w:rPr>
              <w:rFonts w:ascii="Cambria Math" w:eastAsia="Times New Roman" w:hAnsi="Cambria Math" w:cs="Times New Roman"/>
              <w:sz w:val="24"/>
              <w:szCs w:val="24"/>
              <w:lang w:eastAsia="en-GB"/>
            </w:rPr>
            <m:t>IR=</m:t>
          </m:r>
          <m:f>
            <m:fPr>
              <m:ctrlPr>
                <w:rPr>
                  <w:rFonts w:ascii="Cambria Math" w:eastAsia="Times New Roman" w:hAnsi="Cambria Math" w:cs="Times New Roman"/>
                  <w:i/>
                  <w:sz w:val="24"/>
                  <w:szCs w:val="24"/>
                  <w:lang w:eastAsia="en-GB"/>
                </w:rPr>
              </m:ctrlPr>
            </m:fPr>
            <m:num>
              <m:sSub>
                <m:sSubPr>
                  <m:ctrlPr>
                    <w:rPr>
                      <w:rFonts w:ascii="Cambria Math" w:eastAsia="Times New Roman" w:hAnsi="Cambria Math" w:cs="Times New Roman"/>
                      <w:i/>
                      <w:sz w:val="24"/>
                      <w:szCs w:val="24"/>
                      <w:lang w:eastAsia="en-GB"/>
                    </w:rPr>
                  </m:ctrlPr>
                </m:sSubPr>
                <m:e>
                  <m:r>
                    <w:rPr>
                      <w:rFonts w:ascii="Cambria Math" w:eastAsia="Times New Roman" w:hAnsi="Cambria Math" w:cs="Times New Roman"/>
                      <w:sz w:val="24"/>
                      <w:szCs w:val="24"/>
                      <w:lang w:eastAsia="en-GB"/>
                    </w:rPr>
                    <m:t>P</m:t>
                  </m:r>
                </m:e>
                <m:sub>
                  <m:r>
                    <w:rPr>
                      <w:rFonts w:ascii="Cambria Math" w:eastAsia="Times New Roman" w:hAnsi="Cambria Math" w:cs="Times New Roman"/>
                      <w:sz w:val="24"/>
                      <w:szCs w:val="24"/>
                      <w:lang w:eastAsia="en-GB"/>
                    </w:rPr>
                    <m:t>i</m:t>
                  </m:r>
                </m:sub>
              </m:sSub>
              <m:r>
                <w:rPr>
                  <w:rFonts w:ascii="Cambria Math" w:eastAsia="Times New Roman" w:hAnsi="Cambria Math" w:cs="Times New Roman"/>
                  <w:sz w:val="24"/>
                  <w:szCs w:val="24"/>
                  <w:lang w:eastAsia="en-GB"/>
                </w:rPr>
                <m:t>-</m:t>
              </m:r>
              <m:sSub>
                <m:sSubPr>
                  <m:ctrlPr>
                    <w:rPr>
                      <w:rFonts w:ascii="Cambria Math" w:eastAsia="Times New Roman" w:hAnsi="Cambria Math" w:cs="Times New Roman"/>
                      <w:i/>
                      <w:sz w:val="24"/>
                      <w:szCs w:val="24"/>
                      <w:lang w:eastAsia="en-GB"/>
                    </w:rPr>
                  </m:ctrlPr>
                </m:sSubPr>
                <m:e>
                  <m:r>
                    <w:rPr>
                      <w:rFonts w:ascii="Cambria Math" w:eastAsia="Times New Roman" w:hAnsi="Cambria Math" w:cs="Times New Roman"/>
                      <w:sz w:val="24"/>
                      <w:szCs w:val="24"/>
                      <w:lang w:eastAsia="en-GB"/>
                    </w:rPr>
                    <m:t>E</m:t>
                  </m:r>
                </m:e>
                <m:sub>
                  <m:r>
                    <w:rPr>
                      <w:rFonts w:ascii="Cambria Math" w:eastAsia="Times New Roman" w:hAnsi="Cambria Math" w:cs="Times New Roman"/>
                      <w:sz w:val="24"/>
                      <w:szCs w:val="24"/>
                      <w:lang w:eastAsia="en-GB"/>
                    </w:rPr>
                    <m:t>i</m:t>
                  </m:r>
                </m:sub>
              </m:sSub>
            </m:num>
            <m:den>
              <m:sSub>
                <m:sSubPr>
                  <m:ctrlPr>
                    <w:rPr>
                      <w:rFonts w:ascii="Cambria Math" w:eastAsia="Times New Roman" w:hAnsi="Cambria Math" w:cs="Times New Roman"/>
                      <w:i/>
                      <w:sz w:val="24"/>
                      <w:szCs w:val="24"/>
                      <w:lang w:eastAsia="en-GB"/>
                    </w:rPr>
                  </m:ctrlPr>
                </m:sSubPr>
                <m:e>
                  <m:r>
                    <w:rPr>
                      <w:rFonts w:ascii="Cambria Math" w:eastAsia="Times New Roman" w:hAnsi="Cambria Math" w:cs="Times New Roman"/>
                      <w:sz w:val="24"/>
                      <w:szCs w:val="24"/>
                      <w:lang w:eastAsia="en-GB"/>
                    </w:rPr>
                    <m:t>E</m:t>
                  </m:r>
                </m:e>
                <m:sub>
                  <m:r>
                    <w:rPr>
                      <w:rFonts w:ascii="Cambria Math" w:eastAsia="Times New Roman" w:hAnsi="Cambria Math" w:cs="Times New Roman"/>
                      <w:sz w:val="24"/>
                      <w:szCs w:val="24"/>
                      <w:lang w:eastAsia="en-GB"/>
                    </w:rPr>
                    <m:t>i</m:t>
                  </m:r>
                </m:sub>
              </m:sSub>
            </m:den>
          </m:f>
        </m:oMath>
      </m:oMathPara>
    </w:p>
    <w:p w:rsidR="0043085E" w:rsidRPr="00C326E3" w:rsidRDefault="0043085E" w:rsidP="00C326E3">
      <w:pPr>
        <w:pStyle w:val="HTML-wstpniesformatowany"/>
        <w:spacing w:line="276" w:lineRule="auto"/>
        <w:jc w:val="both"/>
        <w:rPr>
          <w:rFonts w:ascii="Times New Roman" w:hAnsi="Times New Roman" w:cs="Times New Roman"/>
          <w:sz w:val="24"/>
          <w:szCs w:val="24"/>
          <w:lang w:val="en"/>
        </w:rPr>
      </w:pPr>
    </w:p>
    <w:p w:rsidR="0043085E" w:rsidRPr="00C326E3" w:rsidRDefault="0043085E" w:rsidP="00C326E3">
      <w:pPr>
        <w:pStyle w:val="HTML-wstpniesformatowany"/>
        <w:spacing w:line="276" w:lineRule="auto"/>
        <w:jc w:val="both"/>
        <w:rPr>
          <w:rFonts w:ascii="Times New Roman" w:hAnsi="Times New Roman" w:cs="Times New Roman"/>
          <w:sz w:val="24"/>
          <w:szCs w:val="24"/>
          <w:lang w:val="en"/>
        </w:rPr>
      </w:pPr>
      <w:r w:rsidRPr="00C326E3">
        <w:rPr>
          <w:rFonts w:ascii="Times New Roman" w:hAnsi="Times New Roman" w:cs="Times New Roman"/>
          <w:sz w:val="24"/>
          <w:szCs w:val="24"/>
          <w:lang w:val="en"/>
        </w:rPr>
        <w:t>Where:</w:t>
      </w:r>
    </w:p>
    <w:p w:rsidR="0043085E" w:rsidRPr="00C326E3" w:rsidRDefault="0043085E" w:rsidP="00C326E3">
      <w:pPr>
        <w:pStyle w:val="HTML-wstpniesformatowany"/>
        <w:spacing w:line="276" w:lineRule="auto"/>
        <w:jc w:val="both"/>
        <w:rPr>
          <w:rFonts w:ascii="Times New Roman" w:hAnsi="Times New Roman" w:cs="Times New Roman"/>
          <w:sz w:val="24"/>
          <w:szCs w:val="24"/>
          <w:lang w:val="en"/>
        </w:rPr>
      </w:pPr>
      <w:r w:rsidRPr="00C326E3">
        <w:rPr>
          <w:rFonts w:ascii="Times New Roman" w:hAnsi="Times New Roman" w:cs="Times New Roman"/>
          <w:sz w:val="24"/>
          <w:szCs w:val="24"/>
          <w:lang w:val="en"/>
        </w:rPr>
        <w:t xml:space="preserve">IR is the original rate of return, </w:t>
      </w:r>
      <w:proofErr w:type="spellStart"/>
      <w:r w:rsidRPr="00C326E3">
        <w:rPr>
          <w:rFonts w:ascii="Times New Roman" w:hAnsi="Times New Roman" w:cs="Times New Roman"/>
          <w:sz w:val="24"/>
          <w:szCs w:val="24"/>
          <w:lang w:val="en"/>
        </w:rPr>
        <w:t>Ei</w:t>
      </w:r>
      <w:proofErr w:type="spellEnd"/>
      <w:r w:rsidRPr="00C326E3">
        <w:rPr>
          <w:rFonts w:ascii="Times New Roman" w:hAnsi="Times New Roman" w:cs="Times New Roman"/>
          <w:sz w:val="24"/>
          <w:szCs w:val="24"/>
          <w:lang w:val="en"/>
        </w:rPr>
        <w:t xml:space="preserve"> - the issue price of the </w:t>
      </w:r>
      <w:proofErr w:type="spellStart"/>
      <w:r w:rsidRPr="00C326E3">
        <w:rPr>
          <w:rFonts w:ascii="Times New Roman" w:hAnsi="Times New Roman" w:cs="Times New Roman"/>
          <w:sz w:val="24"/>
          <w:szCs w:val="24"/>
          <w:lang w:val="en"/>
        </w:rPr>
        <w:t>i-th</w:t>
      </w:r>
      <w:proofErr w:type="spellEnd"/>
      <w:r w:rsidRPr="00C326E3">
        <w:rPr>
          <w:rFonts w:ascii="Times New Roman" w:hAnsi="Times New Roman" w:cs="Times New Roman"/>
          <w:sz w:val="24"/>
          <w:szCs w:val="24"/>
          <w:lang w:val="en"/>
        </w:rPr>
        <w:t xml:space="preserve"> share</w:t>
      </w:r>
    </w:p>
    <w:p w:rsidR="0043085E" w:rsidRPr="00C326E3" w:rsidRDefault="0043085E" w:rsidP="00C326E3">
      <w:pPr>
        <w:pStyle w:val="HTML-wstpniesformatowany"/>
        <w:spacing w:line="276" w:lineRule="auto"/>
        <w:jc w:val="both"/>
        <w:rPr>
          <w:rFonts w:ascii="Times New Roman" w:hAnsi="Times New Roman" w:cs="Times New Roman"/>
          <w:sz w:val="24"/>
          <w:szCs w:val="24"/>
        </w:rPr>
      </w:pPr>
      <w:r w:rsidRPr="00C326E3">
        <w:rPr>
          <w:rFonts w:ascii="Times New Roman" w:hAnsi="Times New Roman" w:cs="Times New Roman"/>
          <w:sz w:val="24"/>
          <w:szCs w:val="24"/>
          <w:lang w:val="en"/>
        </w:rPr>
        <w:t>The third form is the original rate of return adjusted for the relative change in the stock index in the period between the date of subscription closing and the day of the stock exchange debut (index return rate) calculated according to the formula:</w:t>
      </w:r>
    </w:p>
    <w:p w:rsidR="0043085E" w:rsidRPr="00C326E3" w:rsidRDefault="0043085E" w:rsidP="00C326E3">
      <w:pPr>
        <w:spacing w:line="276" w:lineRule="auto"/>
        <w:rPr>
          <w:rFonts w:eastAsia="Times New Roman" w:cs="Times New Roman"/>
          <w:szCs w:val="24"/>
          <w:lang w:eastAsia="en-GB"/>
        </w:rPr>
      </w:pPr>
      <m:oMathPara>
        <m:oMath>
          <m:r>
            <w:rPr>
              <w:rFonts w:ascii="Cambria Math" w:eastAsia="Times New Roman" w:hAnsi="Cambria Math" w:cs="Times New Roman"/>
              <w:szCs w:val="24"/>
              <w:lang w:eastAsia="en-GB"/>
            </w:rPr>
            <w:lastRenderedPageBreak/>
            <m:t>AIR=</m:t>
          </m:r>
          <m:f>
            <m:fPr>
              <m:ctrlPr>
                <w:rPr>
                  <w:rFonts w:ascii="Cambria Math" w:eastAsia="Times New Roman" w:hAnsi="Cambria Math" w:cs="Times New Roman"/>
                  <w:i/>
                  <w:szCs w:val="24"/>
                  <w:lang w:eastAsia="en-GB"/>
                </w:rPr>
              </m:ctrlPr>
            </m:fPr>
            <m:num>
              <m:sSub>
                <m:sSubPr>
                  <m:ctrlPr>
                    <w:rPr>
                      <w:rFonts w:ascii="Cambria Math" w:eastAsia="Times New Roman" w:hAnsi="Cambria Math" w:cs="Times New Roman"/>
                      <w:i/>
                      <w:szCs w:val="24"/>
                      <w:lang w:eastAsia="en-GB"/>
                    </w:rPr>
                  </m:ctrlPr>
                </m:sSubPr>
                <m:e>
                  <m:r>
                    <w:rPr>
                      <w:rFonts w:ascii="Cambria Math" w:eastAsia="Times New Roman" w:hAnsi="Cambria Math" w:cs="Times New Roman"/>
                      <w:szCs w:val="24"/>
                      <w:lang w:eastAsia="en-GB"/>
                    </w:rPr>
                    <m:t>P</m:t>
                  </m:r>
                </m:e>
                <m:sub>
                  <m:r>
                    <w:rPr>
                      <w:rFonts w:ascii="Cambria Math" w:eastAsia="Times New Roman" w:hAnsi="Cambria Math" w:cs="Times New Roman"/>
                      <w:szCs w:val="24"/>
                      <w:lang w:eastAsia="en-GB"/>
                    </w:rPr>
                    <m:t>i</m:t>
                  </m:r>
                </m:sub>
              </m:sSub>
              <m:r>
                <w:rPr>
                  <w:rFonts w:ascii="Cambria Math" w:eastAsia="Times New Roman" w:hAnsi="Cambria Math" w:cs="Times New Roman"/>
                  <w:szCs w:val="24"/>
                  <w:lang w:eastAsia="en-GB"/>
                </w:rPr>
                <m:t>-</m:t>
              </m:r>
              <m:sSub>
                <m:sSubPr>
                  <m:ctrlPr>
                    <w:rPr>
                      <w:rFonts w:ascii="Cambria Math" w:eastAsia="Times New Roman" w:hAnsi="Cambria Math" w:cs="Times New Roman"/>
                      <w:i/>
                      <w:szCs w:val="24"/>
                      <w:lang w:eastAsia="en-GB"/>
                    </w:rPr>
                  </m:ctrlPr>
                </m:sSubPr>
                <m:e>
                  <m:r>
                    <w:rPr>
                      <w:rFonts w:ascii="Cambria Math" w:eastAsia="Times New Roman" w:hAnsi="Cambria Math" w:cs="Times New Roman"/>
                      <w:szCs w:val="24"/>
                      <w:lang w:eastAsia="en-GB"/>
                    </w:rPr>
                    <m:t>E</m:t>
                  </m:r>
                </m:e>
                <m:sub>
                  <m:r>
                    <w:rPr>
                      <w:rFonts w:ascii="Cambria Math" w:eastAsia="Times New Roman" w:hAnsi="Cambria Math" w:cs="Times New Roman"/>
                      <w:szCs w:val="24"/>
                      <w:lang w:eastAsia="en-GB"/>
                    </w:rPr>
                    <m:t>i</m:t>
                  </m:r>
                </m:sub>
              </m:sSub>
            </m:num>
            <m:den>
              <m:sSub>
                <m:sSubPr>
                  <m:ctrlPr>
                    <w:rPr>
                      <w:rFonts w:ascii="Cambria Math" w:eastAsia="Times New Roman" w:hAnsi="Cambria Math" w:cs="Times New Roman"/>
                      <w:i/>
                      <w:szCs w:val="24"/>
                      <w:lang w:eastAsia="en-GB"/>
                    </w:rPr>
                  </m:ctrlPr>
                </m:sSubPr>
                <m:e>
                  <m:r>
                    <w:rPr>
                      <w:rFonts w:ascii="Cambria Math" w:eastAsia="Times New Roman" w:hAnsi="Cambria Math" w:cs="Times New Roman"/>
                      <w:szCs w:val="24"/>
                      <w:lang w:eastAsia="en-GB"/>
                    </w:rPr>
                    <m:t>E</m:t>
                  </m:r>
                </m:e>
                <m:sub>
                  <m:r>
                    <w:rPr>
                      <w:rFonts w:ascii="Cambria Math" w:eastAsia="Times New Roman" w:hAnsi="Cambria Math" w:cs="Times New Roman"/>
                      <w:szCs w:val="24"/>
                      <w:lang w:eastAsia="en-GB"/>
                    </w:rPr>
                    <m:t>i</m:t>
                  </m:r>
                </m:sub>
              </m:sSub>
            </m:den>
          </m:f>
          <m:r>
            <w:rPr>
              <w:rFonts w:ascii="Cambria Math" w:eastAsia="Times New Roman" w:hAnsi="Cambria Math" w:cs="Times New Roman"/>
              <w:szCs w:val="24"/>
              <w:lang w:eastAsia="en-GB"/>
            </w:rPr>
            <m:t>-</m:t>
          </m:r>
          <m:f>
            <m:fPr>
              <m:ctrlPr>
                <w:rPr>
                  <w:rFonts w:ascii="Cambria Math" w:eastAsia="Times New Roman" w:hAnsi="Cambria Math" w:cs="Times New Roman"/>
                  <w:i/>
                  <w:szCs w:val="24"/>
                  <w:lang w:eastAsia="en-GB"/>
                </w:rPr>
              </m:ctrlPr>
            </m:fPr>
            <m:num>
              <m:sSub>
                <m:sSubPr>
                  <m:ctrlPr>
                    <w:rPr>
                      <w:rFonts w:ascii="Cambria Math" w:eastAsia="Times New Roman" w:hAnsi="Cambria Math" w:cs="Times New Roman"/>
                      <w:i/>
                      <w:szCs w:val="24"/>
                      <w:lang w:eastAsia="en-GB"/>
                    </w:rPr>
                  </m:ctrlPr>
                </m:sSubPr>
                <m:e>
                  <m:r>
                    <w:rPr>
                      <w:rFonts w:ascii="Cambria Math" w:eastAsia="Times New Roman" w:hAnsi="Cambria Math" w:cs="Times New Roman"/>
                      <w:szCs w:val="24"/>
                      <w:lang w:eastAsia="en-GB"/>
                    </w:rPr>
                    <m:t>I</m:t>
                  </m:r>
                </m:e>
                <m:sub>
                  <m:r>
                    <w:rPr>
                      <w:rFonts w:ascii="Cambria Math" w:eastAsia="Times New Roman" w:hAnsi="Cambria Math" w:cs="Times New Roman"/>
                      <w:szCs w:val="24"/>
                      <w:lang w:eastAsia="en-GB"/>
                    </w:rPr>
                    <m:t>t</m:t>
                  </m:r>
                </m:sub>
              </m:sSub>
              <m:r>
                <w:rPr>
                  <w:rFonts w:ascii="Cambria Math" w:eastAsia="Times New Roman" w:hAnsi="Cambria Math" w:cs="Times New Roman"/>
                  <w:szCs w:val="24"/>
                  <w:lang w:eastAsia="en-GB"/>
                </w:rPr>
                <m:t>-</m:t>
              </m:r>
              <m:sSub>
                <m:sSubPr>
                  <m:ctrlPr>
                    <w:rPr>
                      <w:rFonts w:ascii="Cambria Math" w:eastAsia="Times New Roman" w:hAnsi="Cambria Math" w:cs="Times New Roman"/>
                      <w:i/>
                      <w:szCs w:val="24"/>
                      <w:lang w:eastAsia="en-GB"/>
                    </w:rPr>
                  </m:ctrlPr>
                </m:sSubPr>
                <m:e>
                  <m:r>
                    <w:rPr>
                      <w:rFonts w:ascii="Cambria Math" w:eastAsia="Times New Roman" w:hAnsi="Cambria Math" w:cs="Times New Roman"/>
                      <w:szCs w:val="24"/>
                      <w:lang w:eastAsia="en-GB"/>
                    </w:rPr>
                    <m:t>I</m:t>
                  </m:r>
                </m:e>
                <m:sub>
                  <m:r>
                    <w:rPr>
                      <w:rFonts w:ascii="Cambria Math" w:eastAsia="Times New Roman" w:hAnsi="Cambria Math" w:cs="Times New Roman"/>
                      <w:szCs w:val="24"/>
                      <w:lang w:eastAsia="en-GB"/>
                    </w:rPr>
                    <m:t>0</m:t>
                  </m:r>
                </m:sub>
              </m:sSub>
            </m:num>
            <m:den>
              <m:sSub>
                <m:sSubPr>
                  <m:ctrlPr>
                    <w:rPr>
                      <w:rFonts w:ascii="Cambria Math" w:eastAsia="Times New Roman" w:hAnsi="Cambria Math" w:cs="Times New Roman"/>
                      <w:i/>
                      <w:szCs w:val="24"/>
                      <w:lang w:eastAsia="en-GB"/>
                    </w:rPr>
                  </m:ctrlPr>
                </m:sSubPr>
                <m:e>
                  <m:r>
                    <w:rPr>
                      <w:rFonts w:ascii="Cambria Math" w:eastAsia="Times New Roman" w:hAnsi="Cambria Math" w:cs="Times New Roman"/>
                      <w:szCs w:val="24"/>
                      <w:lang w:eastAsia="en-GB"/>
                    </w:rPr>
                    <m:t>I</m:t>
                  </m:r>
                </m:e>
                <m:sub>
                  <m:r>
                    <w:rPr>
                      <w:rFonts w:ascii="Cambria Math" w:eastAsia="Times New Roman" w:hAnsi="Cambria Math" w:cs="Times New Roman"/>
                      <w:szCs w:val="24"/>
                      <w:lang w:eastAsia="en-GB"/>
                    </w:rPr>
                    <m:t>0</m:t>
                  </m:r>
                </m:sub>
              </m:sSub>
            </m:den>
          </m:f>
        </m:oMath>
      </m:oMathPara>
    </w:p>
    <w:p w:rsidR="0043085E" w:rsidRPr="00C326E3" w:rsidRDefault="0043085E" w:rsidP="00C326E3">
      <w:pPr>
        <w:pStyle w:val="HTML-wstpniesformatowany"/>
        <w:spacing w:line="276" w:lineRule="auto"/>
        <w:jc w:val="both"/>
        <w:rPr>
          <w:rFonts w:ascii="Times New Roman" w:hAnsi="Times New Roman" w:cs="Times New Roman"/>
          <w:sz w:val="24"/>
          <w:szCs w:val="24"/>
          <w:lang w:val="en"/>
        </w:rPr>
      </w:pPr>
      <w:r w:rsidRPr="00C326E3">
        <w:rPr>
          <w:rFonts w:ascii="Times New Roman" w:hAnsi="Times New Roman" w:cs="Times New Roman"/>
          <w:sz w:val="24"/>
          <w:szCs w:val="24"/>
          <w:lang w:val="en"/>
        </w:rPr>
        <w:t>Where:</w:t>
      </w:r>
    </w:p>
    <w:p w:rsidR="0043085E" w:rsidRPr="00C326E3" w:rsidRDefault="0043085E" w:rsidP="00C326E3">
      <w:pPr>
        <w:pStyle w:val="HTML-wstpniesformatowany"/>
        <w:spacing w:line="276" w:lineRule="auto"/>
        <w:jc w:val="both"/>
        <w:rPr>
          <w:rFonts w:ascii="Times New Roman" w:hAnsi="Times New Roman" w:cs="Times New Roman"/>
          <w:sz w:val="24"/>
          <w:szCs w:val="24"/>
          <w:lang w:val="en"/>
        </w:rPr>
      </w:pPr>
      <w:r w:rsidRPr="00C326E3">
        <w:rPr>
          <w:rFonts w:ascii="Times New Roman" w:hAnsi="Times New Roman" w:cs="Times New Roman"/>
          <w:sz w:val="24"/>
          <w:szCs w:val="24"/>
          <w:lang w:val="en"/>
        </w:rPr>
        <w:t>• AIR - corrected underestimation of the initial public offering, It - value of the market portfolio at the close of the first trading day, I0 - value of the market portfolio at the opening of the first trading day (</w:t>
      </w:r>
      <w:proofErr w:type="spellStart"/>
      <w:r w:rsidRPr="00C326E3">
        <w:rPr>
          <w:rFonts w:ascii="Times New Roman" w:hAnsi="Times New Roman" w:cs="Times New Roman"/>
          <w:sz w:val="24"/>
          <w:szCs w:val="24"/>
          <w:lang w:val="en"/>
        </w:rPr>
        <w:t>eg</w:t>
      </w:r>
      <w:proofErr w:type="spellEnd"/>
      <w:r w:rsidRPr="00C326E3">
        <w:rPr>
          <w:rFonts w:ascii="Times New Roman" w:hAnsi="Times New Roman" w:cs="Times New Roman"/>
          <w:sz w:val="24"/>
          <w:szCs w:val="24"/>
          <w:lang w:val="en"/>
        </w:rPr>
        <w:t xml:space="preserve"> WIG20).</w:t>
      </w:r>
    </w:p>
    <w:p w:rsidR="0043085E" w:rsidRPr="00C326E3" w:rsidRDefault="0043085E" w:rsidP="00C326E3">
      <w:pPr>
        <w:pStyle w:val="HTML-wstpniesformatowany"/>
        <w:spacing w:line="276" w:lineRule="auto"/>
        <w:jc w:val="both"/>
        <w:rPr>
          <w:rFonts w:ascii="Times New Roman" w:hAnsi="Times New Roman" w:cs="Times New Roman"/>
          <w:sz w:val="24"/>
          <w:szCs w:val="24"/>
          <w:lang w:val="en"/>
        </w:rPr>
      </w:pPr>
      <w:r w:rsidRPr="00C326E3">
        <w:rPr>
          <w:rFonts w:ascii="Times New Roman" w:hAnsi="Times New Roman" w:cs="Times New Roman"/>
          <w:sz w:val="24"/>
          <w:szCs w:val="24"/>
          <w:lang w:val="en"/>
        </w:rPr>
        <w:t>Such underestimation is to be expressed by the fact that between the end of the subscription of shares and its first listing on the stock exchange a certain period elapses during which the investor has the opportunity to make an alternative investment. The positive difference alone, regardless of the way it is expressed (absolute, relative), does not allow the thesis that the issue price of shares is underestimated. Only if an alternative investment brings at the same time a lower rate of return than the purchased share, can one talk about underestimation. The original rate of return is therefore adjusted by the realized rate of return on the market portfolio and when it is higher, the investor can achieve an above average (surplus) rate of return (abnormal internal return, AIR).</w:t>
      </w:r>
    </w:p>
    <w:p w:rsidR="0043085E" w:rsidRPr="00C326E3" w:rsidRDefault="0043085E" w:rsidP="00C326E3">
      <w:pPr>
        <w:pStyle w:val="HTML-wstpniesformatowany"/>
        <w:spacing w:line="276" w:lineRule="auto"/>
        <w:jc w:val="both"/>
        <w:rPr>
          <w:rFonts w:ascii="Times New Roman" w:hAnsi="Times New Roman" w:cs="Times New Roman"/>
          <w:sz w:val="24"/>
          <w:szCs w:val="24"/>
          <w:lang w:val="en"/>
        </w:rPr>
      </w:pPr>
    </w:p>
    <w:p w:rsidR="0043085E" w:rsidRPr="00C326E3" w:rsidRDefault="0043085E" w:rsidP="00C326E3">
      <w:pPr>
        <w:pStyle w:val="HTML-wstpniesformatowany"/>
        <w:spacing w:line="276" w:lineRule="auto"/>
        <w:jc w:val="both"/>
        <w:rPr>
          <w:rFonts w:ascii="Times New Roman" w:hAnsi="Times New Roman" w:cs="Times New Roman"/>
          <w:sz w:val="24"/>
          <w:szCs w:val="24"/>
        </w:rPr>
      </w:pPr>
      <w:r w:rsidRPr="00C326E3">
        <w:rPr>
          <w:rFonts w:ascii="Times New Roman" w:hAnsi="Times New Roman" w:cs="Times New Roman"/>
          <w:sz w:val="24"/>
          <w:szCs w:val="24"/>
          <w:lang w:val="en"/>
        </w:rPr>
        <w:t>In this study, a formula was used to determine the average underestimation of the portfolio of shares powered by PE funds in relation to the broad market. This formula takes the following form:</w:t>
      </w:r>
    </w:p>
    <w:p w:rsidR="0043085E" w:rsidRPr="00C326E3" w:rsidRDefault="00557A01" w:rsidP="00C326E3">
      <w:pPr>
        <w:spacing w:line="276" w:lineRule="auto"/>
        <w:rPr>
          <w:rFonts w:eastAsiaTheme="minorEastAsia" w:cs="Times New Roman"/>
          <w:szCs w:val="24"/>
        </w:rPr>
      </w:pPr>
      <m:oMathPara>
        <m:oMath>
          <m:acc>
            <m:accPr>
              <m:chr m:val="̅"/>
              <m:ctrlPr>
                <w:rPr>
                  <w:rFonts w:ascii="Cambria Math" w:hAnsi="Cambria Math" w:cs="Times New Roman"/>
                  <w:i/>
                  <w:szCs w:val="24"/>
                </w:rPr>
              </m:ctrlPr>
            </m:accPr>
            <m:e>
              <m:r>
                <w:rPr>
                  <w:rFonts w:ascii="Cambria Math" w:hAnsi="Cambria Math" w:cs="Times New Roman"/>
                  <w:szCs w:val="24"/>
                </w:rPr>
                <m:t>IR</m:t>
              </m:r>
            </m:e>
          </m:acc>
          <m:r>
            <w:rPr>
              <w:rFonts w:ascii="Cambria Math" w:hAnsi="Cambria Math" w:cs="Times New Roman"/>
              <w:szCs w:val="24"/>
            </w:rPr>
            <m:t>=</m:t>
          </m:r>
          <m:f>
            <m:fPr>
              <m:ctrlPr>
                <w:rPr>
                  <w:rFonts w:ascii="Cambria Math" w:hAnsi="Cambria Math" w:cs="Times New Roman"/>
                  <w:i/>
                  <w:szCs w:val="24"/>
                </w:rPr>
              </m:ctrlPr>
            </m:fPr>
            <m:num>
              <m:r>
                <w:rPr>
                  <w:rFonts w:ascii="Cambria Math" w:hAnsi="Cambria Math" w:cs="Times New Roman"/>
                  <w:szCs w:val="24"/>
                </w:rPr>
                <m:t>1</m:t>
              </m:r>
            </m:num>
            <m:den>
              <m:r>
                <w:rPr>
                  <w:rFonts w:ascii="Cambria Math" w:hAnsi="Cambria Math" w:cs="Times New Roman"/>
                  <w:szCs w:val="24"/>
                </w:rPr>
                <m:t>N</m:t>
              </m:r>
            </m:den>
          </m:f>
          <m:nary>
            <m:naryPr>
              <m:chr m:val="∑"/>
              <m:limLoc m:val="undOvr"/>
              <m:ctrlPr>
                <w:rPr>
                  <w:rFonts w:ascii="Cambria Math" w:hAnsi="Cambria Math" w:cs="Times New Roman"/>
                  <w:i/>
                  <w:szCs w:val="24"/>
                </w:rPr>
              </m:ctrlPr>
            </m:naryPr>
            <m:sub>
              <m:r>
                <w:rPr>
                  <w:rFonts w:ascii="Cambria Math" w:hAnsi="Cambria Math" w:cs="Times New Roman"/>
                  <w:szCs w:val="24"/>
                </w:rPr>
                <m:t>i=1</m:t>
              </m:r>
            </m:sub>
            <m:sup>
              <m:r>
                <w:rPr>
                  <w:rFonts w:ascii="Cambria Math" w:hAnsi="Cambria Math" w:cs="Times New Roman"/>
                  <w:szCs w:val="24"/>
                </w:rPr>
                <m:t>N</m:t>
              </m:r>
            </m:sup>
            <m:e>
              <m:r>
                <w:rPr>
                  <w:rFonts w:ascii="Cambria Math" w:hAnsi="Cambria Math" w:cs="Times New Roman"/>
                  <w:szCs w:val="24"/>
                </w:rPr>
                <m:t>IR</m:t>
              </m:r>
            </m:e>
          </m:nary>
        </m:oMath>
      </m:oMathPara>
    </w:p>
    <w:p w:rsidR="0043085E" w:rsidRPr="00C326E3" w:rsidRDefault="0043085E" w:rsidP="00C326E3">
      <w:pPr>
        <w:pStyle w:val="HTML-wstpniesformatowany"/>
        <w:spacing w:line="276" w:lineRule="auto"/>
        <w:jc w:val="both"/>
        <w:rPr>
          <w:rFonts w:ascii="Times New Roman" w:hAnsi="Times New Roman" w:cs="Times New Roman"/>
          <w:sz w:val="24"/>
          <w:szCs w:val="24"/>
          <w:lang w:val="en"/>
        </w:rPr>
      </w:pPr>
      <w:r w:rsidRPr="00C326E3">
        <w:rPr>
          <w:rFonts w:ascii="Times New Roman" w:hAnsi="Times New Roman" w:cs="Times New Roman"/>
          <w:sz w:val="24"/>
          <w:szCs w:val="24"/>
          <w:lang w:val="en"/>
        </w:rPr>
        <w:t>Where:</w:t>
      </w:r>
    </w:p>
    <w:p w:rsidR="0043085E" w:rsidRPr="00C326E3" w:rsidRDefault="0043085E" w:rsidP="00C326E3">
      <w:pPr>
        <w:pStyle w:val="HTML-wstpniesformatowany"/>
        <w:spacing w:line="276" w:lineRule="auto"/>
        <w:jc w:val="both"/>
        <w:rPr>
          <w:rFonts w:ascii="Times New Roman" w:hAnsi="Times New Roman" w:cs="Times New Roman"/>
          <w:sz w:val="24"/>
          <w:szCs w:val="24"/>
          <w:lang w:val="en"/>
        </w:rPr>
      </w:pPr>
      <w:r w:rsidRPr="00C326E3">
        <w:rPr>
          <w:rFonts w:ascii="Times New Roman" w:hAnsi="Times New Roman" w:cs="Times New Roman"/>
          <w:sz w:val="24"/>
          <w:szCs w:val="24"/>
          <w:lang w:val="en"/>
        </w:rPr>
        <w:t>(IR) ̅ - average primary rate of return.</w:t>
      </w:r>
    </w:p>
    <w:p w:rsidR="0043085E" w:rsidRPr="00C326E3" w:rsidRDefault="0043085E" w:rsidP="00C326E3">
      <w:pPr>
        <w:pStyle w:val="HTML-wstpniesformatowany"/>
        <w:spacing w:line="276" w:lineRule="auto"/>
        <w:jc w:val="both"/>
        <w:rPr>
          <w:rFonts w:ascii="Times New Roman" w:hAnsi="Times New Roman" w:cs="Times New Roman"/>
          <w:sz w:val="24"/>
          <w:szCs w:val="24"/>
          <w:lang w:val="en"/>
        </w:rPr>
      </w:pPr>
      <w:r w:rsidRPr="00C326E3">
        <w:rPr>
          <w:rFonts w:ascii="Times New Roman" w:hAnsi="Times New Roman" w:cs="Times New Roman"/>
          <w:sz w:val="24"/>
          <w:szCs w:val="24"/>
          <w:lang w:val="en"/>
        </w:rPr>
        <w:t>In addition to the arithmetic mean of the equity portfolio, other underestimated measures (median, maximum value, minimum value, standard deviation) and weighted value of the average IPO underestimation rate can also be used to assess underestimation.</w:t>
      </w:r>
    </w:p>
    <w:p w:rsidR="0043085E" w:rsidRPr="00C326E3" w:rsidRDefault="0043085E" w:rsidP="00C326E3">
      <w:pPr>
        <w:pStyle w:val="HTML-wstpniesformatowany"/>
        <w:spacing w:line="276" w:lineRule="auto"/>
        <w:jc w:val="both"/>
        <w:rPr>
          <w:rFonts w:ascii="Times New Roman" w:hAnsi="Times New Roman" w:cs="Times New Roman"/>
          <w:sz w:val="24"/>
          <w:szCs w:val="24"/>
          <w:lang w:val="en"/>
        </w:rPr>
      </w:pPr>
    </w:p>
    <w:p w:rsidR="0043085E" w:rsidRPr="00C326E3" w:rsidRDefault="0043085E" w:rsidP="00C326E3">
      <w:pPr>
        <w:pStyle w:val="HTML-wstpniesformatowany"/>
        <w:numPr>
          <w:ilvl w:val="0"/>
          <w:numId w:val="5"/>
        </w:numPr>
        <w:spacing w:line="276" w:lineRule="auto"/>
        <w:jc w:val="both"/>
        <w:rPr>
          <w:rFonts w:ascii="Times New Roman" w:hAnsi="Times New Roman" w:cs="Times New Roman"/>
          <w:sz w:val="24"/>
          <w:szCs w:val="24"/>
          <w:lang w:val="en"/>
        </w:rPr>
      </w:pPr>
      <w:r w:rsidRPr="00C326E3">
        <w:rPr>
          <w:rFonts w:ascii="Times New Roman" w:hAnsi="Times New Roman" w:cs="Times New Roman"/>
          <w:sz w:val="24"/>
          <w:szCs w:val="24"/>
          <w:lang w:val="en"/>
        </w:rPr>
        <w:t>Analysis of the level of underestimation of public offers of companies supplied with private equity funds on the WSE in the period 2000-2018</w:t>
      </w:r>
    </w:p>
    <w:p w:rsidR="0043085E" w:rsidRPr="00C326E3" w:rsidRDefault="0043085E" w:rsidP="00C326E3">
      <w:pPr>
        <w:pStyle w:val="HTML-wstpniesformatowany"/>
        <w:spacing w:line="276" w:lineRule="auto"/>
        <w:jc w:val="both"/>
        <w:rPr>
          <w:rFonts w:ascii="Times New Roman" w:hAnsi="Times New Roman" w:cs="Times New Roman"/>
          <w:sz w:val="24"/>
          <w:szCs w:val="24"/>
          <w:lang w:val="en"/>
        </w:rPr>
      </w:pPr>
    </w:p>
    <w:p w:rsidR="0043085E" w:rsidRPr="00C326E3" w:rsidRDefault="0043085E" w:rsidP="00C326E3">
      <w:pPr>
        <w:pStyle w:val="HTML-wstpniesformatowany"/>
        <w:spacing w:line="276" w:lineRule="auto"/>
        <w:jc w:val="both"/>
        <w:rPr>
          <w:rFonts w:ascii="Times New Roman" w:hAnsi="Times New Roman" w:cs="Times New Roman"/>
          <w:sz w:val="24"/>
          <w:szCs w:val="24"/>
          <w:lang w:val="en"/>
        </w:rPr>
      </w:pPr>
    </w:p>
    <w:p w:rsidR="0043085E" w:rsidRPr="00C326E3" w:rsidRDefault="0043085E" w:rsidP="00C326E3">
      <w:pPr>
        <w:pStyle w:val="HTML-wstpniesformatowany"/>
        <w:spacing w:line="276" w:lineRule="auto"/>
        <w:jc w:val="both"/>
        <w:rPr>
          <w:rFonts w:ascii="Times New Roman" w:hAnsi="Times New Roman" w:cs="Times New Roman"/>
          <w:sz w:val="24"/>
          <w:szCs w:val="24"/>
        </w:rPr>
      </w:pPr>
      <w:r w:rsidRPr="00C326E3">
        <w:rPr>
          <w:rFonts w:ascii="Times New Roman" w:hAnsi="Times New Roman" w:cs="Times New Roman"/>
          <w:sz w:val="24"/>
          <w:szCs w:val="24"/>
          <w:lang w:val="en"/>
        </w:rPr>
        <w:t>The Warsaw Stock Exchange is the largest national exchange of financial instruments in the region of Central and Eastern Europe in terms of capitalization of listed companies and the value of trading in shares, as well as one of the fastest growing exchanges in Europe. According to the latest IPO Watch Europe report on the number and value of first public offers on European stock exchanges, the Warsaw trading floor is the second market in Europe in terms of the number of debuts and the third in terms of value in 2018. In 2000-2018, the WSE changed into significant way. Trends that changed the size and number of debuts also changed. Chart 1 shows the number of debuts in the years 2000-2018 on the Warsaw Stock Exchange.</w:t>
      </w:r>
    </w:p>
    <w:p w:rsidR="0043085E" w:rsidRPr="00C326E3" w:rsidRDefault="0043085E" w:rsidP="00C326E3">
      <w:pPr>
        <w:tabs>
          <w:tab w:val="left" w:pos="1080"/>
        </w:tabs>
        <w:spacing w:line="276" w:lineRule="auto"/>
        <w:rPr>
          <w:rFonts w:cs="Times New Roman"/>
          <w:szCs w:val="24"/>
          <w:lang w:val="en-GB"/>
        </w:rPr>
      </w:pPr>
    </w:p>
    <w:p w:rsidR="00CE67A6" w:rsidRPr="00C326E3" w:rsidRDefault="00CE67A6" w:rsidP="00C326E3">
      <w:pPr>
        <w:pStyle w:val="HTML-wstpniesformatowany"/>
        <w:spacing w:line="276" w:lineRule="auto"/>
        <w:jc w:val="both"/>
        <w:rPr>
          <w:rFonts w:ascii="Times New Roman" w:hAnsi="Times New Roman" w:cs="Times New Roman"/>
          <w:sz w:val="24"/>
          <w:szCs w:val="24"/>
          <w:lang w:val="en"/>
        </w:rPr>
      </w:pPr>
      <w:r w:rsidRPr="00C326E3">
        <w:rPr>
          <w:rFonts w:ascii="Times New Roman" w:hAnsi="Times New Roman" w:cs="Times New Roman"/>
          <w:sz w:val="24"/>
          <w:szCs w:val="24"/>
          <w:lang w:val="en"/>
        </w:rPr>
        <w:t>Chart 1. The number and value of IPOs on the Warsaw Stock Exchange in Warsaw in the years 2000-2018 (in PLN billion)</w:t>
      </w:r>
    </w:p>
    <w:p w:rsidR="0029600C" w:rsidRPr="00C326E3" w:rsidRDefault="0029600C" w:rsidP="00C326E3">
      <w:pPr>
        <w:pStyle w:val="HTML-wstpniesformatowany"/>
        <w:spacing w:line="276" w:lineRule="auto"/>
        <w:jc w:val="both"/>
        <w:rPr>
          <w:rFonts w:ascii="Times New Roman" w:hAnsi="Times New Roman" w:cs="Times New Roman"/>
          <w:sz w:val="24"/>
          <w:szCs w:val="24"/>
          <w:lang w:val="en"/>
        </w:rPr>
      </w:pPr>
    </w:p>
    <w:p w:rsidR="0029600C" w:rsidRPr="00C326E3" w:rsidRDefault="0029600C" w:rsidP="00C326E3">
      <w:pPr>
        <w:pStyle w:val="HTML-wstpniesformatowany"/>
        <w:spacing w:line="276" w:lineRule="auto"/>
        <w:jc w:val="both"/>
        <w:rPr>
          <w:rFonts w:ascii="Times New Roman" w:hAnsi="Times New Roman" w:cs="Times New Roman"/>
          <w:sz w:val="24"/>
          <w:szCs w:val="24"/>
          <w:lang w:val="en"/>
        </w:rPr>
      </w:pPr>
    </w:p>
    <w:p w:rsidR="0029600C" w:rsidRPr="00C326E3" w:rsidRDefault="0029600C" w:rsidP="00C326E3">
      <w:pPr>
        <w:pStyle w:val="HTML-wstpniesformatowany"/>
        <w:spacing w:line="276" w:lineRule="auto"/>
        <w:jc w:val="both"/>
        <w:rPr>
          <w:rFonts w:ascii="Times New Roman" w:hAnsi="Times New Roman" w:cs="Times New Roman"/>
          <w:sz w:val="24"/>
          <w:szCs w:val="24"/>
          <w:lang w:val="en"/>
        </w:rPr>
      </w:pPr>
    </w:p>
    <w:p w:rsidR="0029600C" w:rsidRPr="00C326E3" w:rsidRDefault="0029600C" w:rsidP="00C326E3">
      <w:pPr>
        <w:pStyle w:val="HTML-wstpniesformatowany"/>
        <w:spacing w:line="276" w:lineRule="auto"/>
        <w:jc w:val="both"/>
        <w:rPr>
          <w:rFonts w:ascii="Times New Roman" w:hAnsi="Times New Roman" w:cs="Times New Roman"/>
          <w:sz w:val="24"/>
          <w:szCs w:val="24"/>
          <w:lang w:val="en"/>
        </w:rPr>
      </w:pPr>
    </w:p>
    <w:p w:rsidR="0029600C" w:rsidRPr="00C326E3" w:rsidRDefault="0029600C" w:rsidP="00C326E3">
      <w:pPr>
        <w:pStyle w:val="HTML-wstpniesformatowany"/>
        <w:spacing w:line="276" w:lineRule="auto"/>
        <w:jc w:val="both"/>
        <w:rPr>
          <w:rFonts w:ascii="Times New Roman" w:hAnsi="Times New Roman" w:cs="Times New Roman"/>
          <w:sz w:val="24"/>
          <w:szCs w:val="24"/>
          <w:lang w:val="en"/>
        </w:rPr>
      </w:pPr>
    </w:p>
    <w:p w:rsidR="0029600C" w:rsidRPr="00C326E3" w:rsidRDefault="00FB76E4" w:rsidP="00C326E3">
      <w:pPr>
        <w:pStyle w:val="HTML-wstpniesformatowany"/>
        <w:spacing w:line="276" w:lineRule="auto"/>
        <w:jc w:val="center"/>
        <w:rPr>
          <w:rFonts w:ascii="Times New Roman" w:hAnsi="Times New Roman" w:cs="Times New Roman"/>
          <w:sz w:val="24"/>
          <w:szCs w:val="24"/>
          <w:lang w:val="en"/>
        </w:rPr>
      </w:pPr>
      <w:r w:rsidRPr="00C326E3">
        <w:rPr>
          <w:rFonts w:ascii="Times New Roman" w:hAnsi="Times New Roman" w:cs="Times New Roman"/>
          <w:noProof/>
          <w:sz w:val="24"/>
          <w:szCs w:val="24"/>
        </w:rPr>
        <w:drawing>
          <wp:inline distT="0" distB="0" distL="0" distR="0" wp14:anchorId="301FCCDA" wp14:editId="4F028636">
            <wp:extent cx="4572000" cy="2743200"/>
            <wp:effectExtent l="0" t="0" r="19050" b="19050"/>
            <wp:docPr id="1"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29600C" w:rsidRPr="00C326E3" w:rsidRDefault="0029600C" w:rsidP="00C326E3">
      <w:pPr>
        <w:pStyle w:val="HTML-wstpniesformatowany"/>
        <w:spacing w:line="276" w:lineRule="auto"/>
        <w:jc w:val="both"/>
        <w:rPr>
          <w:rFonts w:ascii="Times New Roman" w:hAnsi="Times New Roman" w:cs="Times New Roman"/>
          <w:sz w:val="24"/>
          <w:szCs w:val="24"/>
          <w:lang w:val="en"/>
        </w:rPr>
      </w:pPr>
    </w:p>
    <w:p w:rsidR="0029600C" w:rsidRPr="00C326E3" w:rsidRDefault="0029600C" w:rsidP="00C326E3">
      <w:pPr>
        <w:pStyle w:val="HTML-wstpniesformatowany"/>
        <w:spacing w:line="276" w:lineRule="auto"/>
        <w:jc w:val="center"/>
        <w:rPr>
          <w:rFonts w:ascii="Times New Roman" w:hAnsi="Times New Roman" w:cs="Times New Roman"/>
          <w:sz w:val="24"/>
          <w:szCs w:val="24"/>
          <w:lang w:val="en"/>
        </w:rPr>
      </w:pPr>
    </w:p>
    <w:p w:rsidR="0029600C" w:rsidRPr="00C326E3" w:rsidRDefault="0029600C" w:rsidP="00C326E3">
      <w:pPr>
        <w:pStyle w:val="HTML-wstpniesformatowany"/>
        <w:spacing w:line="276" w:lineRule="auto"/>
        <w:jc w:val="both"/>
        <w:rPr>
          <w:rFonts w:ascii="Times New Roman" w:hAnsi="Times New Roman" w:cs="Times New Roman"/>
          <w:sz w:val="24"/>
          <w:szCs w:val="24"/>
          <w:lang w:val="en"/>
        </w:rPr>
      </w:pPr>
    </w:p>
    <w:p w:rsidR="0029600C" w:rsidRPr="00C326E3" w:rsidRDefault="0029600C" w:rsidP="00C326E3">
      <w:pPr>
        <w:pStyle w:val="HTML-wstpniesformatowany"/>
        <w:spacing w:line="276" w:lineRule="auto"/>
        <w:jc w:val="both"/>
        <w:rPr>
          <w:rFonts w:ascii="Times New Roman" w:hAnsi="Times New Roman" w:cs="Times New Roman"/>
          <w:sz w:val="24"/>
          <w:szCs w:val="24"/>
          <w:lang w:val="en"/>
        </w:rPr>
      </w:pPr>
    </w:p>
    <w:p w:rsidR="0029600C" w:rsidRPr="00C326E3" w:rsidRDefault="0029600C" w:rsidP="00C326E3">
      <w:pPr>
        <w:pStyle w:val="HTML-wstpniesformatowany"/>
        <w:spacing w:line="276" w:lineRule="auto"/>
        <w:jc w:val="both"/>
        <w:rPr>
          <w:rFonts w:ascii="Times New Roman" w:hAnsi="Times New Roman" w:cs="Times New Roman"/>
          <w:sz w:val="24"/>
          <w:szCs w:val="24"/>
          <w:lang w:val="en"/>
        </w:rPr>
      </w:pPr>
    </w:p>
    <w:p w:rsidR="0029600C" w:rsidRPr="00C326E3" w:rsidRDefault="0029600C" w:rsidP="00C326E3">
      <w:pPr>
        <w:pStyle w:val="HTML-wstpniesformatowany"/>
        <w:spacing w:line="276" w:lineRule="auto"/>
        <w:jc w:val="both"/>
        <w:rPr>
          <w:rFonts w:ascii="Times New Roman" w:hAnsi="Times New Roman" w:cs="Times New Roman"/>
          <w:sz w:val="24"/>
          <w:szCs w:val="24"/>
          <w:lang w:val="en"/>
        </w:rPr>
      </w:pPr>
      <w:r w:rsidRPr="00C326E3">
        <w:rPr>
          <w:rFonts w:ascii="Times New Roman" w:hAnsi="Times New Roman" w:cs="Times New Roman"/>
          <w:sz w:val="24"/>
          <w:szCs w:val="24"/>
          <w:lang w:val="en"/>
        </w:rPr>
        <w:t>Left scale: IPO number, right scale: IPO value</w:t>
      </w:r>
    </w:p>
    <w:p w:rsidR="0029600C" w:rsidRPr="00C326E3" w:rsidRDefault="0029600C" w:rsidP="00C326E3">
      <w:pPr>
        <w:pStyle w:val="HTML-wstpniesformatowany"/>
        <w:spacing w:line="276" w:lineRule="auto"/>
        <w:jc w:val="both"/>
        <w:rPr>
          <w:rFonts w:ascii="Times New Roman" w:hAnsi="Times New Roman" w:cs="Times New Roman"/>
          <w:sz w:val="24"/>
          <w:szCs w:val="24"/>
        </w:rPr>
      </w:pPr>
      <w:r w:rsidRPr="00C326E3">
        <w:rPr>
          <w:rFonts w:ascii="Times New Roman" w:hAnsi="Times New Roman" w:cs="Times New Roman"/>
          <w:sz w:val="24"/>
          <w:szCs w:val="24"/>
          <w:lang w:val="en"/>
        </w:rPr>
        <w:t>Source: Own study based on data from the Warsaw Stock Exchange.</w:t>
      </w:r>
    </w:p>
    <w:p w:rsidR="0029600C" w:rsidRPr="00C326E3" w:rsidRDefault="0029600C" w:rsidP="00C326E3">
      <w:pPr>
        <w:pStyle w:val="HTML-wstpniesformatowany"/>
        <w:spacing w:line="276" w:lineRule="auto"/>
        <w:jc w:val="both"/>
        <w:rPr>
          <w:rFonts w:ascii="Times New Roman" w:hAnsi="Times New Roman" w:cs="Times New Roman"/>
          <w:sz w:val="24"/>
          <w:szCs w:val="24"/>
        </w:rPr>
      </w:pPr>
    </w:p>
    <w:p w:rsidR="0029600C" w:rsidRPr="00C326E3" w:rsidRDefault="0029600C" w:rsidP="00C326E3">
      <w:pPr>
        <w:pStyle w:val="HTML-wstpniesformatowany"/>
        <w:spacing w:line="276" w:lineRule="auto"/>
        <w:jc w:val="both"/>
        <w:rPr>
          <w:rFonts w:ascii="Times New Roman" w:hAnsi="Times New Roman" w:cs="Times New Roman"/>
          <w:sz w:val="24"/>
          <w:szCs w:val="24"/>
        </w:rPr>
      </w:pPr>
    </w:p>
    <w:p w:rsidR="0029600C" w:rsidRPr="00C326E3" w:rsidRDefault="0029600C" w:rsidP="00C326E3">
      <w:pPr>
        <w:pStyle w:val="HTML-wstpniesformatowany"/>
        <w:spacing w:line="276" w:lineRule="auto"/>
        <w:jc w:val="both"/>
        <w:rPr>
          <w:rFonts w:ascii="Times New Roman" w:hAnsi="Times New Roman" w:cs="Times New Roman"/>
          <w:sz w:val="24"/>
          <w:szCs w:val="24"/>
          <w:lang w:val="en"/>
        </w:rPr>
      </w:pPr>
      <w:r w:rsidRPr="00C326E3">
        <w:rPr>
          <w:rFonts w:ascii="Times New Roman" w:hAnsi="Times New Roman" w:cs="Times New Roman"/>
          <w:sz w:val="24"/>
          <w:szCs w:val="24"/>
          <w:lang w:val="en"/>
        </w:rPr>
        <w:t>Analyzing the data containing the number of IPO transactions on the Warsaw Stock Exchange, it should be noted that since the financial crisis having its peak in 2008, the trend regarding companies' activity in the field of IPOs has been negative. The main reason for stagnation is the poor sentiment of Polish investors, which translates into a decline in prices and valuations, especially of medium and small companies, which is also due to their low liquidity. Large companies, dependent mainly on foreign investors, are doing better. It is worth pointing out that the number of exclusions of listed companies is also increasing, which resulted in 2017 in the net outflow of the number of companies listed on the Warsaw Stock Exchange for the first time since 2003.</w:t>
      </w:r>
    </w:p>
    <w:p w:rsidR="0029600C" w:rsidRPr="00C326E3" w:rsidRDefault="0029600C" w:rsidP="00C326E3">
      <w:pPr>
        <w:pStyle w:val="HTML-wstpniesformatowany"/>
        <w:spacing w:line="276" w:lineRule="auto"/>
        <w:jc w:val="both"/>
        <w:rPr>
          <w:rFonts w:ascii="Times New Roman" w:hAnsi="Times New Roman" w:cs="Times New Roman"/>
          <w:sz w:val="24"/>
          <w:szCs w:val="24"/>
          <w:lang w:val="en"/>
        </w:rPr>
      </w:pPr>
      <w:r w:rsidRPr="00C326E3">
        <w:rPr>
          <w:rFonts w:ascii="Times New Roman" w:hAnsi="Times New Roman" w:cs="Times New Roman"/>
          <w:sz w:val="24"/>
          <w:szCs w:val="24"/>
          <w:lang w:val="en"/>
        </w:rPr>
        <w:t xml:space="preserve">On the major capital markets of the world such as New York or London, the share of companies powered by private </w:t>
      </w:r>
      <w:proofErr w:type="spellStart"/>
      <w:r w:rsidRPr="00C326E3">
        <w:rPr>
          <w:rFonts w:ascii="Times New Roman" w:hAnsi="Times New Roman" w:cs="Times New Roman"/>
          <w:sz w:val="24"/>
          <w:szCs w:val="24"/>
          <w:lang w:val="en"/>
        </w:rPr>
        <w:t>euqity</w:t>
      </w:r>
      <w:proofErr w:type="spellEnd"/>
      <w:r w:rsidRPr="00C326E3">
        <w:rPr>
          <w:rFonts w:ascii="Times New Roman" w:hAnsi="Times New Roman" w:cs="Times New Roman"/>
          <w:sz w:val="24"/>
          <w:szCs w:val="24"/>
          <w:lang w:val="en"/>
        </w:rPr>
        <w:t xml:space="preserve"> funds or venture capital represented on average over 50% for the period 2000-2018. It seems that companies supplied with PE funds constitute an important part of entities making IPO transactions also on the Warsaw Stock Exchange. In the examined period, they constituted a share of 12% if we examine the number of transactions carried out, This situation is presented in Table 1.</w:t>
      </w:r>
    </w:p>
    <w:p w:rsidR="0029600C" w:rsidRPr="00C326E3" w:rsidRDefault="0029600C" w:rsidP="00C326E3">
      <w:pPr>
        <w:pStyle w:val="HTML-wstpniesformatowany"/>
        <w:spacing w:line="276" w:lineRule="auto"/>
        <w:jc w:val="both"/>
        <w:rPr>
          <w:rFonts w:ascii="Times New Roman" w:hAnsi="Times New Roman" w:cs="Times New Roman"/>
          <w:sz w:val="24"/>
          <w:szCs w:val="24"/>
          <w:lang w:val="en"/>
        </w:rPr>
      </w:pPr>
    </w:p>
    <w:p w:rsidR="0029600C" w:rsidRPr="00C326E3" w:rsidRDefault="0029600C" w:rsidP="00C326E3">
      <w:pPr>
        <w:pStyle w:val="HTML-wstpniesformatowany"/>
        <w:spacing w:line="276" w:lineRule="auto"/>
        <w:jc w:val="both"/>
        <w:rPr>
          <w:rFonts w:ascii="Times New Roman" w:hAnsi="Times New Roman" w:cs="Times New Roman"/>
          <w:sz w:val="24"/>
          <w:szCs w:val="24"/>
        </w:rPr>
      </w:pPr>
      <w:r w:rsidRPr="00C326E3">
        <w:rPr>
          <w:rFonts w:ascii="Times New Roman" w:hAnsi="Times New Roman" w:cs="Times New Roman"/>
          <w:sz w:val="24"/>
          <w:szCs w:val="24"/>
          <w:lang w:val="en"/>
        </w:rPr>
        <w:lastRenderedPageBreak/>
        <w:t>Table 1. The number of transactions of companies supplied with PE funds against the background of other IPOs on the Warsaw Stock Exchange in 2000-2018</w:t>
      </w:r>
    </w:p>
    <w:p w:rsidR="0029600C" w:rsidRPr="00C326E3" w:rsidRDefault="0029600C" w:rsidP="00C326E3">
      <w:pPr>
        <w:pStyle w:val="HTML-wstpniesformatowany"/>
        <w:spacing w:line="276" w:lineRule="auto"/>
        <w:jc w:val="both"/>
        <w:rPr>
          <w:rFonts w:ascii="Times New Roman" w:hAnsi="Times New Roman" w:cs="Times New Roman"/>
          <w:sz w:val="24"/>
          <w:szCs w:val="24"/>
        </w:rPr>
      </w:pPr>
    </w:p>
    <w:p w:rsidR="0029600C" w:rsidRPr="00C326E3" w:rsidRDefault="0029600C" w:rsidP="00C326E3">
      <w:pPr>
        <w:pStyle w:val="HTML-wstpniesformatowany"/>
        <w:spacing w:line="276" w:lineRule="auto"/>
        <w:jc w:val="both"/>
        <w:rPr>
          <w:rFonts w:ascii="Times New Roman" w:hAnsi="Times New Roman" w:cs="Times New Roman"/>
          <w:sz w:val="24"/>
          <w:szCs w:val="24"/>
        </w:rPr>
      </w:pPr>
    </w:p>
    <w:tbl>
      <w:tblPr>
        <w:tblW w:w="3807" w:type="dxa"/>
        <w:jc w:val="center"/>
        <w:tblInd w:w="93" w:type="dxa"/>
        <w:tblLook w:val="04A0" w:firstRow="1" w:lastRow="0" w:firstColumn="1" w:lastColumn="0" w:noHBand="0" w:noVBand="1"/>
      </w:tblPr>
      <w:tblGrid>
        <w:gridCol w:w="960"/>
        <w:gridCol w:w="1440"/>
        <w:gridCol w:w="1407"/>
      </w:tblGrid>
      <w:tr w:rsidR="0029600C" w:rsidRPr="00C326E3" w:rsidTr="0029600C">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600C" w:rsidRPr="00C326E3" w:rsidRDefault="0029600C" w:rsidP="00C326E3">
            <w:pPr>
              <w:spacing w:line="276" w:lineRule="auto"/>
              <w:jc w:val="center"/>
              <w:rPr>
                <w:rFonts w:eastAsia="Times New Roman" w:cs="Times New Roman"/>
                <w:color w:val="000000"/>
                <w:sz w:val="20"/>
                <w:szCs w:val="20"/>
                <w:lang w:eastAsia="en-GB"/>
              </w:rPr>
            </w:pPr>
            <w:proofErr w:type="spellStart"/>
            <w:r w:rsidRPr="00C326E3">
              <w:rPr>
                <w:rFonts w:eastAsia="Times New Roman" w:cs="Times New Roman"/>
                <w:color w:val="000000"/>
                <w:sz w:val="20"/>
                <w:szCs w:val="20"/>
                <w:lang w:eastAsia="en-GB"/>
              </w:rPr>
              <w:t>Year</w:t>
            </w:r>
            <w:proofErr w:type="spellEnd"/>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29600C" w:rsidRPr="00C326E3" w:rsidRDefault="0029600C" w:rsidP="00C326E3">
            <w:pPr>
              <w:spacing w:line="276" w:lineRule="auto"/>
              <w:jc w:val="center"/>
              <w:rPr>
                <w:rFonts w:eastAsia="Times New Roman" w:cs="Times New Roman"/>
                <w:color w:val="000000"/>
                <w:sz w:val="20"/>
                <w:szCs w:val="20"/>
                <w:lang w:eastAsia="en-GB"/>
              </w:rPr>
            </w:pPr>
            <w:proofErr w:type="spellStart"/>
            <w:r w:rsidRPr="00C326E3">
              <w:rPr>
                <w:rFonts w:eastAsia="Times New Roman" w:cs="Times New Roman"/>
                <w:color w:val="000000"/>
                <w:sz w:val="20"/>
                <w:szCs w:val="20"/>
                <w:lang w:eastAsia="en-GB"/>
              </w:rPr>
              <w:t>Number</w:t>
            </w:r>
            <w:proofErr w:type="spellEnd"/>
            <w:r w:rsidRPr="00C326E3">
              <w:rPr>
                <w:rFonts w:eastAsia="Times New Roman" w:cs="Times New Roman"/>
                <w:color w:val="000000"/>
                <w:sz w:val="20"/>
                <w:szCs w:val="20"/>
                <w:lang w:eastAsia="en-GB"/>
              </w:rPr>
              <w:t xml:space="preserve"> of IPO</w:t>
            </w:r>
          </w:p>
        </w:tc>
        <w:tc>
          <w:tcPr>
            <w:tcW w:w="1407" w:type="dxa"/>
            <w:tcBorders>
              <w:top w:val="single" w:sz="4" w:space="0" w:color="auto"/>
              <w:left w:val="nil"/>
              <w:bottom w:val="single" w:sz="4" w:space="0" w:color="auto"/>
              <w:right w:val="single" w:sz="4" w:space="0" w:color="auto"/>
            </w:tcBorders>
            <w:shd w:val="clear" w:color="auto" w:fill="auto"/>
            <w:noWrap/>
            <w:vAlign w:val="bottom"/>
            <w:hideMark/>
          </w:tcPr>
          <w:p w:rsidR="0029600C" w:rsidRPr="00C326E3" w:rsidRDefault="0029600C" w:rsidP="00C326E3">
            <w:pPr>
              <w:spacing w:line="276" w:lineRule="auto"/>
              <w:jc w:val="center"/>
              <w:rPr>
                <w:rFonts w:eastAsia="Times New Roman" w:cs="Times New Roman"/>
                <w:color w:val="000000"/>
                <w:sz w:val="20"/>
                <w:szCs w:val="20"/>
                <w:lang w:val="en-GB" w:eastAsia="en-GB"/>
              </w:rPr>
            </w:pPr>
            <w:r w:rsidRPr="00C326E3">
              <w:rPr>
                <w:rFonts w:eastAsia="Times New Roman" w:cs="Times New Roman"/>
                <w:color w:val="000000"/>
                <w:sz w:val="20"/>
                <w:szCs w:val="20"/>
                <w:lang w:val="en-GB" w:eastAsia="en-GB"/>
              </w:rPr>
              <w:t>Number of PE backed IPO</w:t>
            </w:r>
          </w:p>
        </w:tc>
      </w:tr>
      <w:tr w:rsidR="0029600C" w:rsidRPr="00C326E3" w:rsidTr="0029600C">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9600C" w:rsidRPr="00C326E3" w:rsidRDefault="0029600C" w:rsidP="00C326E3">
            <w:pPr>
              <w:spacing w:line="276" w:lineRule="auto"/>
              <w:jc w:val="center"/>
              <w:rPr>
                <w:rFonts w:eastAsia="Times New Roman" w:cs="Times New Roman"/>
                <w:color w:val="000000"/>
                <w:sz w:val="20"/>
                <w:szCs w:val="20"/>
                <w:lang w:eastAsia="en-GB"/>
              </w:rPr>
            </w:pPr>
            <w:r w:rsidRPr="00C326E3">
              <w:rPr>
                <w:rFonts w:eastAsia="Times New Roman" w:cs="Times New Roman"/>
                <w:color w:val="000000"/>
                <w:sz w:val="20"/>
                <w:szCs w:val="20"/>
                <w:lang w:eastAsia="en-GB"/>
              </w:rPr>
              <w:t>2000</w:t>
            </w:r>
          </w:p>
        </w:tc>
        <w:tc>
          <w:tcPr>
            <w:tcW w:w="1440" w:type="dxa"/>
            <w:tcBorders>
              <w:top w:val="nil"/>
              <w:left w:val="nil"/>
              <w:bottom w:val="single" w:sz="4" w:space="0" w:color="auto"/>
              <w:right w:val="single" w:sz="4" w:space="0" w:color="auto"/>
            </w:tcBorders>
            <w:shd w:val="clear" w:color="auto" w:fill="auto"/>
            <w:noWrap/>
            <w:vAlign w:val="bottom"/>
            <w:hideMark/>
          </w:tcPr>
          <w:p w:rsidR="0029600C" w:rsidRPr="00C326E3" w:rsidRDefault="0029600C" w:rsidP="00C326E3">
            <w:pPr>
              <w:spacing w:line="276" w:lineRule="auto"/>
              <w:jc w:val="center"/>
              <w:rPr>
                <w:rFonts w:eastAsia="Times New Roman" w:cs="Times New Roman"/>
                <w:color w:val="000000"/>
                <w:sz w:val="20"/>
                <w:szCs w:val="20"/>
                <w:lang w:eastAsia="en-GB"/>
              </w:rPr>
            </w:pPr>
            <w:r w:rsidRPr="00C326E3">
              <w:rPr>
                <w:rFonts w:eastAsia="Times New Roman" w:cs="Times New Roman"/>
                <w:color w:val="000000"/>
                <w:sz w:val="20"/>
                <w:szCs w:val="20"/>
                <w:lang w:eastAsia="en-GB"/>
              </w:rPr>
              <w:t>13</w:t>
            </w:r>
          </w:p>
        </w:tc>
        <w:tc>
          <w:tcPr>
            <w:tcW w:w="1407" w:type="dxa"/>
            <w:tcBorders>
              <w:top w:val="nil"/>
              <w:left w:val="nil"/>
              <w:bottom w:val="single" w:sz="4" w:space="0" w:color="auto"/>
              <w:right w:val="single" w:sz="4" w:space="0" w:color="auto"/>
            </w:tcBorders>
            <w:shd w:val="clear" w:color="auto" w:fill="auto"/>
            <w:noWrap/>
            <w:vAlign w:val="bottom"/>
            <w:hideMark/>
          </w:tcPr>
          <w:p w:rsidR="0029600C" w:rsidRPr="00C326E3" w:rsidRDefault="0029600C" w:rsidP="00C326E3">
            <w:pPr>
              <w:spacing w:line="276" w:lineRule="auto"/>
              <w:jc w:val="center"/>
              <w:rPr>
                <w:rFonts w:eastAsia="Times New Roman" w:cs="Times New Roman"/>
                <w:color w:val="000000"/>
                <w:sz w:val="20"/>
                <w:szCs w:val="20"/>
                <w:lang w:eastAsia="en-GB"/>
              </w:rPr>
            </w:pPr>
            <w:r w:rsidRPr="00C326E3">
              <w:rPr>
                <w:rFonts w:eastAsia="Times New Roman" w:cs="Times New Roman"/>
                <w:color w:val="000000"/>
                <w:sz w:val="20"/>
                <w:szCs w:val="20"/>
                <w:lang w:eastAsia="en-GB"/>
              </w:rPr>
              <w:t>0</w:t>
            </w:r>
          </w:p>
        </w:tc>
      </w:tr>
      <w:tr w:rsidR="0029600C" w:rsidRPr="00C326E3" w:rsidTr="0029600C">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29600C" w:rsidRPr="00C326E3" w:rsidRDefault="0029600C" w:rsidP="00C326E3">
            <w:pPr>
              <w:spacing w:line="276" w:lineRule="auto"/>
              <w:jc w:val="center"/>
              <w:rPr>
                <w:rFonts w:eastAsia="Times New Roman" w:cs="Times New Roman"/>
                <w:color w:val="000000"/>
                <w:sz w:val="20"/>
                <w:szCs w:val="20"/>
                <w:lang w:eastAsia="en-GB"/>
              </w:rPr>
            </w:pPr>
            <w:r w:rsidRPr="00C326E3">
              <w:rPr>
                <w:rFonts w:eastAsia="Times New Roman" w:cs="Times New Roman"/>
                <w:color w:val="000000"/>
                <w:sz w:val="20"/>
                <w:szCs w:val="20"/>
                <w:lang w:eastAsia="en-GB"/>
              </w:rPr>
              <w:t>2001</w:t>
            </w:r>
          </w:p>
        </w:tc>
        <w:tc>
          <w:tcPr>
            <w:tcW w:w="1440" w:type="dxa"/>
            <w:tcBorders>
              <w:top w:val="nil"/>
              <w:left w:val="nil"/>
              <w:bottom w:val="single" w:sz="4" w:space="0" w:color="auto"/>
              <w:right w:val="single" w:sz="4" w:space="0" w:color="auto"/>
            </w:tcBorders>
            <w:shd w:val="clear" w:color="000000" w:fill="FFFFFF"/>
            <w:vAlign w:val="center"/>
            <w:hideMark/>
          </w:tcPr>
          <w:p w:rsidR="0029600C" w:rsidRPr="00C326E3" w:rsidRDefault="0029600C" w:rsidP="00C326E3">
            <w:pPr>
              <w:spacing w:line="276" w:lineRule="auto"/>
              <w:jc w:val="center"/>
              <w:rPr>
                <w:rFonts w:eastAsia="Times New Roman" w:cs="Times New Roman"/>
                <w:color w:val="000000"/>
                <w:sz w:val="20"/>
                <w:szCs w:val="20"/>
                <w:lang w:eastAsia="en-GB"/>
              </w:rPr>
            </w:pPr>
            <w:r w:rsidRPr="00C326E3">
              <w:rPr>
                <w:rFonts w:eastAsia="Times New Roman" w:cs="Times New Roman"/>
                <w:color w:val="000000"/>
                <w:sz w:val="20"/>
                <w:szCs w:val="20"/>
                <w:lang w:eastAsia="en-GB"/>
              </w:rPr>
              <w:t>9</w:t>
            </w:r>
          </w:p>
        </w:tc>
        <w:tc>
          <w:tcPr>
            <w:tcW w:w="1407" w:type="dxa"/>
            <w:tcBorders>
              <w:top w:val="nil"/>
              <w:left w:val="nil"/>
              <w:bottom w:val="single" w:sz="4" w:space="0" w:color="auto"/>
              <w:right w:val="single" w:sz="4" w:space="0" w:color="auto"/>
            </w:tcBorders>
            <w:shd w:val="clear" w:color="auto" w:fill="auto"/>
            <w:noWrap/>
            <w:vAlign w:val="bottom"/>
            <w:hideMark/>
          </w:tcPr>
          <w:p w:rsidR="0029600C" w:rsidRPr="00C326E3" w:rsidRDefault="0029600C" w:rsidP="00C326E3">
            <w:pPr>
              <w:spacing w:line="276" w:lineRule="auto"/>
              <w:jc w:val="center"/>
              <w:rPr>
                <w:rFonts w:eastAsia="Times New Roman" w:cs="Times New Roman"/>
                <w:color w:val="000000"/>
                <w:sz w:val="20"/>
                <w:szCs w:val="20"/>
                <w:lang w:eastAsia="en-GB"/>
              </w:rPr>
            </w:pPr>
            <w:r w:rsidRPr="00C326E3">
              <w:rPr>
                <w:rFonts w:eastAsia="Times New Roman" w:cs="Times New Roman"/>
                <w:color w:val="000000"/>
                <w:sz w:val="20"/>
                <w:szCs w:val="20"/>
                <w:lang w:eastAsia="en-GB"/>
              </w:rPr>
              <w:t>2</w:t>
            </w:r>
          </w:p>
        </w:tc>
      </w:tr>
      <w:tr w:rsidR="0029600C" w:rsidRPr="00C326E3" w:rsidTr="0029600C">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29600C" w:rsidRPr="00C326E3" w:rsidRDefault="0029600C" w:rsidP="00C326E3">
            <w:pPr>
              <w:spacing w:line="276" w:lineRule="auto"/>
              <w:jc w:val="center"/>
              <w:rPr>
                <w:rFonts w:eastAsia="Times New Roman" w:cs="Times New Roman"/>
                <w:color w:val="000000"/>
                <w:sz w:val="20"/>
                <w:szCs w:val="20"/>
                <w:lang w:eastAsia="en-GB"/>
              </w:rPr>
            </w:pPr>
            <w:r w:rsidRPr="00C326E3">
              <w:rPr>
                <w:rFonts w:eastAsia="Times New Roman" w:cs="Times New Roman"/>
                <w:color w:val="000000"/>
                <w:sz w:val="20"/>
                <w:szCs w:val="20"/>
                <w:lang w:eastAsia="en-GB"/>
              </w:rPr>
              <w:t>2002</w:t>
            </w:r>
          </w:p>
        </w:tc>
        <w:tc>
          <w:tcPr>
            <w:tcW w:w="1440" w:type="dxa"/>
            <w:tcBorders>
              <w:top w:val="nil"/>
              <w:left w:val="nil"/>
              <w:bottom w:val="single" w:sz="4" w:space="0" w:color="auto"/>
              <w:right w:val="single" w:sz="4" w:space="0" w:color="auto"/>
            </w:tcBorders>
            <w:shd w:val="clear" w:color="000000" w:fill="FFFFFF"/>
            <w:vAlign w:val="center"/>
            <w:hideMark/>
          </w:tcPr>
          <w:p w:rsidR="0029600C" w:rsidRPr="00C326E3" w:rsidRDefault="0029600C" w:rsidP="00C326E3">
            <w:pPr>
              <w:spacing w:line="276" w:lineRule="auto"/>
              <w:jc w:val="center"/>
              <w:rPr>
                <w:rFonts w:eastAsia="Times New Roman" w:cs="Times New Roman"/>
                <w:color w:val="000000"/>
                <w:sz w:val="20"/>
                <w:szCs w:val="20"/>
                <w:lang w:eastAsia="en-GB"/>
              </w:rPr>
            </w:pPr>
            <w:r w:rsidRPr="00C326E3">
              <w:rPr>
                <w:rFonts w:eastAsia="Times New Roman" w:cs="Times New Roman"/>
                <w:color w:val="000000"/>
                <w:sz w:val="20"/>
                <w:szCs w:val="20"/>
                <w:lang w:eastAsia="en-GB"/>
              </w:rPr>
              <w:t>5</w:t>
            </w:r>
          </w:p>
        </w:tc>
        <w:tc>
          <w:tcPr>
            <w:tcW w:w="1407" w:type="dxa"/>
            <w:tcBorders>
              <w:top w:val="nil"/>
              <w:left w:val="nil"/>
              <w:bottom w:val="single" w:sz="4" w:space="0" w:color="auto"/>
              <w:right w:val="single" w:sz="4" w:space="0" w:color="auto"/>
            </w:tcBorders>
            <w:shd w:val="clear" w:color="auto" w:fill="auto"/>
            <w:noWrap/>
            <w:vAlign w:val="bottom"/>
            <w:hideMark/>
          </w:tcPr>
          <w:p w:rsidR="0029600C" w:rsidRPr="00C326E3" w:rsidRDefault="0029600C" w:rsidP="00C326E3">
            <w:pPr>
              <w:spacing w:line="276" w:lineRule="auto"/>
              <w:jc w:val="center"/>
              <w:rPr>
                <w:rFonts w:eastAsia="Times New Roman" w:cs="Times New Roman"/>
                <w:color w:val="000000"/>
                <w:sz w:val="20"/>
                <w:szCs w:val="20"/>
                <w:lang w:eastAsia="en-GB"/>
              </w:rPr>
            </w:pPr>
            <w:r w:rsidRPr="00C326E3">
              <w:rPr>
                <w:rFonts w:eastAsia="Times New Roman" w:cs="Times New Roman"/>
                <w:color w:val="000000"/>
                <w:sz w:val="20"/>
                <w:szCs w:val="20"/>
                <w:lang w:eastAsia="en-GB"/>
              </w:rPr>
              <w:t>1</w:t>
            </w:r>
          </w:p>
        </w:tc>
      </w:tr>
      <w:tr w:rsidR="0029600C" w:rsidRPr="00C326E3" w:rsidTr="0029600C">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29600C" w:rsidRPr="00C326E3" w:rsidRDefault="0029600C" w:rsidP="00C326E3">
            <w:pPr>
              <w:spacing w:line="276" w:lineRule="auto"/>
              <w:jc w:val="center"/>
              <w:rPr>
                <w:rFonts w:eastAsia="Times New Roman" w:cs="Times New Roman"/>
                <w:color w:val="000000"/>
                <w:sz w:val="20"/>
                <w:szCs w:val="20"/>
                <w:lang w:eastAsia="en-GB"/>
              </w:rPr>
            </w:pPr>
            <w:r w:rsidRPr="00C326E3">
              <w:rPr>
                <w:rFonts w:eastAsia="Times New Roman" w:cs="Times New Roman"/>
                <w:color w:val="000000"/>
                <w:sz w:val="20"/>
                <w:szCs w:val="20"/>
                <w:lang w:eastAsia="en-GB"/>
              </w:rPr>
              <w:t>2003</w:t>
            </w:r>
          </w:p>
        </w:tc>
        <w:tc>
          <w:tcPr>
            <w:tcW w:w="1440" w:type="dxa"/>
            <w:tcBorders>
              <w:top w:val="nil"/>
              <w:left w:val="nil"/>
              <w:bottom w:val="single" w:sz="4" w:space="0" w:color="auto"/>
              <w:right w:val="single" w:sz="4" w:space="0" w:color="auto"/>
            </w:tcBorders>
            <w:shd w:val="clear" w:color="000000" w:fill="FFFFFF"/>
            <w:vAlign w:val="center"/>
            <w:hideMark/>
          </w:tcPr>
          <w:p w:rsidR="0029600C" w:rsidRPr="00C326E3" w:rsidRDefault="0029600C" w:rsidP="00C326E3">
            <w:pPr>
              <w:spacing w:line="276" w:lineRule="auto"/>
              <w:jc w:val="center"/>
              <w:rPr>
                <w:rFonts w:eastAsia="Times New Roman" w:cs="Times New Roman"/>
                <w:color w:val="000000"/>
                <w:sz w:val="20"/>
                <w:szCs w:val="20"/>
                <w:lang w:eastAsia="en-GB"/>
              </w:rPr>
            </w:pPr>
            <w:r w:rsidRPr="00C326E3">
              <w:rPr>
                <w:rFonts w:eastAsia="Times New Roman" w:cs="Times New Roman"/>
                <w:color w:val="000000"/>
                <w:sz w:val="20"/>
                <w:szCs w:val="20"/>
                <w:lang w:eastAsia="en-GB"/>
              </w:rPr>
              <w:t>6</w:t>
            </w:r>
          </w:p>
        </w:tc>
        <w:tc>
          <w:tcPr>
            <w:tcW w:w="1407" w:type="dxa"/>
            <w:tcBorders>
              <w:top w:val="nil"/>
              <w:left w:val="nil"/>
              <w:bottom w:val="single" w:sz="4" w:space="0" w:color="auto"/>
              <w:right w:val="single" w:sz="4" w:space="0" w:color="auto"/>
            </w:tcBorders>
            <w:shd w:val="clear" w:color="auto" w:fill="auto"/>
            <w:noWrap/>
            <w:vAlign w:val="bottom"/>
            <w:hideMark/>
          </w:tcPr>
          <w:p w:rsidR="0029600C" w:rsidRPr="00C326E3" w:rsidRDefault="0029600C" w:rsidP="00C326E3">
            <w:pPr>
              <w:spacing w:line="276" w:lineRule="auto"/>
              <w:jc w:val="center"/>
              <w:rPr>
                <w:rFonts w:eastAsia="Times New Roman" w:cs="Times New Roman"/>
                <w:color w:val="000000"/>
                <w:sz w:val="20"/>
                <w:szCs w:val="20"/>
                <w:lang w:eastAsia="en-GB"/>
              </w:rPr>
            </w:pPr>
            <w:r w:rsidRPr="00C326E3">
              <w:rPr>
                <w:rFonts w:eastAsia="Times New Roman" w:cs="Times New Roman"/>
                <w:color w:val="000000"/>
                <w:sz w:val="20"/>
                <w:szCs w:val="20"/>
                <w:lang w:eastAsia="en-GB"/>
              </w:rPr>
              <w:t>0</w:t>
            </w:r>
          </w:p>
        </w:tc>
      </w:tr>
      <w:tr w:rsidR="0029600C" w:rsidRPr="00C326E3" w:rsidTr="0029600C">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29600C" w:rsidRPr="00C326E3" w:rsidRDefault="0029600C" w:rsidP="00C326E3">
            <w:pPr>
              <w:spacing w:line="276" w:lineRule="auto"/>
              <w:jc w:val="center"/>
              <w:rPr>
                <w:rFonts w:eastAsia="Times New Roman" w:cs="Times New Roman"/>
                <w:color w:val="000000"/>
                <w:sz w:val="20"/>
                <w:szCs w:val="20"/>
                <w:lang w:eastAsia="en-GB"/>
              </w:rPr>
            </w:pPr>
            <w:r w:rsidRPr="00C326E3">
              <w:rPr>
                <w:rFonts w:eastAsia="Times New Roman" w:cs="Times New Roman"/>
                <w:color w:val="000000"/>
                <w:sz w:val="20"/>
                <w:szCs w:val="20"/>
                <w:lang w:eastAsia="en-GB"/>
              </w:rPr>
              <w:t>2004</w:t>
            </w:r>
          </w:p>
        </w:tc>
        <w:tc>
          <w:tcPr>
            <w:tcW w:w="1440" w:type="dxa"/>
            <w:tcBorders>
              <w:top w:val="nil"/>
              <w:left w:val="nil"/>
              <w:bottom w:val="single" w:sz="4" w:space="0" w:color="auto"/>
              <w:right w:val="single" w:sz="4" w:space="0" w:color="auto"/>
            </w:tcBorders>
            <w:shd w:val="clear" w:color="000000" w:fill="FFFFFF"/>
            <w:vAlign w:val="center"/>
            <w:hideMark/>
          </w:tcPr>
          <w:p w:rsidR="0029600C" w:rsidRPr="00C326E3" w:rsidRDefault="0029600C" w:rsidP="00C326E3">
            <w:pPr>
              <w:spacing w:line="276" w:lineRule="auto"/>
              <w:jc w:val="center"/>
              <w:rPr>
                <w:rFonts w:eastAsia="Times New Roman" w:cs="Times New Roman"/>
                <w:color w:val="000000"/>
                <w:sz w:val="20"/>
                <w:szCs w:val="20"/>
                <w:lang w:eastAsia="en-GB"/>
              </w:rPr>
            </w:pPr>
            <w:r w:rsidRPr="00C326E3">
              <w:rPr>
                <w:rFonts w:eastAsia="Times New Roman" w:cs="Times New Roman"/>
                <w:color w:val="000000"/>
                <w:sz w:val="20"/>
                <w:szCs w:val="20"/>
                <w:lang w:eastAsia="en-GB"/>
              </w:rPr>
              <w:t>36</w:t>
            </w:r>
          </w:p>
        </w:tc>
        <w:tc>
          <w:tcPr>
            <w:tcW w:w="1407" w:type="dxa"/>
            <w:tcBorders>
              <w:top w:val="nil"/>
              <w:left w:val="nil"/>
              <w:bottom w:val="single" w:sz="4" w:space="0" w:color="auto"/>
              <w:right w:val="single" w:sz="4" w:space="0" w:color="auto"/>
            </w:tcBorders>
            <w:shd w:val="clear" w:color="auto" w:fill="auto"/>
            <w:noWrap/>
            <w:vAlign w:val="bottom"/>
            <w:hideMark/>
          </w:tcPr>
          <w:p w:rsidR="0029600C" w:rsidRPr="00C326E3" w:rsidRDefault="0029600C" w:rsidP="00C326E3">
            <w:pPr>
              <w:spacing w:line="276" w:lineRule="auto"/>
              <w:jc w:val="center"/>
              <w:rPr>
                <w:rFonts w:eastAsia="Times New Roman" w:cs="Times New Roman"/>
                <w:color w:val="000000"/>
                <w:sz w:val="20"/>
                <w:szCs w:val="20"/>
                <w:lang w:eastAsia="en-GB"/>
              </w:rPr>
            </w:pPr>
            <w:r w:rsidRPr="00C326E3">
              <w:rPr>
                <w:rFonts w:eastAsia="Times New Roman" w:cs="Times New Roman"/>
                <w:color w:val="000000"/>
                <w:sz w:val="20"/>
                <w:szCs w:val="20"/>
                <w:lang w:eastAsia="en-GB"/>
              </w:rPr>
              <w:t>5</w:t>
            </w:r>
          </w:p>
        </w:tc>
      </w:tr>
      <w:tr w:rsidR="0029600C" w:rsidRPr="00C326E3" w:rsidTr="0029600C">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29600C" w:rsidRPr="00C326E3" w:rsidRDefault="0029600C" w:rsidP="00C326E3">
            <w:pPr>
              <w:spacing w:line="276" w:lineRule="auto"/>
              <w:jc w:val="center"/>
              <w:rPr>
                <w:rFonts w:eastAsia="Times New Roman" w:cs="Times New Roman"/>
                <w:color w:val="000000"/>
                <w:sz w:val="20"/>
                <w:szCs w:val="20"/>
                <w:lang w:eastAsia="en-GB"/>
              </w:rPr>
            </w:pPr>
            <w:r w:rsidRPr="00C326E3">
              <w:rPr>
                <w:rFonts w:eastAsia="Times New Roman" w:cs="Times New Roman"/>
                <w:color w:val="000000"/>
                <w:sz w:val="20"/>
                <w:szCs w:val="20"/>
                <w:lang w:eastAsia="en-GB"/>
              </w:rPr>
              <w:t>2005</w:t>
            </w:r>
          </w:p>
        </w:tc>
        <w:tc>
          <w:tcPr>
            <w:tcW w:w="1440" w:type="dxa"/>
            <w:tcBorders>
              <w:top w:val="nil"/>
              <w:left w:val="nil"/>
              <w:bottom w:val="single" w:sz="4" w:space="0" w:color="auto"/>
              <w:right w:val="single" w:sz="4" w:space="0" w:color="auto"/>
            </w:tcBorders>
            <w:shd w:val="clear" w:color="000000" w:fill="FFFFFF"/>
            <w:vAlign w:val="center"/>
            <w:hideMark/>
          </w:tcPr>
          <w:p w:rsidR="0029600C" w:rsidRPr="00C326E3" w:rsidRDefault="0029600C" w:rsidP="00C326E3">
            <w:pPr>
              <w:spacing w:line="276" w:lineRule="auto"/>
              <w:jc w:val="center"/>
              <w:rPr>
                <w:rFonts w:eastAsia="Times New Roman" w:cs="Times New Roman"/>
                <w:color w:val="000000"/>
                <w:sz w:val="20"/>
                <w:szCs w:val="20"/>
                <w:lang w:eastAsia="en-GB"/>
              </w:rPr>
            </w:pPr>
            <w:r w:rsidRPr="00C326E3">
              <w:rPr>
                <w:rFonts w:eastAsia="Times New Roman" w:cs="Times New Roman"/>
                <w:color w:val="000000"/>
                <w:sz w:val="20"/>
                <w:szCs w:val="20"/>
                <w:lang w:eastAsia="en-GB"/>
              </w:rPr>
              <w:t>35</w:t>
            </w:r>
          </w:p>
        </w:tc>
        <w:tc>
          <w:tcPr>
            <w:tcW w:w="1407" w:type="dxa"/>
            <w:tcBorders>
              <w:top w:val="nil"/>
              <w:left w:val="nil"/>
              <w:bottom w:val="single" w:sz="4" w:space="0" w:color="auto"/>
              <w:right w:val="single" w:sz="4" w:space="0" w:color="auto"/>
            </w:tcBorders>
            <w:shd w:val="clear" w:color="auto" w:fill="auto"/>
            <w:noWrap/>
            <w:vAlign w:val="bottom"/>
            <w:hideMark/>
          </w:tcPr>
          <w:p w:rsidR="0029600C" w:rsidRPr="00C326E3" w:rsidRDefault="0029600C" w:rsidP="00C326E3">
            <w:pPr>
              <w:spacing w:line="276" w:lineRule="auto"/>
              <w:jc w:val="center"/>
              <w:rPr>
                <w:rFonts w:eastAsia="Times New Roman" w:cs="Times New Roman"/>
                <w:color w:val="000000"/>
                <w:sz w:val="20"/>
                <w:szCs w:val="20"/>
                <w:lang w:eastAsia="en-GB"/>
              </w:rPr>
            </w:pPr>
            <w:r w:rsidRPr="00C326E3">
              <w:rPr>
                <w:rFonts w:eastAsia="Times New Roman" w:cs="Times New Roman"/>
                <w:color w:val="000000"/>
                <w:sz w:val="20"/>
                <w:szCs w:val="20"/>
                <w:lang w:eastAsia="en-GB"/>
              </w:rPr>
              <w:t>7</w:t>
            </w:r>
          </w:p>
        </w:tc>
      </w:tr>
      <w:tr w:rsidR="0029600C" w:rsidRPr="00C326E3" w:rsidTr="0029600C">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29600C" w:rsidRPr="00C326E3" w:rsidRDefault="0029600C" w:rsidP="00C326E3">
            <w:pPr>
              <w:spacing w:line="276" w:lineRule="auto"/>
              <w:jc w:val="center"/>
              <w:rPr>
                <w:rFonts w:eastAsia="Times New Roman" w:cs="Times New Roman"/>
                <w:color w:val="000000"/>
                <w:sz w:val="20"/>
                <w:szCs w:val="20"/>
                <w:lang w:eastAsia="en-GB"/>
              </w:rPr>
            </w:pPr>
            <w:r w:rsidRPr="00C326E3">
              <w:rPr>
                <w:rFonts w:eastAsia="Times New Roman" w:cs="Times New Roman"/>
                <w:color w:val="000000"/>
                <w:sz w:val="20"/>
                <w:szCs w:val="20"/>
                <w:lang w:eastAsia="en-GB"/>
              </w:rPr>
              <w:t>2006</w:t>
            </w:r>
          </w:p>
        </w:tc>
        <w:tc>
          <w:tcPr>
            <w:tcW w:w="1440" w:type="dxa"/>
            <w:tcBorders>
              <w:top w:val="nil"/>
              <w:left w:val="nil"/>
              <w:bottom w:val="single" w:sz="4" w:space="0" w:color="auto"/>
              <w:right w:val="single" w:sz="4" w:space="0" w:color="auto"/>
            </w:tcBorders>
            <w:shd w:val="clear" w:color="000000" w:fill="FFFFFF"/>
            <w:vAlign w:val="center"/>
            <w:hideMark/>
          </w:tcPr>
          <w:p w:rsidR="0029600C" w:rsidRPr="00C326E3" w:rsidRDefault="0029600C" w:rsidP="00C326E3">
            <w:pPr>
              <w:spacing w:line="276" w:lineRule="auto"/>
              <w:jc w:val="center"/>
              <w:rPr>
                <w:rFonts w:eastAsia="Times New Roman" w:cs="Times New Roman"/>
                <w:color w:val="000000"/>
                <w:sz w:val="20"/>
                <w:szCs w:val="20"/>
                <w:lang w:eastAsia="en-GB"/>
              </w:rPr>
            </w:pPr>
            <w:r w:rsidRPr="00C326E3">
              <w:rPr>
                <w:rFonts w:eastAsia="Times New Roman" w:cs="Times New Roman"/>
                <w:color w:val="000000"/>
                <w:sz w:val="20"/>
                <w:szCs w:val="20"/>
                <w:lang w:eastAsia="en-GB"/>
              </w:rPr>
              <w:t>38</w:t>
            </w:r>
          </w:p>
        </w:tc>
        <w:tc>
          <w:tcPr>
            <w:tcW w:w="1407" w:type="dxa"/>
            <w:tcBorders>
              <w:top w:val="nil"/>
              <w:left w:val="nil"/>
              <w:bottom w:val="single" w:sz="4" w:space="0" w:color="auto"/>
              <w:right w:val="single" w:sz="4" w:space="0" w:color="auto"/>
            </w:tcBorders>
            <w:shd w:val="clear" w:color="auto" w:fill="auto"/>
            <w:noWrap/>
            <w:vAlign w:val="bottom"/>
            <w:hideMark/>
          </w:tcPr>
          <w:p w:rsidR="0029600C" w:rsidRPr="00C326E3" w:rsidRDefault="0029600C" w:rsidP="00C326E3">
            <w:pPr>
              <w:spacing w:line="276" w:lineRule="auto"/>
              <w:jc w:val="center"/>
              <w:rPr>
                <w:rFonts w:eastAsia="Times New Roman" w:cs="Times New Roman"/>
                <w:color w:val="000000"/>
                <w:sz w:val="20"/>
                <w:szCs w:val="20"/>
                <w:lang w:eastAsia="en-GB"/>
              </w:rPr>
            </w:pPr>
            <w:r w:rsidRPr="00C326E3">
              <w:rPr>
                <w:rFonts w:eastAsia="Times New Roman" w:cs="Times New Roman"/>
                <w:color w:val="000000"/>
                <w:sz w:val="20"/>
                <w:szCs w:val="20"/>
                <w:lang w:eastAsia="en-GB"/>
              </w:rPr>
              <w:t>9</w:t>
            </w:r>
          </w:p>
        </w:tc>
      </w:tr>
      <w:tr w:rsidR="0029600C" w:rsidRPr="00C326E3" w:rsidTr="0029600C">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29600C" w:rsidRPr="00C326E3" w:rsidRDefault="0029600C" w:rsidP="00C326E3">
            <w:pPr>
              <w:spacing w:line="276" w:lineRule="auto"/>
              <w:jc w:val="center"/>
              <w:rPr>
                <w:rFonts w:eastAsia="Times New Roman" w:cs="Times New Roman"/>
                <w:color w:val="000000"/>
                <w:sz w:val="20"/>
                <w:szCs w:val="20"/>
                <w:lang w:eastAsia="en-GB"/>
              </w:rPr>
            </w:pPr>
            <w:r w:rsidRPr="00C326E3">
              <w:rPr>
                <w:rFonts w:eastAsia="Times New Roman" w:cs="Times New Roman"/>
                <w:color w:val="000000"/>
                <w:sz w:val="20"/>
                <w:szCs w:val="20"/>
                <w:lang w:eastAsia="en-GB"/>
              </w:rPr>
              <w:t>2007</w:t>
            </w:r>
          </w:p>
        </w:tc>
        <w:tc>
          <w:tcPr>
            <w:tcW w:w="1440" w:type="dxa"/>
            <w:tcBorders>
              <w:top w:val="nil"/>
              <w:left w:val="nil"/>
              <w:bottom w:val="single" w:sz="4" w:space="0" w:color="auto"/>
              <w:right w:val="single" w:sz="4" w:space="0" w:color="auto"/>
            </w:tcBorders>
            <w:shd w:val="clear" w:color="000000" w:fill="FFFFFF"/>
            <w:vAlign w:val="center"/>
            <w:hideMark/>
          </w:tcPr>
          <w:p w:rsidR="0029600C" w:rsidRPr="00C326E3" w:rsidRDefault="0029600C" w:rsidP="00C326E3">
            <w:pPr>
              <w:spacing w:line="276" w:lineRule="auto"/>
              <w:jc w:val="center"/>
              <w:rPr>
                <w:rFonts w:eastAsia="Times New Roman" w:cs="Times New Roman"/>
                <w:color w:val="000000"/>
                <w:sz w:val="20"/>
                <w:szCs w:val="20"/>
                <w:lang w:eastAsia="en-GB"/>
              </w:rPr>
            </w:pPr>
            <w:r w:rsidRPr="00C326E3">
              <w:rPr>
                <w:rFonts w:eastAsia="Times New Roman" w:cs="Times New Roman"/>
                <w:color w:val="000000"/>
                <w:sz w:val="20"/>
                <w:szCs w:val="20"/>
                <w:lang w:eastAsia="en-GB"/>
              </w:rPr>
              <w:t>81</w:t>
            </w:r>
          </w:p>
        </w:tc>
        <w:tc>
          <w:tcPr>
            <w:tcW w:w="1407" w:type="dxa"/>
            <w:tcBorders>
              <w:top w:val="nil"/>
              <w:left w:val="nil"/>
              <w:bottom w:val="single" w:sz="4" w:space="0" w:color="auto"/>
              <w:right w:val="single" w:sz="4" w:space="0" w:color="auto"/>
            </w:tcBorders>
            <w:shd w:val="clear" w:color="auto" w:fill="auto"/>
            <w:noWrap/>
            <w:vAlign w:val="bottom"/>
            <w:hideMark/>
          </w:tcPr>
          <w:p w:rsidR="0029600C" w:rsidRPr="00C326E3" w:rsidRDefault="0029600C" w:rsidP="00C326E3">
            <w:pPr>
              <w:spacing w:line="276" w:lineRule="auto"/>
              <w:jc w:val="center"/>
              <w:rPr>
                <w:rFonts w:eastAsia="Times New Roman" w:cs="Times New Roman"/>
                <w:color w:val="000000"/>
                <w:sz w:val="20"/>
                <w:szCs w:val="20"/>
                <w:lang w:eastAsia="en-GB"/>
              </w:rPr>
            </w:pPr>
            <w:r w:rsidRPr="00C326E3">
              <w:rPr>
                <w:rFonts w:eastAsia="Times New Roman" w:cs="Times New Roman"/>
                <w:color w:val="000000"/>
                <w:sz w:val="20"/>
                <w:szCs w:val="20"/>
                <w:lang w:eastAsia="en-GB"/>
              </w:rPr>
              <w:t>6</w:t>
            </w:r>
          </w:p>
        </w:tc>
      </w:tr>
      <w:tr w:rsidR="0029600C" w:rsidRPr="00C326E3" w:rsidTr="0029600C">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29600C" w:rsidRPr="00C326E3" w:rsidRDefault="0029600C" w:rsidP="00C326E3">
            <w:pPr>
              <w:spacing w:line="276" w:lineRule="auto"/>
              <w:jc w:val="center"/>
              <w:rPr>
                <w:rFonts w:eastAsia="Times New Roman" w:cs="Times New Roman"/>
                <w:color w:val="000000"/>
                <w:sz w:val="20"/>
                <w:szCs w:val="20"/>
                <w:lang w:eastAsia="en-GB"/>
              </w:rPr>
            </w:pPr>
            <w:r w:rsidRPr="00C326E3">
              <w:rPr>
                <w:rFonts w:eastAsia="Times New Roman" w:cs="Times New Roman"/>
                <w:color w:val="000000"/>
                <w:sz w:val="20"/>
                <w:szCs w:val="20"/>
                <w:lang w:eastAsia="en-GB"/>
              </w:rPr>
              <w:t>2008</w:t>
            </w:r>
          </w:p>
        </w:tc>
        <w:tc>
          <w:tcPr>
            <w:tcW w:w="1440" w:type="dxa"/>
            <w:tcBorders>
              <w:top w:val="nil"/>
              <w:left w:val="nil"/>
              <w:bottom w:val="single" w:sz="4" w:space="0" w:color="auto"/>
              <w:right w:val="single" w:sz="4" w:space="0" w:color="auto"/>
            </w:tcBorders>
            <w:shd w:val="clear" w:color="000000" w:fill="FFFFFF"/>
            <w:vAlign w:val="center"/>
            <w:hideMark/>
          </w:tcPr>
          <w:p w:rsidR="0029600C" w:rsidRPr="00C326E3" w:rsidRDefault="0029600C" w:rsidP="00C326E3">
            <w:pPr>
              <w:spacing w:line="276" w:lineRule="auto"/>
              <w:jc w:val="center"/>
              <w:rPr>
                <w:rFonts w:eastAsia="Times New Roman" w:cs="Times New Roman"/>
                <w:color w:val="000000"/>
                <w:sz w:val="20"/>
                <w:szCs w:val="20"/>
                <w:lang w:eastAsia="en-GB"/>
              </w:rPr>
            </w:pPr>
            <w:r w:rsidRPr="00C326E3">
              <w:rPr>
                <w:rFonts w:eastAsia="Times New Roman" w:cs="Times New Roman"/>
                <w:color w:val="000000"/>
                <w:sz w:val="20"/>
                <w:szCs w:val="20"/>
                <w:lang w:eastAsia="en-GB"/>
              </w:rPr>
              <w:t>33</w:t>
            </w:r>
          </w:p>
        </w:tc>
        <w:tc>
          <w:tcPr>
            <w:tcW w:w="1407" w:type="dxa"/>
            <w:tcBorders>
              <w:top w:val="nil"/>
              <w:left w:val="nil"/>
              <w:bottom w:val="single" w:sz="4" w:space="0" w:color="auto"/>
              <w:right w:val="single" w:sz="4" w:space="0" w:color="auto"/>
            </w:tcBorders>
            <w:shd w:val="clear" w:color="auto" w:fill="auto"/>
            <w:noWrap/>
            <w:vAlign w:val="bottom"/>
            <w:hideMark/>
          </w:tcPr>
          <w:p w:rsidR="0029600C" w:rsidRPr="00C326E3" w:rsidRDefault="0029600C" w:rsidP="00C326E3">
            <w:pPr>
              <w:spacing w:line="276" w:lineRule="auto"/>
              <w:jc w:val="center"/>
              <w:rPr>
                <w:rFonts w:eastAsia="Times New Roman" w:cs="Times New Roman"/>
                <w:color w:val="000000"/>
                <w:sz w:val="20"/>
                <w:szCs w:val="20"/>
                <w:lang w:eastAsia="en-GB"/>
              </w:rPr>
            </w:pPr>
            <w:r w:rsidRPr="00C326E3">
              <w:rPr>
                <w:rFonts w:eastAsia="Times New Roman" w:cs="Times New Roman"/>
                <w:color w:val="000000"/>
                <w:sz w:val="20"/>
                <w:szCs w:val="20"/>
                <w:lang w:eastAsia="en-GB"/>
              </w:rPr>
              <w:t>2</w:t>
            </w:r>
          </w:p>
        </w:tc>
      </w:tr>
      <w:tr w:rsidR="0029600C" w:rsidRPr="00C326E3" w:rsidTr="0029600C">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29600C" w:rsidRPr="00C326E3" w:rsidRDefault="0029600C" w:rsidP="00C326E3">
            <w:pPr>
              <w:spacing w:line="276" w:lineRule="auto"/>
              <w:jc w:val="center"/>
              <w:rPr>
                <w:rFonts w:eastAsia="Times New Roman" w:cs="Times New Roman"/>
                <w:color w:val="000000"/>
                <w:sz w:val="20"/>
                <w:szCs w:val="20"/>
                <w:lang w:eastAsia="en-GB"/>
              </w:rPr>
            </w:pPr>
            <w:r w:rsidRPr="00C326E3">
              <w:rPr>
                <w:rFonts w:eastAsia="Times New Roman" w:cs="Times New Roman"/>
                <w:color w:val="000000"/>
                <w:sz w:val="20"/>
                <w:szCs w:val="20"/>
                <w:lang w:eastAsia="en-GB"/>
              </w:rPr>
              <w:t>2009</w:t>
            </w:r>
          </w:p>
        </w:tc>
        <w:tc>
          <w:tcPr>
            <w:tcW w:w="1440" w:type="dxa"/>
            <w:tcBorders>
              <w:top w:val="nil"/>
              <w:left w:val="nil"/>
              <w:bottom w:val="single" w:sz="4" w:space="0" w:color="auto"/>
              <w:right w:val="single" w:sz="4" w:space="0" w:color="auto"/>
            </w:tcBorders>
            <w:shd w:val="clear" w:color="000000" w:fill="FFFFFF"/>
            <w:vAlign w:val="center"/>
            <w:hideMark/>
          </w:tcPr>
          <w:p w:rsidR="0029600C" w:rsidRPr="00C326E3" w:rsidRDefault="0029600C" w:rsidP="00C326E3">
            <w:pPr>
              <w:spacing w:line="276" w:lineRule="auto"/>
              <w:jc w:val="center"/>
              <w:rPr>
                <w:rFonts w:eastAsia="Times New Roman" w:cs="Times New Roman"/>
                <w:color w:val="000000"/>
                <w:sz w:val="20"/>
                <w:szCs w:val="20"/>
                <w:lang w:eastAsia="en-GB"/>
              </w:rPr>
            </w:pPr>
            <w:r w:rsidRPr="00C326E3">
              <w:rPr>
                <w:rFonts w:eastAsia="Times New Roman" w:cs="Times New Roman"/>
                <w:color w:val="000000"/>
                <w:sz w:val="20"/>
                <w:szCs w:val="20"/>
                <w:lang w:eastAsia="en-GB"/>
              </w:rPr>
              <w:t>13</w:t>
            </w:r>
          </w:p>
        </w:tc>
        <w:tc>
          <w:tcPr>
            <w:tcW w:w="1407" w:type="dxa"/>
            <w:tcBorders>
              <w:top w:val="nil"/>
              <w:left w:val="nil"/>
              <w:bottom w:val="single" w:sz="4" w:space="0" w:color="auto"/>
              <w:right w:val="single" w:sz="4" w:space="0" w:color="auto"/>
            </w:tcBorders>
            <w:shd w:val="clear" w:color="auto" w:fill="auto"/>
            <w:noWrap/>
            <w:vAlign w:val="bottom"/>
            <w:hideMark/>
          </w:tcPr>
          <w:p w:rsidR="0029600C" w:rsidRPr="00C326E3" w:rsidRDefault="0029600C" w:rsidP="00C326E3">
            <w:pPr>
              <w:spacing w:line="276" w:lineRule="auto"/>
              <w:jc w:val="center"/>
              <w:rPr>
                <w:rFonts w:eastAsia="Times New Roman" w:cs="Times New Roman"/>
                <w:color w:val="000000"/>
                <w:sz w:val="20"/>
                <w:szCs w:val="20"/>
                <w:lang w:eastAsia="en-GB"/>
              </w:rPr>
            </w:pPr>
            <w:r w:rsidRPr="00C326E3">
              <w:rPr>
                <w:rFonts w:eastAsia="Times New Roman" w:cs="Times New Roman"/>
                <w:color w:val="000000"/>
                <w:sz w:val="20"/>
                <w:szCs w:val="20"/>
                <w:lang w:eastAsia="en-GB"/>
              </w:rPr>
              <w:t>0</w:t>
            </w:r>
          </w:p>
        </w:tc>
      </w:tr>
      <w:tr w:rsidR="0029600C" w:rsidRPr="00C326E3" w:rsidTr="0029600C">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29600C" w:rsidRPr="00C326E3" w:rsidRDefault="0029600C" w:rsidP="00C326E3">
            <w:pPr>
              <w:spacing w:line="276" w:lineRule="auto"/>
              <w:jc w:val="center"/>
              <w:rPr>
                <w:rFonts w:eastAsia="Times New Roman" w:cs="Times New Roman"/>
                <w:color w:val="000000"/>
                <w:sz w:val="20"/>
                <w:szCs w:val="20"/>
                <w:lang w:eastAsia="en-GB"/>
              </w:rPr>
            </w:pPr>
            <w:r w:rsidRPr="00C326E3">
              <w:rPr>
                <w:rFonts w:eastAsia="Times New Roman" w:cs="Times New Roman"/>
                <w:color w:val="000000"/>
                <w:sz w:val="20"/>
                <w:szCs w:val="20"/>
                <w:lang w:eastAsia="en-GB"/>
              </w:rPr>
              <w:t>2010</w:t>
            </w:r>
          </w:p>
        </w:tc>
        <w:tc>
          <w:tcPr>
            <w:tcW w:w="1440" w:type="dxa"/>
            <w:tcBorders>
              <w:top w:val="nil"/>
              <w:left w:val="nil"/>
              <w:bottom w:val="single" w:sz="4" w:space="0" w:color="auto"/>
              <w:right w:val="single" w:sz="4" w:space="0" w:color="auto"/>
            </w:tcBorders>
            <w:shd w:val="clear" w:color="000000" w:fill="FFFFFF"/>
            <w:vAlign w:val="center"/>
            <w:hideMark/>
          </w:tcPr>
          <w:p w:rsidR="0029600C" w:rsidRPr="00C326E3" w:rsidRDefault="0029600C" w:rsidP="00C326E3">
            <w:pPr>
              <w:spacing w:line="276" w:lineRule="auto"/>
              <w:jc w:val="center"/>
              <w:rPr>
                <w:rFonts w:eastAsia="Times New Roman" w:cs="Times New Roman"/>
                <w:color w:val="000000"/>
                <w:sz w:val="20"/>
                <w:szCs w:val="20"/>
                <w:lang w:eastAsia="en-GB"/>
              </w:rPr>
            </w:pPr>
            <w:r w:rsidRPr="00C326E3">
              <w:rPr>
                <w:rFonts w:eastAsia="Times New Roman" w:cs="Times New Roman"/>
                <w:color w:val="000000"/>
                <w:sz w:val="20"/>
                <w:szCs w:val="20"/>
                <w:lang w:eastAsia="en-GB"/>
              </w:rPr>
              <w:t>34</w:t>
            </w:r>
          </w:p>
        </w:tc>
        <w:tc>
          <w:tcPr>
            <w:tcW w:w="1407" w:type="dxa"/>
            <w:tcBorders>
              <w:top w:val="nil"/>
              <w:left w:val="nil"/>
              <w:bottom w:val="single" w:sz="4" w:space="0" w:color="auto"/>
              <w:right w:val="single" w:sz="4" w:space="0" w:color="auto"/>
            </w:tcBorders>
            <w:shd w:val="clear" w:color="auto" w:fill="auto"/>
            <w:noWrap/>
            <w:vAlign w:val="bottom"/>
            <w:hideMark/>
          </w:tcPr>
          <w:p w:rsidR="0029600C" w:rsidRPr="00C326E3" w:rsidRDefault="0029600C" w:rsidP="00C326E3">
            <w:pPr>
              <w:spacing w:line="276" w:lineRule="auto"/>
              <w:jc w:val="center"/>
              <w:rPr>
                <w:rFonts w:eastAsia="Times New Roman" w:cs="Times New Roman"/>
                <w:color w:val="000000"/>
                <w:sz w:val="20"/>
                <w:szCs w:val="20"/>
                <w:lang w:eastAsia="en-GB"/>
              </w:rPr>
            </w:pPr>
            <w:r w:rsidRPr="00C326E3">
              <w:rPr>
                <w:rFonts w:eastAsia="Times New Roman" w:cs="Times New Roman"/>
                <w:color w:val="000000"/>
                <w:sz w:val="20"/>
                <w:szCs w:val="20"/>
                <w:lang w:eastAsia="en-GB"/>
              </w:rPr>
              <w:t>2</w:t>
            </w:r>
          </w:p>
        </w:tc>
      </w:tr>
      <w:tr w:rsidR="0029600C" w:rsidRPr="00C326E3" w:rsidTr="0029600C">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29600C" w:rsidRPr="00C326E3" w:rsidRDefault="0029600C" w:rsidP="00C326E3">
            <w:pPr>
              <w:spacing w:line="276" w:lineRule="auto"/>
              <w:jc w:val="center"/>
              <w:rPr>
                <w:rFonts w:eastAsia="Times New Roman" w:cs="Times New Roman"/>
                <w:color w:val="000000"/>
                <w:sz w:val="20"/>
                <w:szCs w:val="20"/>
                <w:lang w:eastAsia="en-GB"/>
              </w:rPr>
            </w:pPr>
            <w:r w:rsidRPr="00C326E3">
              <w:rPr>
                <w:rFonts w:eastAsia="Times New Roman" w:cs="Times New Roman"/>
                <w:color w:val="000000"/>
                <w:sz w:val="20"/>
                <w:szCs w:val="20"/>
                <w:lang w:eastAsia="en-GB"/>
              </w:rPr>
              <w:t>2011</w:t>
            </w:r>
          </w:p>
        </w:tc>
        <w:tc>
          <w:tcPr>
            <w:tcW w:w="1440" w:type="dxa"/>
            <w:tcBorders>
              <w:top w:val="nil"/>
              <w:left w:val="nil"/>
              <w:bottom w:val="single" w:sz="4" w:space="0" w:color="auto"/>
              <w:right w:val="single" w:sz="4" w:space="0" w:color="auto"/>
            </w:tcBorders>
            <w:shd w:val="clear" w:color="000000" w:fill="FFFFFF"/>
            <w:vAlign w:val="center"/>
            <w:hideMark/>
          </w:tcPr>
          <w:p w:rsidR="0029600C" w:rsidRPr="00C326E3" w:rsidRDefault="0029600C" w:rsidP="00C326E3">
            <w:pPr>
              <w:spacing w:line="276" w:lineRule="auto"/>
              <w:jc w:val="center"/>
              <w:rPr>
                <w:rFonts w:eastAsia="Times New Roman" w:cs="Times New Roman"/>
                <w:color w:val="000000"/>
                <w:sz w:val="20"/>
                <w:szCs w:val="20"/>
                <w:lang w:eastAsia="en-GB"/>
              </w:rPr>
            </w:pPr>
            <w:r w:rsidRPr="00C326E3">
              <w:rPr>
                <w:rFonts w:eastAsia="Times New Roman" w:cs="Times New Roman"/>
                <w:color w:val="000000"/>
                <w:sz w:val="20"/>
                <w:szCs w:val="20"/>
                <w:lang w:eastAsia="en-GB"/>
              </w:rPr>
              <w:t>38</w:t>
            </w:r>
          </w:p>
        </w:tc>
        <w:tc>
          <w:tcPr>
            <w:tcW w:w="1407" w:type="dxa"/>
            <w:tcBorders>
              <w:top w:val="nil"/>
              <w:left w:val="nil"/>
              <w:bottom w:val="single" w:sz="4" w:space="0" w:color="auto"/>
              <w:right w:val="single" w:sz="4" w:space="0" w:color="auto"/>
            </w:tcBorders>
            <w:shd w:val="clear" w:color="auto" w:fill="auto"/>
            <w:noWrap/>
            <w:vAlign w:val="bottom"/>
            <w:hideMark/>
          </w:tcPr>
          <w:p w:rsidR="0029600C" w:rsidRPr="00C326E3" w:rsidRDefault="0029600C" w:rsidP="00C326E3">
            <w:pPr>
              <w:spacing w:line="276" w:lineRule="auto"/>
              <w:jc w:val="center"/>
              <w:rPr>
                <w:rFonts w:eastAsia="Times New Roman" w:cs="Times New Roman"/>
                <w:color w:val="000000"/>
                <w:sz w:val="20"/>
                <w:szCs w:val="20"/>
                <w:lang w:eastAsia="en-GB"/>
              </w:rPr>
            </w:pPr>
            <w:r w:rsidRPr="00C326E3">
              <w:rPr>
                <w:rFonts w:eastAsia="Times New Roman" w:cs="Times New Roman"/>
                <w:color w:val="000000"/>
                <w:sz w:val="20"/>
                <w:szCs w:val="20"/>
                <w:lang w:eastAsia="en-GB"/>
              </w:rPr>
              <w:t>3</w:t>
            </w:r>
          </w:p>
        </w:tc>
      </w:tr>
      <w:tr w:rsidR="0029600C" w:rsidRPr="00C326E3" w:rsidTr="0029600C">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29600C" w:rsidRPr="00C326E3" w:rsidRDefault="0029600C" w:rsidP="00C326E3">
            <w:pPr>
              <w:spacing w:line="276" w:lineRule="auto"/>
              <w:jc w:val="center"/>
              <w:rPr>
                <w:rFonts w:eastAsia="Times New Roman" w:cs="Times New Roman"/>
                <w:color w:val="000000"/>
                <w:sz w:val="20"/>
                <w:szCs w:val="20"/>
                <w:lang w:eastAsia="en-GB"/>
              </w:rPr>
            </w:pPr>
            <w:r w:rsidRPr="00C326E3">
              <w:rPr>
                <w:rFonts w:eastAsia="Times New Roman" w:cs="Times New Roman"/>
                <w:color w:val="000000"/>
                <w:sz w:val="20"/>
                <w:szCs w:val="20"/>
                <w:lang w:eastAsia="en-GB"/>
              </w:rPr>
              <w:t>2012</w:t>
            </w:r>
          </w:p>
        </w:tc>
        <w:tc>
          <w:tcPr>
            <w:tcW w:w="1440" w:type="dxa"/>
            <w:tcBorders>
              <w:top w:val="nil"/>
              <w:left w:val="nil"/>
              <w:bottom w:val="single" w:sz="4" w:space="0" w:color="auto"/>
              <w:right w:val="single" w:sz="4" w:space="0" w:color="auto"/>
            </w:tcBorders>
            <w:shd w:val="clear" w:color="000000" w:fill="FFFFFF"/>
            <w:vAlign w:val="center"/>
            <w:hideMark/>
          </w:tcPr>
          <w:p w:rsidR="0029600C" w:rsidRPr="00C326E3" w:rsidRDefault="0029600C" w:rsidP="00C326E3">
            <w:pPr>
              <w:spacing w:line="276" w:lineRule="auto"/>
              <w:jc w:val="center"/>
              <w:rPr>
                <w:rFonts w:eastAsia="Times New Roman" w:cs="Times New Roman"/>
                <w:color w:val="000000"/>
                <w:sz w:val="20"/>
                <w:szCs w:val="20"/>
                <w:lang w:eastAsia="en-GB"/>
              </w:rPr>
            </w:pPr>
            <w:r w:rsidRPr="00C326E3">
              <w:rPr>
                <w:rFonts w:eastAsia="Times New Roman" w:cs="Times New Roman"/>
                <w:color w:val="000000"/>
                <w:sz w:val="20"/>
                <w:szCs w:val="20"/>
                <w:lang w:eastAsia="en-GB"/>
              </w:rPr>
              <w:t>19</w:t>
            </w:r>
          </w:p>
        </w:tc>
        <w:tc>
          <w:tcPr>
            <w:tcW w:w="1407" w:type="dxa"/>
            <w:tcBorders>
              <w:top w:val="nil"/>
              <w:left w:val="nil"/>
              <w:bottom w:val="single" w:sz="4" w:space="0" w:color="auto"/>
              <w:right w:val="single" w:sz="4" w:space="0" w:color="auto"/>
            </w:tcBorders>
            <w:shd w:val="clear" w:color="auto" w:fill="auto"/>
            <w:noWrap/>
            <w:vAlign w:val="bottom"/>
            <w:hideMark/>
          </w:tcPr>
          <w:p w:rsidR="0029600C" w:rsidRPr="00C326E3" w:rsidRDefault="0029600C" w:rsidP="00C326E3">
            <w:pPr>
              <w:spacing w:line="276" w:lineRule="auto"/>
              <w:jc w:val="center"/>
              <w:rPr>
                <w:rFonts w:eastAsia="Times New Roman" w:cs="Times New Roman"/>
                <w:color w:val="000000"/>
                <w:sz w:val="20"/>
                <w:szCs w:val="20"/>
                <w:lang w:eastAsia="en-GB"/>
              </w:rPr>
            </w:pPr>
            <w:r w:rsidRPr="00C326E3">
              <w:rPr>
                <w:rFonts w:eastAsia="Times New Roman" w:cs="Times New Roman"/>
                <w:color w:val="000000"/>
                <w:sz w:val="20"/>
                <w:szCs w:val="20"/>
                <w:lang w:eastAsia="en-GB"/>
              </w:rPr>
              <w:t>1</w:t>
            </w:r>
          </w:p>
        </w:tc>
      </w:tr>
      <w:tr w:rsidR="0029600C" w:rsidRPr="00C326E3" w:rsidTr="0029600C">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29600C" w:rsidRPr="00C326E3" w:rsidRDefault="0029600C" w:rsidP="00C326E3">
            <w:pPr>
              <w:spacing w:line="276" w:lineRule="auto"/>
              <w:jc w:val="center"/>
              <w:rPr>
                <w:rFonts w:eastAsia="Times New Roman" w:cs="Times New Roman"/>
                <w:color w:val="000000"/>
                <w:sz w:val="20"/>
                <w:szCs w:val="20"/>
                <w:lang w:eastAsia="en-GB"/>
              </w:rPr>
            </w:pPr>
            <w:r w:rsidRPr="00C326E3">
              <w:rPr>
                <w:rFonts w:eastAsia="Times New Roman" w:cs="Times New Roman"/>
                <w:color w:val="000000"/>
                <w:sz w:val="20"/>
                <w:szCs w:val="20"/>
                <w:lang w:eastAsia="en-GB"/>
              </w:rPr>
              <w:t>2013</w:t>
            </w:r>
          </w:p>
        </w:tc>
        <w:tc>
          <w:tcPr>
            <w:tcW w:w="1440" w:type="dxa"/>
            <w:tcBorders>
              <w:top w:val="nil"/>
              <w:left w:val="nil"/>
              <w:bottom w:val="single" w:sz="4" w:space="0" w:color="auto"/>
              <w:right w:val="single" w:sz="4" w:space="0" w:color="auto"/>
            </w:tcBorders>
            <w:shd w:val="clear" w:color="000000" w:fill="FFFFFF"/>
            <w:vAlign w:val="center"/>
            <w:hideMark/>
          </w:tcPr>
          <w:p w:rsidR="0029600C" w:rsidRPr="00C326E3" w:rsidRDefault="0029600C" w:rsidP="00C326E3">
            <w:pPr>
              <w:spacing w:line="276" w:lineRule="auto"/>
              <w:jc w:val="center"/>
              <w:rPr>
                <w:rFonts w:eastAsia="Times New Roman" w:cs="Times New Roman"/>
                <w:color w:val="000000"/>
                <w:sz w:val="20"/>
                <w:szCs w:val="20"/>
                <w:lang w:eastAsia="en-GB"/>
              </w:rPr>
            </w:pPr>
            <w:r w:rsidRPr="00C326E3">
              <w:rPr>
                <w:rFonts w:eastAsia="Times New Roman" w:cs="Times New Roman"/>
                <w:color w:val="000000"/>
                <w:sz w:val="20"/>
                <w:szCs w:val="20"/>
                <w:lang w:eastAsia="en-GB"/>
              </w:rPr>
              <w:t>23</w:t>
            </w:r>
          </w:p>
        </w:tc>
        <w:tc>
          <w:tcPr>
            <w:tcW w:w="1407" w:type="dxa"/>
            <w:tcBorders>
              <w:top w:val="nil"/>
              <w:left w:val="nil"/>
              <w:bottom w:val="single" w:sz="4" w:space="0" w:color="auto"/>
              <w:right w:val="single" w:sz="4" w:space="0" w:color="auto"/>
            </w:tcBorders>
            <w:shd w:val="clear" w:color="auto" w:fill="auto"/>
            <w:noWrap/>
            <w:vAlign w:val="bottom"/>
            <w:hideMark/>
          </w:tcPr>
          <w:p w:rsidR="0029600C" w:rsidRPr="00C326E3" w:rsidRDefault="0029600C" w:rsidP="00C326E3">
            <w:pPr>
              <w:spacing w:line="276" w:lineRule="auto"/>
              <w:jc w:val="center"/>
              <w:rPr>
                <w:rFonts w:eastAsia="Times New Roman" w:cs="Times New Roman"/>
                <w:color w:val="000000"/>
                <w:sz w:val="20"/>
                <w:szCs w:val="20"/>
                <w:lang w:eastAsia="en-GB"/>
              </w:rPr>
            </w:pPr>
            <w:r w:rsidRPr="00C326E3">
              <w:rPr>
                <w:rFonts w:eastAsia="Times New Roman" w:cs="Times New Roman"/>
                <w:color w:val="000000"/>
                <w:sz w:val="20"/>
                <w:szCs w:val="20"/>
                <w:lang w:eastAsia="en-GB"/>
              </w:rPr>
              <w:t>2</w:t>
            </w:r>
          </w:p>
        </w:tc>
      </w:tr>
      <w:tr w:rsidR="0029600C" w:rsidRPr="00C326E3" w:rsidTr="0029600C">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29600C" w:rsidRPr="00C326E3" w:rsidRDefault="0029600C" w:rsidP="00C326E3">
            <w:pPr>
              <w:spacing w:line="276" w:lineRule="auto"/>
              <w:jc w:val="center"/>
              <w:rPr>
                <w:rFonts w:eastAsia="Times New Roman" w:cs="Times New Roman"/>
                <w:color w:val="000000"/>
                <w:sz w:val="20"/>
                <w:szCs w:val="20"/>
                <w:lang w:eastAsia="en-GB"/>
              </w:rPr>
            </w:pPr>
            <w:r w:rsidRPr="00C326E3">
              <w:rPr>
                <w:rFonts w:eastAsia="Times New Roman" w:cs="Times New Roman"/>
                <w:color w:val="000000"/>
                <w:sz w:val="20"/>
                <w:szCs w:val="20"/>
                <w:lang w:eastAsia="en-GB"/>
              </w:rPr>
              <w:t>2014</w:t>
            </w:r>
          </w:p>
        </w:tc>
        <w:tc>
          <w:tcPr>
            <w:tcW w:w="1440" w:type="dxa"/>
            <w:tcBorders>
              <w:top w:val="nil"/>
              <w:left w:val="nil"/>
              <w:bottom w:val="single" w:sz="4" w:space="0" w:color="auto"/>
              <w:right w:val="single" w:sz="4" w:space="0" w:color="auto"/>
            </w:tcBorders>
            <w:shd w:val="clear" w:color="000000" w:fill="FFFFFF"/>
            <w:vAlign w:val="center"/>
            <w:hideMark/>
          </w:tcPr>
          <w:p w:rsidR="0029600C" w:rsidRPr="00C326E3" w:rsidRDefault="0029600C" w:rsidP="00C326E3">
            <w:pPr>
              <w:spacing w:line="276" w:lineRule="auto"/>
              <w:jc w:val="center"/>
              <w:rPr>
                <w:rFonts w:eastAsia="Times New Roman" w:cs="Times New Roman"/>
                <w:color w:val="000000"/>
                <w:sz w:val="20"/>
                <w:szCs w:val="20"/>
                <w:lang w:eastAsia="en-GB"/>
              </w:rPr>
            </w:pPr>
            <w:r w:rsidRPr="00C326E3">
              <w:rPr>
                <w:rFonts w:eastAsia="Times New Roman" w:cs="Times New Roman"/>
                <w:color w:val="000000"/>
                <w:sz w:val="20"/>
                <w:szCs w:val="20"/>
                <w:lang w:eastAsia="en-GB"/>
              </w:rPr>
              <w:t>12</w:t>
            </w:r>
          </w:p>
        </w:tc>
        <w:tc>
          <w:tcPr>
            <w:tcW w:w="1407" w:type="dxa"/>
            <w:tcBorders>
              <w:top w:val="nil"/>
              <w:left w:val="nil"/>
              <w:bottom w:val="single" w:sz="4" w:space="0" w:color="auto"/>
              <w:right w:val="single" w:sz="4" w:space="0" w:color="auto"/>
            </w:tcBorders>
            <w:shd w:val="clear" w:color="auto" w:fill="auto"/>
            <w:noWrap/>
            <w:vAlign w:val="bottom"/>
            <w:hideMark/>
          </w:tcPr>
          <w:p w:rsidR="0029600C" w:rsidRPr="00C326E3" w:rsidRDefault="0029600C" w:rsidP="00C326E3">
            <w:pPr>
              <w:spacing w:line="276" w:lineRule="auto"/>
              <w:jc w:val="center"/>
              <w:rPr>
                <w:rFonts w:eastAsia="Times New Roman" w:cs="Times New Roman"/>
                <w:color w:val="000000"/>
                <w:sz w:val="20"/>
                <w:szCs w:val="20"/>
                <w:lang w:eastAsia="en-GB"/>
              </w:rPr>
            </w:pPr>
            <w:r w:rsidRPr="00C326E3">
              <w:rPr>
                <w:rFonts w:eastAsia="Times New Roman" w:cs="Times New Roman"/>
                <w:color w:val="000000"/>
                <w:sz w:val="20"/>
                <w:szCs w:val="20"/>
                <w:lang w:eastAsia="en-GB"/>
              </w:rPr>
              <w:t>6</w:t>
            </w:r>
          </w:p>
        </w:tc>
      </w:tr>
      <w:tr w:rsidR="0029600C" w:rsidRPr="00C326E3" w:rsidTr="0029600C">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29600C" w:rsidRPr="00C326E3" w:rsidRDefault="0029600C" w:rsidP="00C326E3">
            <w:pPr>
              <w:spacing w:line="276" w:lineRule="auto"/>
              <w:jc w:val="center"/>
              <w:rPr>
                <w:rFonts w:eastAsia="Times New Roman" w:cs="Times New Roman"/>
                <w:color w:val="000000"/>
                <w:sz w:val="20"/>
                <w:szCs w:val="20"/>
                <w:lang w:eastAsia="en-GB"/>
              </w:rPr>
            </w:pPr>
            <w:r w:rsidRPr="00C326E3">
              <w:rPr>
                <w:rFonts w:eastAsia="Times New Roman" w:cs="Times New Roman"/>
                <w:color w:val="000000"/>
                <w:sz w:val="20"/>
                <w:szCs w:val="20"/>
                <w:lang w:eastAsia="en-GB"/>
              </w:rPr>
              <w:t>2015</w:t>
            </w:r>
          </w:p>
        </w:tc>
        <w:tc>
          <w:tcPr>
            <w:tcW w:w="1440" w:type="dxa"/>
            <w:tcBorders>
              <w:top w:val="nil"/>
              <w:left w:val="nil"/>
              <w:bottom w:val="single" w:sz="4" w:space="0" w:color="auto"/>
              <w:right w:val="single" w:sz="4" w:space="0" w:color="auto"/>
            </w:tcBorders>
            <w:shd w:val="clear" w:color="000000" w:fill="FFFFFF"/>
            <w:vAlign w:val="center"/>
            <w:hideMark/>
          </w:tcPr>
          <w:p w:rsidR="0029600C" w:rsidRPr="00C326E3" w:rsidRDefault="0029600C" w:rsidP="00C326E3">
            <w:pPr>
              <w:spacing w:line="276" w:lineRule="auto"/>
              <w:jc w:val="center"/>
              <w:rPr>
                <w:rFonts w:eastAsia="Times New Roman" w:cs="Times New Roman"/>
                <w:color w:val="000000"/>
                <w:sz w:val="20"/>
                <w:szCs w:val="20"/>
                <w:lang w:eastAsia="en-GB"/>
              </w:rPr>
            </w:pPr>
            <w:r w:rsidRPr="00C326E3">
              <w:rPr>
                <w:rFonts w:eastAsia="Times New Roman" w:cs="Times New Roman"/>
                <w:color w:val="000000"/>
                <w:sz w:val="20"/>
                <w:szCs w:val="20"/>
                <w:lang w:eastAsia="en-GB"/>
              </w:rPr>
              <w:t>30</w:t>
            </w:r>
          </w:p>
        </w:tc>
        <w:tc>
          <w:tcPr>
            <w:tcW w:w="1407" w:type="dxa"/>
            <w:tcBorders>
              <w:top w:val="nil"/>
              <w:left w:val="nil"/>
              <w:bottom w:val="single" w:sz="4" w:space="0" w:color="auto"/>
              <w:right w:val="single" w:sz="4" w:space="0" w:color="auto"/>
            </w:tcBorders>
            <w:shd w:val="clear" w:color="auto" w:fill="auto"/>
            <w:noWrap/>
            <w:vAlign w:val="bottom"/>
            <w:hideMark/>
          </w:tcPr>
          <w:p w:rsidR="0029600C" w:rsidRPr="00C326E3" w:rsidRDefault="0029600C" w:rsidP="00C326E3">
            <w:pPr>
              <w:spacing w:line="276" w:lineRule="auto"/>
              <w:jc w:val="center"/>
              <w:rPr>
                <w:rFonts w:eastAsia="Times New Roman" w:cs="Times New Roman"/>
                <w:color w:val="000000"/>
                <w:sz w:val="20"/>
                <w:szCs w:val="20"/>
                <w:lang w:eastAsia="en-GB"/>
              </w:rPr>
            </w:pPr>
            <w:r w:rsidRPr="00C326E3">
              <w:rPr>
                <w:rFonts w:eastAsia="Times New Roman" w:cs="Times New Roman"/>
                <w:color w:val="000000"/>
                <w:sz w:val="20"/>
                <w:szCs w:val="20"/>
                <w:lang w:eastAsia="en-GB"/>
              </w:rPr>
              <w:t>1</w:t>
            </w:r>
          </w:p>
        </w:tc>
      </w:tr>
      <w:tr w:rsidR="0029600C" w:rsidRPr="00C326E3" w:rsidTr="0029600C">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29600C" w:rsidRPr="00C326E3" w:rsidRDefault="0029600C" w:rsidP="00C326E3">
            <w:pPr>
              <w:spacing w:line="276" w:lineRule="auto"/>
              <w:jc w:val="center"/>
              <w:rPr>
                <w:rFonts w:eastAsia="Times New Roman" w:cs="Times New Roman"/>
                <w:color w:val="000000"/>
                <w:sz w:val="20"/>
                <w:szCs w:val="20"/>
                <w:lang w:eastAsia="en-GB"/>
              </w:rPr>
            </w:pPr>
            <w:r w:rsidRPr="00C326E3">
              <w:rPr>
                <w:rFonts w:eastAsia="Times New Roman" w:cs="Times New Roman"/>
                <w:color w:val="000000"/>
                <w:sz w:val="20"/>
                <w:szCs w:val="20"/>
                <w:lang w:eastAsia="en-GB"/>
              </w:rPr>
              <w:t>2016</w:t>
            </w:r>
          </w:p>
        </w:tc>
        <w:tc>
          <w:tcPr>
            <w:tcW w:w="1440" w:type="dxa"/>
            <w:tcBorders>
              <w:top w:val="nil"/>
              <w:left w:val="nil"/>
              <w:bottom w:val="single" w:sz="4" w:space="0" w:color="auto"/>
              <w:right w:val="single" w:sz="4" w:space="0" w:color="auto"/>
            </w:tcBorders>
            <w:shd w:val="clear" w:color="000000" w:fill="FFFFFF"/>
            <w:vAlign w:val="center"/>
            <w:hideMark/>
          </w:tcPr>
          <w:p w:rsidR="0029600C" w:rsidRPr="00C326E3" w:rsidRDefault="0029600C" w:rsidP="00C326E3">
            <w:pPr>
              <w:spacing w:line="276" w:lineRule="auto"/>
              <w:jc w:val="center"/>
              <w:rPr>
                <w:rFonts w:eastAsia="Times New Roman" w:cs="Times New Roman"/>
                <w:color w:val="000000"/>
                <w:sz w:val="20"/>
                <w:szCs w:val="20"/>
                <w:lang w:eastAsia="en-GB"/>
              </w:rPr>
            </w:pPr>
            <w:r w:rsidRPr="00C326E3">
              <w:rPr>
                <w:rFonts w:eastAsia="Times New Roman" w:cs="Times New Roman"/>
                <w:color w:val="000000"/>
                <w:sz w:val="20"/>
                <w:szCs w:val="20"/>
                <w:lang w:eastAsia="en-GB"/>
              </w:rPr>
              <w:t>19</w:t>
            </w:r>
          </w:p>
        </w:tc>
        <w:tc>
          <w:tcPr>
            <w:tcW w:w="1407" w:type="dxa"/>
            <w:tcBorders>
              <w:top w:val="nil"/>
              <w:left w:val="nil"/>
              <w:bottom w:val="single" w:sz="4" w:space="0" w:color="auto"/>
              <w:right w:val="single" w:sz="4" w:space="0" w:color="auto"/>
            </w:tcBorders>
            <w:shd w:val="clear" w:color="auto" w:fill="auto"/>
            <w:noWrap/>
            <w:vAlign w:val="bottom"/>
            <w:hideMark/>
          </w:tcPr>
          <w:p w:rsidR="0029600C" w:rsidRPr="00C326E3" w:rsidRDefault="0029600C" w:rsidP="00C326E3">
            <w:pPr>
              <w:spacing w:line="276" w:lineRule="auto"/>
              <w:jc w:val="center"/>
              <w:rPr>
                <w:rFonts w:eastAsia="Times New Roman" w:cs="Times New Roman"/>
                <w:color w:val="000000"/>
                <w:sz w:val="20"/>
                <w:szCs w:val="20"/>
                <w:lang w:eastAsia="en-GB"/>
              </w:rPr>
            </w:pPr>
            <w:r w:rsidRPr="00C326E3">
              <w:rPr>
                <w:rFonts w:eastAsia="Times New Roman" w:cs="Times New Roman"/>
                <w:color w:val="000000"/>
                <w:sz w:val="20"/>
                <w:szCs w:val="20"/>
                <w:lang w:eastAsia="en-GB"/>
              </w:rPr>
              <w:t>3</w:t>
            </w:r>
          </w:p>
        </w:tc>
      </w:tr>
      <w:tr w:rsidR="0029600C" w:rsidRPr="00C326E3" w:rsidTr="0029600C">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29600C" w:rsidRPr="00C326E3" w:rsidRDefault="0029600C" w:rsidP="00C326E3">
            <w:pPr>
              <w:spacing w:line="276" w:lineRule="auto"/>
              <w:jc w:val="center"/>
              <w:rPr>
                <w:rFonts w:eastAsia="Times New Roman" w:cs="Times New Roman"/>
                <w:color w:val="000000"/>
                <w:sz w:val="20"/>
                <w:szCs w:val="20"/>
                <w:lang w:eastAsia="en-GB"/>
              </w:rPr>
            </w:pPr>
            <w:r w:rsidRPr="00C326E3">
              <w:rPr>
                <w:rFonts w:eastAsia="Times New Roman" w:cs="Times New Roman"/>
                <w:color w:val="000000"/>
                <w:sz w:val="20"/>
                <w:szCs w:val="20"/>
                <w:lang w:eastAsia="en-GB"/>
              </w:rPr>
              <w:t>2017</w:t>
            </w:r>
          </w:p>
        </w:tc>
        <w:tc>
          <w:tcPr>
            <w:tcW w:w="1440" w:type="dxa"/>
            <w:tcBorders>
              <w:top w:val="nil"/>
              <w:left w:val="nil"/>
              <w:bottom w:val="single" w:sz="4" w:space="0" w:color="auto"/>
              <w:right w:val="single" w:sz="4" w:space="0" w:color="auto"/>
            </w:tcBorders>
            <w:shd w:val="clear" w:color="000000" w:fill="FFFFFF"/>
            <w:vAlign w:val="center"/>
            <w:hideMark/>
          </w:tcPr>
          <w:p w:rsidR="0029600C" w:rsidRPr="00C326E3" w:rsidRDefault="0029600C" w:rsidP="00C326E3">
            <w:pPr>
              <w:spacing w:line="276" w:lineRule="auto"/>
              <w:jc w:val="center"/>
              <w:rPr>
                <w:rFonts w:eastAsia="Times New Roman" w:cs="Times New Roman"/>
                <w:color w:val="000000"/>
                <w:sz w:val="20"/>
                <w:szCs w:val="20"/>
                <w:lang w:eastAsia="en-GB"/>
              </w:rPr>
            </w:pPr>
            <w:r w:rsidRPr="00C326E3">
              <w:rPr>
                <w:rFonts w:eastAsia="Times New Roman" w:cs="Times New Roman"/>
                <w:color w:val="000000"/>
                <w:sz w:val="20"/>
                <w:szCs w:val="20"/>
                <w:lang w:eastAsia="en-GB"/>
              </w:rPr>
              <w:t>15</w:t>
            </w:r>
          </w:p>
        </w:tc>
        <w:tc>
          <w:tcPr>
            <w:tcW w:w="1407" w:type="dxa"/>
            <w:tcBorders>
              <w:top w:val="nil"/>
              <w:left w:val="nil"/>
              <w:bottom w:val="single" w:sz="4" w:space="0" w:color="auto"/>
              <w:right w:val="single" w:sz="4" w:space="0" w:color="auto"/>
            </w:tcBorders>
            <w:shd w:val="clear" w:color="auto" w:fill="auto"/>
            <w:noWrap/>
            <w:vAlign w:val="bottom"/>
            <w:hideMark/>
          </w:tcPr>
          <w:p w:rsidR="0029600C" w:rsidRPr="00C326E3" w:rsidRDefault="0029600C" w:rsidP="00C326E3">
            <w:pPr>
              <w:spacing w:line="276" w:lineRule="auto"/>
              <w:jc w:val="center"/>
              <w:rPr>
                <w:rFonts w:eastAsia="Times New Roman" w:cs="Times New Roman"/>
                <w:color w:val="000000"/>
                <w:sz w:val="20"/>
                <w:szCs w:val="20"/>
                <w:lang w:eastAsia="en-GB"/>
              </w:rPr>
            </w:pPr>
            <w:r w:rsidRPr="00C326E3">
              <w:rPr>
                <w:rFonts w:eastAsia="Times New Roman" w:cs="Times New Roman"/>
                <w:color w:val="000000"/>
                <w:sz w:val="20"/>
                <w:szCs w:val="20"/>
                <w:lang w:eastAsia="en-GB"/>
              </w:rPr>
              <w:t>3</w:t>
            </w:r>
          </w:p>
        </w:tc>
      </w:tr>
      <w:tr w:rsidR="0029600C" w:rsidRPr="00C326E3" w:rsidTr="0029600C">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29600C" w:rsidRPr="00C326E3" w:rsidRDefault="0029600C" w:rsidP="00C326E3">
            <w:pPr>
              <w:spacing w:line="276" w:lineRule="auto"/>
              <w:jc w:val="center"/>
              <w:rPr>
                <w:rFonts w:eastAsia="Times New Roman" w:cs="Times New Roman"/>
                <w:color w:val="000000"/>
                <w:sz w:val="20"/>
                <w:szCs w:val="20"/>
                <w:lang w:eastAsia="en-GB"/>
              </w:rPr>
            </w:pPr>
            <w:r w:rsidRPr="00C326E3">
              <w:rPr>
                <w:rFonts w:eastAsia="Times New Roman" w:cs="Times New Roman"/>
                <w:color w:val="000000"/>
                <w:sz w:val="20"/>
                <w:szCs w:val="20"/>
                <w:lang w:eastAsia="en-GB"/>
              </w:rPr>
              <w:t>2018</w:t>
            </w:r>
          </w:p>
        </w:tc>
        <w:tc>
          <w:tcPr>
            <w:tcW w:w="1440" w:type="dxa"/>
            <w:tcBorders>
              <w:top w:val="nil"/>
              <w:left w:val="nil"/>
              <w:bottom w:val="single" w:sz="4" w:space="0" w:color="auto"/>
              <w:right w:val="single" w:sz="4" w:space="0" w:color="auto"/>
            </w:tcBorders>
            <w:shd w:val="clear" w:color="000000" w:fill="FFFFFF"/>
            <w:vAlign w:val="center"/>
            <w:hideMark/>
          </w:tcPr>
          <w:p w:rsidR="0029600C" w:rsidRPr="00C326E3" w:rsidRDefault="0029600C" w:rsidP="00C326E3">
            <w:pPr>
              <w:spacing w:line="276" w:lineRule="auto"/>
              <w:jc w:val="center"/>
              <w:rPr>
                <w:rFonts w:eastAsia="Times New Roman" w:cs="Times New Roman"/>
                <w:color w:val="000000"/>
                <w:sz w:val="20"/>
                <w:szCs w:val="20"/>
                <w:lang w:eastAsia="en-GB"/>
              </w:rPr>
            </w:pPr>
            <w:r w:rsidRPr="00C326E3">
              <w:rPr>
                <w:rFonts w:eastAsia="Times New Roman" w:cs="Times New Roman"/>
                <w:color w:val="000000"/>
                <w:sz w:val="20"/>
                <w:szCs w:val="20"/>
                <w:lang w:eastAsia="en-GB"/>
              </w:rPr>
              <w:t>7</w:t>
            </w:r>
          </w:p>
        </w:tc>
        <w:tc>
          <w:tcPr>
            <w:tcW w:w="1407" w:type="dxa"/>
            <w:tcBorders>
              <w:top w:val="nil"/>
              <w:left w:val="nil"/>
              <w:bottom w:val="single" w:sz="4" w:space="0" w:color="auto"/>
              <w:right w:val="single" w:sz="4" w:space="0" w:color="auto"/>
            </w:tcBorders>
            <w:shd w:val="clear" w:color="auto" w:fill="auto"/>
            <w:noWrap/>
            <w:vAlign w:val="bottom"/>
            <w:hideMark/>
          </w:tcPr>
          <w:p w:rsidR="0029600C" w:rsidRPr="00C326E3" w:rsidRDefault="0029600C" w:rsidP="00C326E3">
            <w:pPr>
              <w:spacing w:line="276" w:lineRule="auto"/>
              <w:jc w:val="center"/>
              <w:rPr>
                <w:rFonts w:eastAsia="Times New Roman" w:cs="Times New Roman"/>
                <w:color w:val="000000"/>
                <w:sz w:val="20"/>
                <w:szCs w:val="20"/>
                <w:lang w:eastAsia="en-GB"/>
              </w:rPr>
            </w:pPr>
            <w:r w:rsidRPr="00C326E3">
              <w:rPr>
                <w:rFonts w:eastAsia="Times New Roman" w:cs="Times New Roman"/>
                <w:color w:val="000000"/>
                <w:sz w:val="20"/>
                <w:szCs w:val="20"/>
                <w:lang w:eastAsia="en-GB"/>
              </w:rPr>
              <w:t>1</w:t>
            </w:r>
          </w:p>
        </w:tc>
      </w:tr>
      <w:tr w:rsidR="0029600C" w:rsidRPr="00C326E3" w:rsidTr="0029600C">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9600C" w:rsidRPr="00C326E3" w:rsidRDefault="00712DB3" w:rsidP="00C326E3">
            <w:pPr>
              <w:spacing w:line="276" w:lineRule="auto"/>
              <w:jc w:val="center"/>
              <w:rPr>
                <w:rFonts w:eastAsia="Times New Roman" w:cs="Times New Roman"/>
                <w:color w:val="000000"/>
                <w:sz w:val="20"/>
                <w:szCs w:val="20"/>
                <w:lang w:eastAsia="en-GB"/>
              </w:rPr>
            </w:pPr>
            <w:r w:rsidRPr="00C326E3">
              <w:rPr>
                <w:rFonts w:eastAsia="Times New Roman" w:cs="Times New Roman"/>
                <w:color w:val="000000"/>
                <w:sz w:val="20"/>
                <w:szCs w:val="20"/>
                <w:lang w:eastAsia="en-GB"/>
              </w:rPr>
              <w:t>Total</w:t>
            </w:r>
          </w:p>
        </w:tc>
        <w:tc>
          <w:tcPr>
            <w:tcW w:w="1440" w:type="dxa"/>
            <w:tcBorders>
              <w:top w:val="nil"/>
              <w:left w:val="nil"/>
              <w:bottom w:val="single" w:sz="4" w:space="0" w:color="auto"/>
              <w:right w:val="single" w:sz="4" w:space="0" w:color="auto"/>
            </w:tcBorders>
            <w:shd w:val="clear" w:color="auto" w:fill="auto"/>
            <w:noWrap/>
            <w:vAlign w:val="bottom"/>
            <w:hideMark/>
          </w:tcPr>
          <w:p w:rsidR="0029600C" w:rsidRPr="00C326E3" w:rsidRDefault="0029600C" w:rsidP="00C326E3">
            <w:pPr>
              <w:spacing w:line="276" w:lineRule="auto"/>
              <w:jc w:val="center"/>
              <w:rPr>
                <w:rFonts w:eastAsia="Times New Roman" w:cs="Times New Roman"/>
                <w:color w:val="000000"/>
                <w:sz w:val="20"/>
                <w:szCs w:val="20"/>
                <w:lang w:eastAsia="en-GB"/>
              </w:rPr>
            </w:pPr>
            <w:r w:rsidRPr="00C326E3">
              <w:rPr>
                <w:rFonts w:eastAsia="Times New Roman" w:cs="Times New Roman"/>
                <w:color w:val="000000"/>
                <w:sz w:val="20"/>
                <w:szCs w:val="20"/>
                <w:lang w:eastAsia="en-GB"/>
              </w:rPr>
              <w:t>466</w:t>
            </w:r>
          </w:p>
        </w:tc>
        <w:tc>
          <w:tcPr>
            <w:tcW w:w="1407" w:type="dxa"/>
            <w:tcBorders>
              <w:top w:val="nil"/>
              <w:left w:val="nil"/>
              <w:bottom w:val="single" w:sz="4" w:space="0" w:color="auto"/>
              <w:right w:val="single" w:sz="4" w:space="0" w:color="auto"/>
            </w:tcBorders>
            <w:shd w:val="clear" w:color="auto" w:fill="auto"/>
            <w:noWrap/>
            <w:vAlign w:val="bottom"/>
            <w:hideMark/>
          </w:tcPr>
          <w:p w:rsidR="0029600C" w:rsidRPr="00C326E3" w:rsidRDefault="0029600C" w:rsidP="00C326E3">
            <w:pPr>
              <w:spacing w:line="276" w:lineRule="auto"/>
              <w:jc w:val="center"/>
              <w:rPr>
                <w:rFonts w:eastAsia="Times New Roman" w:cs="Times New Roman"/>
                <w:color w:val="000000"/>
                <w:sz w:val="20"/>
                <w:szCs w:val="20"/>
                <w:lang w:eastAsia="en-GB"/>
              </w:rPr>
            </w:pPr>
            <w:r w:rsidRPr="00C326E3">
              <w:rPr>
                <w:rFonts w:eastAsia="Times New Roman" w:cs="Times New Roman"/>
                <w:color w:val="000000"/>
                <w:sz w:val="20"/>
                <w:szCs w:val="20"/>
                <w:lang w:eastAsia="en-GB"/>
              </w:rPr>
              <w:t>54</w:t>
            </w:r>
          </w:p>
        </w:tc>
      </w:tr>
    </w:tbl>
    <w:p w:rsidR="0029600C" w:rsidRPr="00C326E3" w:rsidRDefault="0029600C" w:rsidP="00C326E3">
      <w:pPr>
        <w:pStyle w:val="HTML-wstpniesformatowany"/>
        <w:spacing w:line="276" w:lineRule="auto"/>
        <w:jc w:val="both"/>
        <w:rPr>
          <w:rFonts w:ascii="Times New Roman" w:hAnsi="Times New Roman" w:cs="Times New Roman"/>
          <w:sz w:val="24"/>
          <w:szCs w:val="24"/>
        </w:rPr>
      </w:pPr>
    </w:p>
    <w:p w:rsidR="0029600C" w:rsidRPr="00C326E3" w:rsidRDefault="0029600C" w:rsidP="00C326E3">
      <w:pPr>
        <w:pStyle w:val="HTML-wstpniesformatowany"/>
        <w:spacing w:line="276" w:lineRule="auto"/>
        <w:jc w:val="both"/>
        <w:rPr>
          <w:rFonts w:ascii="Times New Roman" w:hAnsi="Times New Roman" w:cs="Times New Roman"/>
          <w:sz w:val="24"/>
          <w:szCs w:val="24"/>
        </w:rPr>
      </w:pPr>
    </w:p>
    <w:p w:rsidR="0029600C" w:rsidRPr="00C326E3" w:rsidRDefault="0029600C" w:rsidP="00C326E3">
      <w:pPr>
        <w:pStyle w:val="HTML-wstpniesformatowany"/>
        <w:spacing w:line="276" w:lineRule="auto"/>
        <w:jc w:val="both"/>
        <w:rPr>
          <w:rFonts w:ascii="Times New Roman" w:hAnsi="Times New Roman" w:cs="Times New Roman"/>
          <w:sz w:val="24"/>
          <w:szCs w:val="24"/>
        </w:rPr>
      </w:pPr>
      <w:r w:rsidRPr="00C326E3">
        <w:rPr>
          <w:rFonts w:ascii="Times New Roman" w:hAnsi="Times New Roman" w:cs="Times New Roman"/>
          <w:sz w:val="24"/>
          <w:szCs w:val="24"/>
          <w:lang w:val="en"/>
        </w:rPr>
        <w:t>Source: own study based on data from the Warsaw Stock Exchange and PSIK.</w:t>
      </w:r>
    </w:p>
    <w:p w:rsidR="0029600C" w:rsidRPr="00C326E3" w:rsidRDefault="0029600C" w:rsidP="00C326E3">
      <w:pPr>
        <w:pStyle w:val="HTML-wstpniesformatowany"/>
        <w:spacing w:line="276" w:lineRule="auto"/>
        <w:jc w:val="both"/>
        <w:rPr>
          <w:rFonts w:ascii="Times New Roman" w:hAnsi="Times New Roman" w:cs="Times New Roman"/>
          <w:sz w:val="24"/>
          <w:szCs w:val="24"/>
        </w:rPr>
      </w:pPr>
    </w:p>
    <w:p w:rsidR="00A40D29" w:rsidRPr="00C326E3" w:rsidRDefault="00A40D29" w:rsidP="00C326E3">
      <w:pPr>
        <w:pStyle w:val="HTML-wstpniesformatowany"/>
        <w:spacing w:line="276" w:lineRule="auto"/>
        <w:jc w:val="both"/>
        <w:rPr>
          <w:rFonts w:ascii="Times New Roman" w:hAnsi="Times New Roman" w:cs="Times New Roman"/>
          <w:sz w:val="24"/>
          <w:szCs w:val="24"/>
          <w:lang w:val="en"/>
        </w:rPr>
      </w:pPr>
      <w:r w:rsidRPr="00C326E3">
        <w:rPr>
          <w:rFonts w:ascii="Times New Roman" w:hAnsi="Times New Roman" w:cs="Times New Roman"/>
          <w:sz w:val="24"/>
          <w:szCs w:val="24"/>
          <w:lang w:val="en"/>
        </w:rPr>
        <w:t>Analyzing the number of IPOs of companies powered by PE funds, it should be stated that the number and time of making an IPO depends on the state of the stock market. It can be stated that the highest activity of the funds in the transaction of divestment of shares held by the IPO method falls on periods of prosperity on the stock market. Along with the decrease in the number of debuts, the number of divestments using the first public offering transaction decreases.</w:t>
      </w:r>
    </w:p>
    <w:p w:rsidR="00A40D29" w:rsidRPr="00C326E3" w:rsidRDefault="00A40D29" w:rsidP="00C326E3">
      <w:pPr>
        <w:pStyle w:val="HTML-wstpniesformatowany"/>
        <w:spacing w:line="276" w:lineRule="auto"/>
        <w:jc w:val="both"/>
        <w:rPr>
          <w:rFonts w:ascii="Times New Roman" w:hAnsi="Times New Roman" w:cs="Times New Roman"/>
          <w:sz w:val="24"/>
          <w:szCs w:val="24"/>
        </w:rPr>
      </w:pPr>
      <w:r w:rsidRPr="00C326E3">
        <w:rPr>
          <w:rFonts w:ascii="Times New Roman" w:hAnsi="Times New Roman" w:cs="Times New Roman"/>
          <w:sz w:val="24"/>
          <w:szCs w:val="24"/>
          <w:lang w:val="en"/>
        </w:rPr>
        <w:t xml:space="preserve">In assessing the amount of underestimation of the issue price of shares, the analysis of the original rate of return was used first. Underestimation of the issue price of the portfolio of shares during the initial public offering, measured by the original rate of return for 2000-2018, concerned 412 companies not powered by PE funds and 54 powered by PE funds. The average price underestimation in the case of companies not supplied with PE funds was 9.99% and in the case of companies supplied with PE funds it was lower and amounted to 9.11%. One can formulate the hypothesis that in the second case investors leaving the company put the need for divestment over the sale price and accepted its relatively low level. </w:t>
      </w:r>
      <w:r w:rsidRPr="00C326E3">
        <w:rPr>
          <w:rFonts w:ascii="Times New Roman" w:hAnsi="Times New Roman" w:cs="Times New Roman"/>
          <w:sz w:val="24"/>
          <w:szCs w:val="24"/>
          <w:lang w:val="en"/>
        </w:rPr>
        <w:lastRenderedPageBreak/>
        <w:t>Investors achieved the highest primary rate of return during the boom on the stock market (2006 and the first half of 2007). The lowest rates of return occurred in 2008, i.e. during the year-round crisis. In 2017, the original rates of return were negative and IPO transactions recorded an average rate of return of -0.05%. It should be noted that companies supplied with PE funds in 2017 had an average of 2.33%. The share of IPOs in high-risk funded companies increased over the period considered compared to previous years, where in 2006-2012 their share was no more than 10% and in the period 2015-2018 it was on average 16.6%. Analyzing the rates of return of 54 companies powered by VC funds and 416 companies without high-risk funds support in 2000-2018, it should be stated that traditional companies achieved a slightly higher level of underestimation throughout the entire study period. For companies on the broad market, the level of underestimation of the initial public offering was 9.99% and for companies with PE capital only 9.1%.</w:t>
      </w:r>
    </w:p>
    <w:p w:rsidR="00A40D29" w:rsidRPr="00C326E3" w:rsidRDefault="00A40D29" w:rsidP="00C326E3">
      <w:pPr>
        <w:pStyle w:val="HTML-wstpniesformatowany"/>
        <w:spacing w:line="276" w:lineRule="auto"/>
        <w:jc w:val="both"/>
        <w:rPr>
          <w:rFonts w:ascii="Times New Roman" w:hAnsi="Times New Roman" w:cs="Times New Roman"/>
          <w:sz w:val="24"/>
          <w:szCs w:val="24"/>
          <w:lang w:val="en"/>
        </w:rPr>
      </w:pPr>
      <w:r w:rsidRPr="00C326E3">
        <w:rPr>
          <w:rFonts w:ascii="Times New Roman" w:hAnsi="Times New Roman" w:cs="Times New Roman"/>
          <w:sz w:val="24"/>
          <w:szCs w:val="24"/>
          <w:lang w:val="en"/>
        </w:rPr>
        <w:t xml:space="preserve">Comparing this with the research carried out by R. </w:t>
      </w:r>
      <w:proofErr w:type="spellStart"/>
      <w:r w:rsidRPr="00C326E3">
        <w:rPr>
          <w:rFonts w:ascii="Times New Roman" w:hAnsi="Times New Roman" w:cs="Times New Roman"/>
          <w:sz w:val="24"/>
          <w:szCs w:val="24"/>
          <w:lang w:val="en"/>
        </w:rPr>
        <w:t>Sierady</w:t>
      </w:r>
      <w:proofErr w:type="spellEnd"/>
      <w:r w:rsidRPr="00C326E3">
        <w:rPr>
          <w:rFonts w:ascii="Times New Roman" w:hAnsi="Times New Roman" w:cs="Times New Roman"/>
          <w:sz w:val="24"/>
          <w:szCs w:val="24"/>
          <w:lang w:val="en"/>
        </w:rPr>
        <w:t xml:space="preserve"> and P. </w:t>
      </w:r>
      <w:proofErr w:type="spellStart"/>
      <w:r w:rsidRPr="00C326E3">
        <w:rPr>
          <w:rFonts w:ascii="Times New Roman" w:hAnsi="Times New Roman" w:cs="Times New Roman"/>
          <w:sz w:val="24"/>
          <w:szCs w:val="24"/>
          <w:lang w:val="en"/>
        </w:rPr>
        <w:t>Zasępa</w:t>
      </w:r>
      <w:proofErr w:type="spellEnd"/>
      <w:r w:rsidRPr="00C326E3">
        <w:rPr>
          <w:rFonts w:ascii="Times New Roman" w:hAnsi="Times New Roman" w:cs="Times New Roman"/>
          <w:sz w:val="24"/>
          <w:szCs w:val="24"/>
          <w:lang w:val="en"/>
        </w:rPr>
        <w:t xml:space="preserve"> for the period 2003-2011, the situation in the analyzed period changed radically. The average for companies not supplied with funds for this period was 14.5%, and for companies supplied with VC / PE funds 11.5% with a standard deviation of 5%. Basic statistics on the distribution of return rates are presented in Table 2.</w:t>
      </w:r>
    </w:p>
    <w:p w:rsidR="00A40D29" w:rsidRPr="00C326E3" w:rsidRDefault="00A40D29" w:rsidP="00C326E3">
      <w:pPr>
        <w:pStyle w:val="HTML-wstpniesformatowany"/>
        <w:spacing w:line="276" w:lineRule="auto"/>
        <w:jc w:val="both"/>
        <w:rPr>
          <w:rFonts w:ascii="Times New Roman" w:hAnsi="Times New Roman" w:cs="Times New Roman"/>
          <w:sz w:val="24"/>
          <w:szCs w:val="24"/>
        </w:rPr>
      </w:pPr>
      <w:r w:rsidRPr="00C326E3">
        <w:rPr>
          <w:rFonts w:ascii="Times New Roman" w:hAnsi="Times New Roman" w:cs="Times New Roman"/>
          <w:sz w:val="24"/>
          <w:szCs w:val="24"/>
          <w:lang w:val="en"/>
        </w:rPr>
        <w:t>Table 2. Statistics of companies making IPOs on the Warsaw Stock Exchange in 2000-2018</w:t>
      </w:r>
    </w:p>
    <w:p w:rsidR="00A40D29" w:rsidRPr="00C326E3" w:rsidRDefault="00A40D29" w:rsidP="00C326E3">
      <w:pPr>
        <w:pStyle w:val="HTML-wstpniesformatowany"/>
        <w:spacing w:line="276" w:lineRule="auto"/>
        <w:jc w:val="both"/>
        <w:rPr>
          <w:rFonts w:ascii="Times New Roman" w:hAnsi="Times New Roman" w:cs="Times New Roman"/>
          <w:sz w:val="24"/>
          <w:szCs w:val="24"/>
        </w:rPr>
      </w:pPr>
    </w:p>
    <w:tbl>
      <w:tblPr>
        <w:tblW w:w="7393" w:type="dxa"/>
        <w:jc w:val="center"/>
        <w:tblInd w:w="-452" w:type="dxa"/>
        <w:tblLook w:val="04A0" w:firstRow="1" w:lastRow="0" w:firstColumn="1" w:lastColumn="0" w:noHBand="0" w:noVBand="1"/>
      </w:tblPr>
      <w:tblGrid>
        <w:gridCol w:w="3547"/>
        <w:gridCol w:w="1880"/>
        <w:gridCol w:w="1966"/>
      </w:tblGrid>
      <w:tr w:rsidR="00A40D29" w:rsidRPr="00C326E3" w:rsidTr="002107D0">
        <w:trPr>
          <w:trHeight w:val="300"/>
          <w:jc w:val="center"/>
        </w:trPr>
        <w:tc>
          <w:tcPr>
            <w:tcW w:w="35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0D29" w:rsidRPr="00C326E3" w:rsidRDefault="00712DB3" w:rsidP="00C326E3">
            <w:pPr>
              <w:spacing w:line="276" w:lineRule="auto"/>
              <w:rPr>
                <w:rFonts w:eastAsia="Times New Roman" w:cs="Times New Roman"/>
                <w:color w:val="000000"/>
                <w:szCs w:val="24"/>
                <w:lang w:eastAsia="en-GB"/>
              </w:rPr>
            </w:pPr>
            <w:r w:rsidRPr="00C326E3">
              <w:rPr>
                <w:rFonts w:eastAsia="Times New Roman" w:cs="Times New Roman"/>
                <w:color w:val="000000"/>
                <w:szCs w:val="24"/>
                <w:lang w:eastAsia="en-GB"/>
              </w:rPr>
              <w:t>Period</w:t>
            </w:r>
          </w:p>
        </w:tc>
        <w:tc>
          <w:tcPr>
            <w:tcW w:w="1880" w:type="dxa"/>
            <w:tcBorders>
              <w:top w:val="single" w:sz="4" w:space="0" w:color="auto"/>
              <w:left w:val="nil"/>
              <w:bottom w:val="single" w:sz="4" w:space="0" w:color="auto"/>
              <w:right w:val="single" w:sz="4" w:space="0" w:color="auto"/>
            </w:tcBorders>
            <w:shd w:val="clear" w:color="auto" w:fill="auto"/>
            <w:noWrap/>
            <w:vAlign w:val="bottom"/>
            <w:hideMark/>
          </w:tcPr>
          <w:p w:rsidR="00A40D29" w:rsidRPr="00C326E3" w:rsidRDefault="00A40D29" w:rsidP="00C326E3">
            <w:pPr>
              <w:spacing w:line="276" w:lineRule="auto"/>
              <w:rPr>
                <w:rFonts w:eastAsia="Times New Roman" w:cs="Times New Roman"/>
                <w:color w:val="000000"/>
                <w:szCs w:val="24"/>
                <w:lang w:eastAsia="en-GB"/>
              </w:rPr>
            </w:pPr>
            <w:r w:rsidRPr="00C326E3">
              <w:rPr>
                <w:rFonts w:eastAsia="Times New Roman" w:cs="Times New Roman"/>
                <w:color w:val="000000"/>
                <w:szCs w:val="24"/>
                <w:lang w:eastAsia="en-GB"/>
              </w:rPr>
              <w:t>2000-2018</w:t>
            </w:r>
          </w:p>
        </w:tc>
        <w:tc>
          <w:tcPr>
            <w:tcW w:w="1966" w:type="dxa"/>
            <w:tcBorders>
              <w:top w:val="single" w:sz="4" w:space="0" w:color="auto"/>
              <w:left w:val="nil"/>
              <w:bottom w:val="single" w:sz="4" w:space="0" w:color="auto"/>
              <w:right w:val="single" w:sz="4" w:space="0" w:color="auto"/>
            </w:tcBorders>
            <w:shd w:val="clear" w:color="auto" w:fill="auto"/>
            <w:noWrap/>
            <w:vAlign w:val="bottom"/>
            <w:hideMark/>
          </w:tcPr>
          <w:p w:rsidR="00A40D29" w:rsidRPr="00C326E3" w:rsidRDefault="00A40D29" w:rsidP="00C326E3">
            <w:pPr>
              <w:spacing w:line="276" w:lineRule="auto"/>
              <w:rPr>
                <w:rFonts w:eastAsia="Times New Roman" w:cs="Times New Roman"/>
                <w:color w:val="000000"/>
                <w:szCs w:val="24"/>
                <w:lang w:eastAsia="en-GB"/>
              </w:rPr>
            </w:pPr>
            <w:r w:rsidRPr="00C326E3">
              <w:rPr>
                <w:rFonts w:eastAsia="Times New Roman" w:cs="Times New Roman"/>
                <w:color w:val="000000"/>
                <w:szCs w:val="24"/>
                <w:lang w:eastAsia="en-GB"/>
              </w:rPr>
              <w:t>2003-2014</w:t>
            </w:r>
          </w:p>
        </w:tc>
      </w:tr>
      <w:tr w:rsidR="00A40D29" w:rsidRPr="00C326E3" w:rsidTr="002107D0">
        <w:trPr>
          <w:trHeight w:val="300"/>
          <w:jc w:val="center"/>
        </w:trPr>
        <w:tc>
          <w:tcPr>
            <w:tcW w:w="3547" w:type="dxa"/>
            <w:tcBorders>
              <w:top w:val="nil"/>
              <w:left w:val="single" w:sz="4" w:space="0" w:color="auto"/>
              <w:bottom w:val="single" w:sz="4" w:space="0" w:color="auto"/>
              <w:right w:val="single" w:sz="4" w:space="0" w:color="auto"/>
            </w:tcBorders>
            <w:shd w:val="clear" w:color="auto" w:fill="auto"/>
            <w:noWrap/>
            <w:vAlign w:val="center"/>
            <w:hideMark/>
          </w:tcPr>
          <w:p w:rsidR="00A40D29" w:rsidRPr="00C326E3" w:rsidRDefault="00712DB3" w:rsidP="00C326E3">
            <w:pPr>
              <w:spacing w:line="276" w:lineRule="auto"/>
              <w:rPr>
                <w:rFonts w:eastAsia="Times New Roman" w:cs="Times New Roman"/>
                <w:color w:val="000000"/>
                <w:szCs w:val="24"/>
                <w:lang w:eastAsia="en-GB"/>
              </w:rPr>
            </w:pPr>
            <w:proofErr w:type="spellStart"/>
            <w:r w:rsidRPr="00C326E3">
              <w:rPr>
                <w:rFonts w:eastAsia="Times New Roman" w:cs="Times New Roman"/>
                <w:color w:val="000000"/>
                <w:szCs w:val="24"/>
                <w:lang w:eastAsia="en-GB"/>
              </w:rPr>
              <w:t>Underpricing</w:t>
            </w:r>
            <w:proofErr w:type="spellEnd"/>
            <w:r w:rsidR="00A40D29" w:rsidRPr="00C326E3">
              <w:rPr>
                <w:rFonts w:eastAsia="Times New Roman" w:cs="Times New Roman"/>
                <w:color w:val="000000"/>
                <w:szCs w:val="24"/>
                <w:lang w:eastAsia="en-GB"/>
              </w:rPr>
              <w:t xml:space="preserve"> IPO</w:t>
            </w:r>
          </w:p>
        </w:tc>
        <w:tc>
          <w:tcPr>
            <w:tcW w:w="1880" w:type="dxa"/>
            <w:tcBorders>
              <w:top w:val="nil"/>
              <w:left w:val="nil"/>
              <w:bottom w:val="single" w:sz="4" w:space="0" w:color="auto"/>
              <w:right w:val="single" w:sz="4" w:space="0" w:color="auto"/>
            </w:tcBorders>
            <w:shd w:val="clear" w:color="auto" w:fill="auto"/>
            <w:noWrap/>
            <w:vAlign w:val="center"/>
            <w:hideMark/>
          </w:tcPr>
          <w:p w:rsidR="00A40D29" w:rsidRPr="00C326E3" w:rsidRDefault="00A40D29" w:rsidP="00C326E3">
            <w:pPr>
              <w:spacing w:line="276" w:lineRule="auto"/>
              <w:rPr>
                <w:rFonts w:eastAsia="Times New Roman" w:cs="Times New Roman"/>
                <w:color w:val="000000"/>
                <w:szCs w:val="24"/>
                <w:lang w:eastAsia="en-GB"/>
              </w:rPr>
            </w:pPr>
            <w:r w:rsidRPr="00C326E3">
              <w:rPr>
                <w:rFonts w:eastAsia="Times New Roman" w:cs="Times New Roman"/>
                <w:color w:val="000000"/>
                <w:szCs w:val="24"/>
                <w:lang w:eastAsia="en-GB"/>
              </w:rPr>
              <w:t>9,99%</w:t>
            </w:r>
          </w:p>
        </w:tc>
        <w:tc>
          <w:tcPr>
            <w:tcW w:w="1966" w:type="dxa"/>
            <w:tcBorders>
              <w:top w:val="nil"/>
              <w:left w:val="nil"/>
              <w:bottom w:val="single" w:sz="4" w:space="0" w:color="auto"/>
              <w:right w:val="single" w:sz="4" w:space="0" w:color="auto"/>
            </w:tcBorders>
            <w:shd w:val="clear" w:color="auto" w:fill="auto"/>
            <w:noWrap/>
            <w:vAlign w:val="center"/>
            <w:hideMark/>
          </w:tcPr>
          <w:p w:rsidR="00A40D29" w:rsidRPr="00C326E3" w:rsidRDefault="00A40D29" w:rsidP="00C326E3">
            <w:pPr>
              <w:spacing w:line="276" w:lineRule="auto"/>
              <w:rPr>
                <w:rFonts w:eastAsia="Times New Roman" w:cs="Times New Roman"/>
                <w:color w:val="000000"/>
                <w:szCs w:val="24"/>
                <w:lang w:eastAsia="en-GB"/>
              </w:rPr>
            </w:pPr>
            <w:r w:rsidRPr="00C326E3">
              <w:rPr>
                <w:rFonts w:eastAsia="Times New Roman" w:cs="Times New Roman"/>
                <w:color w:val="000000"/>
                <w:szCs w:val="24"/>
                <w:lang w:eastAsia="en-GB"/>
              </w:rPr>
              <w:t>7,30%</w:t>
            </w:r>
          </w:p>
        </w:tc>
      </w:tr>
      <w:tr w:rsidR="00A40D29" w:rsidRPr="00C326E3" w:rsidTr="002107D0">
        <w:trPr>
          <w:trHeight w:val="300"/>
          <w:jc w:val="center"/>
        </w:trPr>
        <w:tc>
          <w:tcPr>
            <w:tcW w:w="3547" w:type="dxa"/>
            <w:tcBorders>
              <w:top w:val="nil"/>
              <w:left w:val="single" w:sz="4" w:space="0" w:color="auto"/>
              <w:bottom w:val="single" w:sz="4" w:space="0" w:color="auto"/>
              <w:right w:val="single" w:sz="4" w:space="0" w:color="auto"/>
            </w:tcBorders>
            <w:shd w:val="clear" w:color="auto" w:fill="auto"/>
            <w:noWrap/>
            <w:vAlign w:val="center"/>
            <w:hideMark/>
          </w:tcPr>
          <w:p w:rsidR="00A40D29" w:rsidRPr="00C326E3" w:rsidRDefault="00712DB3" w:rsidP="00C326E3">
            <w:pPr>
              <w:spacing w:line="276" w:lineRule="auto"/>
              <w:rPr>
                <w:rFonts w:eastAsia="Times New Roman" w:cs="Times New Roman"/>
                <w:color w:val="000000"/>
                <w:szCs w:val="24"/>
                <w:lang w:eastAsia="en-GB"/>
              </w:rPr>
            </w:pPr>
            <w:r w:rsidRPr="00C326E3">
              <w:rPr>
                <w:rFonts w:eastAsia="Times New Roman" w:cs="Times New Roman"/>
                <w:color w:val="000000"/>
                <w:szCs w:val="24"/>
                <w:lang w:eastAsia="en-GB"/>
              </w:rPr>
              <w:t xml:space="preserve">PE </w:t>
            </w:r>
            <w:proofErr w:type="spellStart"/>
            <w:r w:rsidRPr="00C326E3">
              <w:rPr>
                <w:rFonts w:eastAsia="Times New Roman" w:cs="Times New Roman"/>
                <w:color w:val="000000"/>
                <w:szCs w:val="24"/>
                <w:lang w:eastAsia="en-GB"/>
              </w:rPr>
              <w:t>Bacekd</w:t>
            </w:r>
            <w:proofErr w:type="spellEnd"/>
            <w:r w:rsidRPr="00C326E3">
              <w:rPr>
                <w:rFonts w:eastAsia="Times New Roman" w:cs="Times New Roman"/>
                <w:color w:val="000000"/>
                <w:szCs w:val="24"/>
                <w:lang w:eastAsia="en-GB"/>
              </w:rPr>
              <w:t xml:space="preserve"> IPO </w:t>
            </w:r>
            <w:proofErr w:type="spellStart"/>
            <w:r w:rsidRPr="00C326E3">
              <w:rPr>
                <w:rFonts w:eastAsia="Times New Roman" w:cs="Times New Roman"/>
                <w:color w:val="000000"/>
                <w:szCs w:val="24"/>
                <w:lang w:eastAsia="en-GB"/>
              </w:rPr>
              <w:t>underpricing</w:t>
            </w:r>
            <w:proofErr w:type="spellEnd"/>
          </w:p>
        </w:tc>
        <w:tc>
          <w:tcPr>
            <w:tcW w:w="1880" w:type="dxa"/>
            <w:tcBorders>
              <w:top w:val="nil"/>
              <w:left w:val="nil"/>
              <w:bottom w:val="single" w:sz="4" w:space="0" w:color="auto"/>
              <w:right w:val="single" w:sz="4" w:space="0" w:color="auto"/>
            </w:tcBorders>
            <w:shd w:val="clear" w:color="auto" w:fill="auto"/>
            <w:noWrap/>
            <w:vAlign w:val="center"/>
            <w:hideMark/>
          </w:tcPr>
          <w:p w:rsidR="00A40D29" w:rsidRPr="00C326E3" w:rsidRDefault="00A40D29" w:rsidP="00C326E3">
            <w:pPr>
              <w:spacing w:line="276" w:lineRule="auto"/>
              <w:rPr>
                <w:rFonts w:eastAsia="Times New Roman" w:cs="Times New Roman"/>
                <w:color w:val="000000"/>
                <w:szCs w:val="24"/>
                <w:lang w:eastAsia="en-GB"/>
              </w:rPr>
            </w:pPr>
            <w:r w:rsidRPr="00C326E3">
              <w:rPr>
                <w:rFonts w:eastAsia="Times New Roman" w:cs="Times New Roman"/>
                <w:color w:val="000000"/>
                <w:szCs w:val="24"/>
                <w:lang w:eastAsia="en-GB"/>
              </w:rPr>
              <w:t>9,12%</w:t>
            </w:r>
          </w:p>
        </w:tc>
        <w:tc>
          <w:tcPr>
            <w:tcW w:w="1966" w:type="dxa"/>
            <w:tcBorders>
              <w:top w:val="nil"/>
              <w:left w:val="nil"/>
              <w:bottom w:val="single" w:sz="4" w:space="0" w:color="auto"/>
              <w:right w:val="single" w:sz="4" w:space="0" w:color="auto"/>
            </w:tcBorders>
            <w:shd w:val="clear" w:color="auto" w:fill="auto"/>
            <w:noWrap/>
            <w:vAlign w:val="center"/>
            <w:hideMark/>
          </w:tcPr>
          <w:p w:rsidR="00A40D29" w:rsidRPr="00C326E3" w:rsidRDefault="00A40D29" w:rsidP="00C326E3">
            <w:pPr>
              <w:spacing w:line="276" w:lineRule="auto"/>
              <w:rPr>
                <w:rFonts w:eastAsia="Times New Roman" w:cs="Times New Roman"/>
                <w:color w:val="000000"/>
                <w:szCs w:val="24"/>
                <w:lang w:eastAsia="en-GB"/>
              </w:rPr>
            </w:pPr>
            <w:r w:rsidRPr="00C326E3">
              <w:rPr>
                <w:rFonts w:eastAsia="Times New Roman" w:cs="Times New Roman"/>
                <w:color w:val="000000"/>
                <w:szCs w:val="24"/>
                <w:lang w:eastAsia="en-GB"/>
              </w:rPr>
              <w:t>8,24%</w:t>
            </w:r>
          </w:p>
        </w:tc>
      </w:tr>
      <w:tr w:rsidR="00A40D29" w:rsidRPr="00C326E3" w:rsidTr="002107D0">
        <w:trPr>
          <w:trHeight w:val="300"/>
          <w:jc w:val="center"/>
        </w:trPr>
        <w:tc>
          <w:tcPr>
            <w:tcW w:w="3547" w:type="dxa"/>
            <w:tcBorders>
              <w:top w:val="nil"/>
              <w:left w:val="single" w:sz="4" w:space="0" w:color="auto"/>
              <w:bottom w:val="single" w:sz="4" w:space="0" w:color="auto"/>
              <w:right w:val="single" w:sz="4" w:space="0" w:color="auto"/>
            </w:tcBorders>
            <w:shd w:val="clear" w:color="auto" w:fill="auto"/>
            <w:noWrap/>
            <w:vAlign w:val="center"/>
            <w:hideMark/>
          </w:tcPr>
          <w:p w:rsidR="00A40D29" w:rsidRPr="00C326E3" w:rsidRDefault="00712DB3" w:rsidP="00C326E3">
            <w:pPr>
              <w:spacing w:line="276" w:lineRule="auto"/>
              <w:rPr>
                <w:rFonts w:eastAsia="Times New Roman" w:cs="Times New Roman"/>
                <w:color w:val="000000"/>
                <w:szCs w:val="24"/>
                <w:lang w:eastAsia="en-GB"/>
              </w:rPr>
            </w:pPr>
            <w:proofErr w:type="spellStart"/>
            <w:r w:rsidRPr="00C326E3">
              <w:rPr>
                <w:rFonts w:eastAsia="Times New Roman" w:cs="Times New Roman"/>
                <w:color w:val="000000"/>
                <w:szCs w:val="24"/>
                <w:lang w:eastAsia="en-GB"/>
              </w:rPr>
              <w:t>Skewness</w:t>
            </w:r>
            <w:proofErr w:type="spellEnd"/>
            <w:r w:rsidR="00A40D29" w:rsidRPr="00C326E3">
              <w:rPr>
                <w:rFonts w:eastAsia="Times New Roman" w:cs="Times New Roman"/>
                <w:color w:val="000000"/>
                <w:szCs w:val="24"/>
                <w:lang w:eastAsia="en-GB"/>
              </w:rPr>
              <w:t xml:space="preserve"> IPO</w:t>
            </w:r>
          </w:p>
        </w:tc>
        <w:tc>
          <w:tcPr>
            <w:tcW w:w="1880" w:type="dxa"/>
            <w:tcBorders>
              <w:top w:val="nil"/>
              <w:left w:val="nil"/>
              <w:bottom w:val="single" w:sz="4" w:space="0" w:color="auto"/>
              <w:right w:val="single" w:sz="4" w:space="0" w:color="auto"/>
            </w:tcBorders>
            <w:shd w:val="clear" w:color="auto" w:fill="auto"/>
            <w:noWrap/>
            <w:vAlign w:val="center"/>
            <w:hideMark/>
          </w:tcPr>
          <w:p w:rsidR="00A40D29" w:rsidRPr="00C326E3" w:rsidRDefault="00A40D29" w:rsidP="00C326E3">
            <w:pPr>
              <w:spacing w:line="276" w:lineRule="auto"/>
              <w:rPr>
                <w:rFonts w:eastAsia="Times New Roman" w:cs="Times New Roman"/>
                <w:color w:val="000000"/>
                <w:szCs w:val="24"/>
                <w:lang w:eastAsia="en-GB"/>
              </w:rPr>
            </w:pPr>
            <w:r w:rsidRPr="00C326E3">
              <w:rPr>
                <w:rFonts w:eastAsia="Times New Roman" w:cs="Times New Roman"/>
                <w:color w:val="000000"/>
                <w:szCs w:val="24"/>
                <w:lang w:eastAsia="en-GB"/>
              </w:rPr>
              <w:t>7,95</w:t>
            </w:r>
          </w:p>
        </w:tc>
        <w:tc>
          <w:tcPr>
            <w:tcW w:w="1966" w:type="dxa"/>
            <w:tcBorders>
              <w:top w:val="nil"/>
              <w:left w:val="nil"/>
              <w:bottom w:val="single" w:sz="4" w:space="0" w:color="auto"/>
              <w:right w:val="single" w:sz="4" w:space="0" w:color="auto"/>
            </w:tcBorders>
            <w:shd w:val="clear" w:color="auto" w:fill="auto"/>
            <w:noWrap/>
            <w:vAlign w:val="center"/>
            <w:hideMark/>
          </w:tcPr>
          <w:p w:rsidR="00A40D29" w:rsidRPr="00C326E3" w:rsidRDefault="00A40D29" w:rsidP="00C326E3">
            <w:pPr>
              <w:spacing w:line="276" w:lineRule="auto"/>
              <w:rPr>
                <w:rFonts w:eastAsia="Times New Roman" w:cs="Times New Roman"/>
                <w:color w:val="000000"/>
                <w:szCs w:val="24"/>
                <w:lang w:eastAsia="en-GB"/>
              </w:rPr>
            </w:pPr>
            <w:r w:rsidRPr="00C326E3">
              <w:rPr>
                <w:rFonts w:eastAsia="Times New Roman" w:cs="Times New Roman"/>
                <w:color w:val="000000"/>
                <w:szCs w:val="24"/>
                <w:lang w:eastAsia="en-GB"/>
              </w:rPr>
              <w:t>0,97</w:t>
            </w:r>
          </w:p>
        </w:tc>
      </w:tr>
      <w:tr w:rsidR="00A40D29" w:rsidRPr="00C326E3" w:rsidTr="002107D0">
        <w:trPr>
          <w:trHeight w:val="300"/>
          <w:jc w:val="center"/>
        </w:trPr>
        <w:tc>
          <w:tcPr>
            <w:tcW w:w="3547" w:type="dxa"/>
            <w:tcBorders>
              <w:top w:val="nil"/>
              <w:left w:val="single" w:sz="4" w:space="0" w:color="auto"/>
              <w:bottom w:val="single" w:sz="4" w:space="0" w:color="auto"/>
              <w:right w:val="single" w:sz="4" w:space="0" w:color="auto"/>
            </w:tcBorders>
            <w:shd w:val="clear" w:color="auto" w:fill="auto"/>
            <w:noWrap/>
            <w:vAlign w:val="center"/>
            <w:hideMark/>
          </w:tcPr>
          <w:p w:rsidR="00A40D29" w:rsidRPr="00C326E3" w:rsidRDefault="00712DB3" w:rsidP="00C326E3">
            <w:pPr>
              <w:spacing w:line="276" w:lineRule="auto"/>
              <w:rPr>
                <w:rFonts w:eastAsia="Times New Roman" w:cs="Times New Roman"/>
                <w:color w:val="000000"/>
                <w:szCs w:val="24"/>
                <w:lang w:val="en-GB" w:eastAsia="en-GB"/>
              </w:rPr>
            </w:pPr>
            <w:r w:rsidRPr="00C326E3">
              <w:rPr>
                <w:rFonts w:eastAsia="Times New Roman" w:cs="Times New Roman"/>
                <w:color w:val="000000"/>
                <w:szCs w:val="24"/>
                <w:lang w:val="en-GB" w:eastAsia="en-GB"/>
              </w:rPr>
              <w:t xml:space="preserve">Skewness of </w:t>
            </w:r>
            <w:r w:rsidR="00A40D29" w:rsidRPr="00C326E3">
              <w:rPr>
                <w:rFonts w:eastAsia="Times New Roman" w:cs="Times New Roman"/>
                <w:color w:val="000000"/>
                <w:szCs w:val="24"/>
                <w:lang w:val="en-GB" w:eastAsia="en-GB"/>
              </w:rPr>
              <w:t xml:space="preserve">PE </w:t>
            </w:r>
            <w:r w:rsidRPr="00C326E3">
              <w:rPr>
                <w:rFonts w:eastAsia="Times New Roman" w:cs="Times New Roman"/>
                <w:color w:val="000000"/>
                <w:szCs w:val="24"/>
                <w:lang w:val="en-GB" w:eastAsia="en-GB"/>
              </w:rPr>
              <w:t xml:space="preserve">backed </w:t>
            </w:r>
            <w:r w:rsidR="00A40D29" w:rsidRPr="00C326E3">
              <w:rPr>
                <w:rFonts w:eastAsia="Times New Roman" w:cs="Times New Roman"/>
                <w:color w:val="000000"/>
                <w:szCs w:val="24"/>
                <w:lang w:val="en-GB" w:eastAsia="en-GB"/>
              </w:rPr>
              <w:t>IPO</w:t>
            </w:r>
          </w:p>
        </w:tc>
        <w:tc>
          <w:tcPr>
            <w:tcW w:w="1880" w:type="dxa"/>
            <w:tcBorders>
              <w:top w:val="nil"/>
              <w:left w:val="nil"/>
              <w:bottom w:val="single" w:sz="4" w:space="0" w:color="auto"/>
              <w:right w:val="single" w:sz="4" w:space="0" w:color="auto"/>
            </w:tcBorders>
            <w:shd w:val="clear" w:color="auto" w:fill="auto"/>
            <w:noWrap/>
            <w:vAlign w:val="center"/>
            <w:hideMark/>
          </w:tcPr>
          <w:p w:rsidR="00A40D29" w:rsidRPr="00C326E3" w:rsidRDefault="00A40D29" w:rsidP="00C326E3">
            <w:pPr>
              <w:spacing w:line="276" w:lineRule="auto"/>
              <w:rPr>
                <w:rFonts w:eastAsia="Times New Roman" w:cs="Times New Roman"/>
                <w:color w:val="000000"/>
                <w:szCs w:val="24"/>
                <w:lang w:eastAsia="en-GB"/>
              </w:rPr>
            </w:pPr>
            <w:r w:rsidRPr="00C326E3">
              <w:rPr>
                <w:rFonts w:eastAsia="Times New Roman" w:cs="Times New Roman"/>
                <w:color w:val="000000"/>
                <w:szCs w:val="24"/>
                <w:lang w:eastAsia="en-GB"/>
              </w:rPr>
              <w:t>2,54</w:t>
            </w:r>
          </w:p>
        </w:tc>
        <w:tc>
          <w:tcPr>
            <w:tcW w:w="1966" w:type="dxa"/>
            <w:tcBorders>
              <w:top w:val="nil"/>
              <w:left w:val="nil"/>
              <w:bottom w:val="single" w:sz="4" w:space="0" w:color="auto"/>
              <w:right w:val="single" w:sz="4" w:space="0" w:color="auto"/>
            </w:tcBorders>
            <w:shd w:val="clear" w:color="auto" w:fill="auto"/>
            <w:noWrap/>
            <w:vAlign w:val="center"/>
            <w:hideMark/>
          </w:tcPr>
          <w:p w:rsidR="00A40D29" w:rsidRPr="00C326E3" w:rsidRDefault="00A40D29" w:rsidP="00C326E3">
            <w:pPr>
              <w:spacing w:line="276" w:lineRule="auto"/>
              <w:rPr>
                <w:rFonts w:eastAsia="Times New Roman" w:cs="Times New Roman"/>
                <w:color w:val="000000"/>
                <w:szCs w:val="24"/>
                <w:lang w:eastAsia="en-GB"/>
              </w:rPr>
            </w:pPr>
            <w:r w:rsidRPr="00C326E3">
              <w:rPr>
                <w:rFonts w:eastAsia="Times New Roman" w:cs="Times New Roman"/>
                <w:color w:val="000000"/>
                <w:szCs w:val="24"/>
                <w:lang w:eastAsia="en-GB"/>
              </w:rPr>
              <w:t>1,43</w:t>
            </w:r>
          </w:p>
        </w:tc>
      </w:tr>
      <w:tr w:rsidR="00A40D29" w:rsidRPr="00C326E3" w:rsidTr="002107D0">
        <w:trPr>
          <w:trHeight w:val="300"/>
          <w:jc w:val="center"/>
        </w:trPr>
        <w:tc>
          <w:tcPr>
            <w:tcW w:w="3547" w:type="dxa"/>
            <w:tcBorders>
              <w:top w:val="nil"/>
              <w:left w:val="single" w:sz="4" w:space="0" w:color="auto"/>
              <w:bottom w:val="single" w:sz="4" w:space="0" w:color="auto"/>
              <w:right w:val="single" w:sz="4" w:space="0" w:color="auto"/>
            </w:tcBorders>
            <w:shd w:val="clear" w:color="auto" w:fill="auto"/>
            <w:noWrap/>
            <w:vAlign w:val="center"/>
            <w:hideMark/>
          </w:tcPr>
          <w:p w:rsidR="00A40D29" w:rsidRPr="00C326E3" w:rsidRDefault="00712DB3" w:rsidP="00C326E3">
            <w:pPr>
              <w:spacing w:line="276" w:lineRule="auto"/>
              <w:rPr>
                <w:rFonts w:eastAsia="Times New Roman" w:cs="Times New Roman"/>
                <w:color w:val="000000"/>
                <w:szCs w:val="24"/>
                <w:lang w:eastAsia="en-GB"/>
              </w:rPr>
            </w:pPr>
            <w:proofErr w:type="spellStart"/>
            <w:r w:rsidRPr="00C326E3">
              <w:rPr>
                <w:rFonts w:eastAsia="Times New Roman" w:cs="Times New Roman"/>
                <w:color w:val="000000"/>
                <w:szCs w:val="24"/>
                <w:lang w:eastAsia="en-GB"/>
              </w:rPr>
              <w:t>Kurtosis</w:t>
            </w:r>
            <w:proofErr w:type="spellEnd"/>
            <w:r w:rsidR="00A40D29" w:rsidRPr="00C326E3">
              <w:rPr>
                <w:rFonts w:eastAsia="Times New Roman" w:cs="Times New Roman"/>
                <w:color w:val="000000"/>
                <w:szCs w:val="24"/>
                <w:lang w:eastAsia="en-GB"/>
              </w:rPr>
              <w:t xml:space="preserve"> IPO</w:t>
            </w:r>
          </w:p>
        </w:tc>
        <w:tc>
          <w:tcPr>
            <w:tcW w:w="1880" w:type="dxa"/>
            <w:tcBorders>
              <w:top w:val="nil"/>
              <w:left w:val="nil"/>
              <w:bottom w:val="single" w:sz="4" w:space="0" w:color="auto"/>
              <w:right w:val="single" w:sz="4" w:space="0" w:color="auto"/>
            </w:tcBorders>
            <w:shd w:val="clear" w:color="auto" w:fill="auto"/>
            <w:noWrap/>
            <w:vAlign w:val="center"/>
            <w:hideMark/>
          </w:tcPr>
          <w:p w:rsidR="00A40D29" w:rsidRPr="00C326E3" w:rsidRDefault="00A40D29" w:rsidP="00C326E3">
            <w:pPr>
              <w:spacing w:line="276" w:lineRule="auto"/>
              <w:rPr>
                <w:rFonts w:eastAsia="Times New Roman" w:cs="Times New Roman"/>
                <w:color w:val="000000"/>
                <w:szCs w:val="24"/>
                <w:lang w:eastAsia="en-GB"/>
              </w:rPr>
            </w:pPr>
            <w:r w:rsidRPr="00C326E3">
              <w:rPr>
                <w:rFonts w:eastAsia="Times New Roman" w:cs="Times New Roman"/>
                <w:color w:val="000000"/>
                <w:szCs w:val="24"/>
                <w:lang w:eastAsia="en-GB"/>
              </w:rPr>
              <w:t>9,5</w:t>
            </w:r>
          </w:p>
        </w:tc>
        <w:tc>
          <w:tcPr>
            <w:tcW w:w="1966" w:type="dxa"/>
            <w:tcBorders>
              <w:top w:val="nil"/>
              <w:left w:val="nil"/>
              <w:bottom w:val="single" w:sz="4" w:space="0" w:color="auto"/>
              <w:right w:val="single" w:sz="4" w:space="0" w:color="auto"/>
            </w:tcBorders>
            <w:shd w:val="clear" w:color="auto" w:fill="auto"/>
            <w:noWrap/>
            <w:vAlign w:val="center"/>
            <w:hideMark/>
          </w:tcPr>
          <w:p w:rsidR="00A40D29" w:rsidRPr="00C326E3" w:rsidRDefault="00A40D29" w:rsidP="00C326E3">
            <w:pPr>
              <w:spacing w:line="276" w:lineRule="auto"/>
              <w:rPr>
                <w:rFonts w:eastAsia="Times New Roman" w:cs="Times New Roman"/>
                <w:color w:val="000000"/>
                <w:szCs w:val="24"/>
                <w:lang w:eastAsia="en-GB"/>
              </w:rPr>
            </w:pPr>
            <w:r w:rsidRPr="00C326E3">
              <w:rPr>
                <w:rFonts w:eastAsia="Times New Roman" w:cs="Times New Roman"/>
                <w:color w:val="000000"/>
                <w:szCs w:val="24"/>
                <w:lang w:eastAsia="en-GB"/>
              </w:rPr>
              <w:t>5,28</w:t>
            </w:r>
          </w:p>
        </w:tc>
      </w:tr>
      <w:tr w:rsidR="00A40D29" w:rsidRPr="00C326E3" w:rsidTr="002107D0">
        <w:trPr>
          <w:trHeight w:val="300"/>
          <w:jc w:val="center"/>
        </w:trPr>
        <w:tc>
          <w:tcPr>
            <w:tcW w:w="3547" w:type="dxa"/>
            <w:tcBorders>
              <w:top w:val="nil"/>
              <w:left w:val="single" w:sz="4" w:space="0" w:color="auto"/>
              <w:bottom w:val="single" w:sz="4" w:space="0" w:color="auto"/>
              <w:right w:val="single" w:sz="4" w:space="0" w:color="auto"/>
            </w:tcBorders>
            <w:shd w:val="clear" w:color="auto" w:fill="auto"/>
            <w:noWrap/>
            <w:vAlign w:val="center"/>
            <w:hideMark/>
          </w:tcPr>
          <w:p w:rsidR="00A40D29" w:rsidRPr="00C326E3" w:rsidRDefault="00712DB3" w:rsidP="00C326E3">
            <w:pPr>
              <w:spacing w:line="276" w:lineRule="auto"/>
              <w:rPr>
                <w:rFonts w:eastAsia="Times New Roman" w:cs="Times New Roman"/>
                <w:color w:val="000000"/>
                <w:szCs w:val="24"/>
                <w:lang w:val="en-GB" w:eastAsia="en-GB"/>
              </w:rPr>
            </w:pPr>
            <w:r w:rsidRPr="00C326E3">
              <w:rPr>
                <w:rFonts w:eastAsia="Times New Roman" w:cs="Times New Roman"/>
                <w:color w:val="000000"/>
                <w:szCs w:val="24"/>
                <w:lang w:val="en-GB" w:eastAsia="en-GB"/>
              </w:rPr>
              <w:t xml:space="preserve">Kurtosis of </w:t>
            </w:r>
            <w:r w:rsidR="00A40D29" w:rsidRPr="00C326E3">
              <w:rPr>
                <w:rFonts w:eastAsia="Times New Roman" w:cs="Times New Roman"/>
                <w:color w:val="000000"/>
                <w:szCs w:val="24"/>
                <w:lang w:val="en-GB" w:eastAsia="en-GB"/>
              </w:rPr>
              <w:t>PE</w:t>
            </w:r>
            <w:r w:rsidRPr="00C326E3">
              <w:rPr>
                <w:rFonts w:eastAsia="Times New Roman" w:cs="Times New Roman"/>
                <w:color w:val="000000"/>
                <w:szCs w:val="24"/>
                <w:lang w:val="en-GB" w:eastAsia="en-GB"/>
              </w:rPr>
              <w:t xml:space="preserve"> backed </w:t>
            </w:r>
            <w:r w:rsidR="00A40D29" w:rsidRPr="00C326E3">
              <w:rPr>
                <w:rFonts w:eastAsia="Times New Roman" w:cs="Times New Roman"/>
                <w:color w:val="000000"/>
                <w:szCs w:val="24"/>
                <w:lang w:val="en-GB" w:eastAsia="en-GB"/>
              </w:rPr>
              <w:t>IPO</w:t>
            </w:r>
          </w:p>
        </w:tc>
        <w:tc>
          <w:tcPr>
            <w:tcW w:w="1880" w:type="dxa"/>
            <w:tcBorders>
              <w:top w:val="nil"/>
              <w:left w:val="nil"/>
              <w:bottom w:val="single" w:sz="4" w:space="0" w:color="auto"/>
              <w:right w:val="single" w:sz="4" w:space="0" w:color="auto"/>
            </w:tcBorders>
            <w:shd w:val="clear" w:color="auto" w:fill="auto"/>
            <w:noWrap/>
            <w:vAlign w:val="center"/>
            <w:hideMark/>
          </w:tcPr>
          <w:p w:rsidR="00A40D29" w:rsidRPr="00C326E3" w:rsidRDefault="00A40D29" w:rsidP="00C326E3">
            <w:pPr>
              <w:spacing w:line="276" w:lineRule="auto"/>
              <w:rPr>
                <w:rFonts w:eastAsia="Times New Roman" w:cs="Times New Roman"/>
                <w:color w:val="000000"/>
                <w:szCs w:val="24"/>
                <w:lang w:eastAsia="en-GB"/>
              </w:rPr>
            </w:pPr>
            <w:r w:rsidRPr="00C326E3">
              <w:rPr>
                <w:rFonts w:eastAsia="Times New Roman" w:cs="Times New Roman"/>
                <w:color w:val="000000"/>
                <w:szCs w:val="24"/>
                <w:lang w:eastAsia="en-GB"/>
              </w:rPr>
              <w:t>8,38</w:t>
            </w:r>
          </w:p>
        </w:tc>
        <w:tc>
          <w:tcPr>
            <w:tcW w:w="1966" w:type="dxa"/>
            <w:tcBorders>
              <w:top w:val="nil"/>
              <w:left w:val="nil"/>
              <w:bottom w:val="single" w:sz="4" w:space="0" w:color="auto"/>
              <w:right w:val="single" w:sz="4" w:space="0" w:color="auto"/>
            </w:tcBorders>
            <w:shd w:val="clear" w:color="auto" w:fill="auto"/>
            <w:noWrap/>
            <w:vAlign w:val="center"/>
            <w:hideMark/>
          </w:tcPr>
          <w:p w:rsidR="00A40D29" w:rsidRPr="00C326E3" w:rsidRDefault="00A40D29" w:rsidP="00C326E3">
            <w:pPr>
              <w:spacing w:line="276" w:lineRule="auto"/>
              <w:rPr>
                <w:rFonts w:eastAsia="Times New Roman" w:cs="Times New Roman"/>
                <w:color w:val="000000"/>
                <w:szCs w:val="24"/>
                <w:lang w:eastAsia="en-GB"/>
              </w:rPr>
            </w:pPr>
            <w:r w:rsidRPr="00C326E3">
              <w:rPr>
                <w:rFonts w:eastAsia="Times New Roman" w:cs="Times New Roman"/>
                <w:color w:val="000000"/>
                <w:szCs w:val="24"/>
                <w:lang w:eastAsia="en-GB"/>
              </w:rPr>
              <w:t>1,44</w:t>
            </w:r>
          </w:p>
        </w:tc>
      </w:tr>
      <w:tr w:rsidR="00A40D29" w:rsidRPr="00C326E3" w:rsidTr="002107D0">
        <w:trPr>
          <w:trHeight w:val="300"/>
          <w:jc w:val="center"/>
        </w:trPr>
        <w:tc>
          <w:tcPr>
            <w:tcW w:w="3547" w:type="dxa"/>
            <w:tcBorders>
              <w:top w:val="nil"/>
              <w:left w:val="single" w:sz="4" w:space="0" w:color="auto"/>
              <w:bottom w:val="single" w:sz="4" w:space="0" w:color="auto"/>
              <w:right w:val="single" w:sz="4" w:space="0" w:color="auto"/>
            </w:tcBorders>
            <w:shd w:val="clear" w:color="auto" w:fill="auto"/>
            <w:noWrap/>
            <w:vAlign w:val="center"/>
            <w:hideMark/>
          </w:tcPr>
          <w:p w:rsidR="00A40D29" w:rsidRPr="00C326E3" w:rsidRDefault="00712DB3" w:rsidP="00C326E3">
            <w:pPr>
              <w:spacing w:line="276" w:lineRule="auto"/>
              <w:rPr>
                <w:rFonts w:eastAsia="Times New Roman" w:cs="Times New Roman"/>
                <w:color w:val="000000"/>
                <w:szCs w:val="24"/>
                <w:lang w:eastAsia="en-GB"/>
              </w:rPr>
            </w:pPr>
            <w:r w:rsidRPr="00C326E3">
              <w:rPr>
                <w:rFonts w:eastAsia="Times New Roman" w:cs="Times New Roman"/>
                <w:color w:val="000000"/>
                <w:szCs w:val="24"/>
                <w:lang w:eastAsia="en-GB"/>
              </w:rPr>
              <w:t>Median</w:t>
            </w:r>
            <w:r w:rsidR="00A40D29" w:rsidRPr="00C326E3">
              <w:rPr>
                <w:rFonts w:eastAsia="Times New Roman" w:cs="Times New Roman"/>
                <w:color w:val="000000"/>
                <w:szCs w:val="24"/>
                <w:lang w:eastAsia="en-GB"/>
              </w:rPr>
              <w:t xml:space="preserve"> IPO</w:t>
            </w:r>
          </w:p>
        </w:tc>
        <w:tc>
          <w:tcPr>
            <w:tcW w:w="1880" w:type="dxa"/>
            <w:tcBorders>
              <w:top w:val="nil"/>
              <w:left w:val="nil"/>
              <w:bottom w:val="single" w:sz="4" w:space="0" w:color="auto"/>
              <w:right w:val="single" w:sz="4" w:space="0" w:color="auto"/>
            </w:tcBorders>
            <w:shd w:val="clear" w:color="auto" w:fill="auto"/>
            <w:noWrap/>
            <w:vAlign w:val="center"/>
            <w:hideMark/>
          </w:tcPr>
          <w:p w:rsidR="00A40D29" w:rsidRPr="00C326E3" w:rsidRDefault="00A40D29" w:rsidP="00C326E3">
            <w:pPr>
              <w:spacing w:line="276" w:lineRule="auto"/>
              <w:rPr>
                <w:rFonts w:eastAsia="Times New Roman" w:cs="Times New Roman"/>
                <w:color w:val="000000"/>
                <w:szCs w:val="24"/>
                <w:lang w:eastAsia="en-GB"/>
              </w:rPr>
            </w:pPr>
            <w:r w:rsidRPr="00C326E3">
              <w:rPr>
                <w:rFonts w:eastAsia="Times New Roman" w:cs="Times New Roman"/>
                <w:color w:val="000000"/>
                <w:szCs w:val="24"/>
                <w:lang w:eastAsia="en-GB"/>
              </w:rPr>
              <w:t>3,80%</w:t>
            </w:r>
          </w:p>
        </w:tc>
        <w:tc>
          <w:tcPr>
            <w:tcW w:w="1966" w:type="dxa"/>
            <w:tcBorders>
              <w:top w:val="nil"/>
              <w:left w:val="nil"/>
              <w:bottom w:val="single" w:sz="4" w:space="0" w:color="auto"/>
              <w:right w:val="single" w:sz="4" w:space="0" w:color="auto"/>
            </w:tcBorders>
            <w:shd w:val="clear" w:color="auto" w:fill="auto"/>
            <w:noWrap/>
            <w:vAlign w:val="center"/>
            <w:hideMark/>
          </w:tcPr>
          <w:p w:rsidR="00A40D29" w:rsidRPr="00C326E3" w:rsidRDefault="00A40D29" w:rsidP="00C326E3">
            <w:pPr>
              <w:spacing w:line="276" w:lineRule="auto"/>
              <w:rPr>
                <w:rFonts w:eastAsia="Times New Roman" w:cs="Times New Roman"/>
                <w:color w:val="000000"/>
                <w:szCs w:val="24"/>
                <w:lang w:eastAsia="en-GB"/>
              </w:rPr>
            </w:pPr>
            <w:r w:rsidRPr="00C326E3">
              <w:rPr>
                <w:rFonts w:eastAsia="Times New Roman" w:cs="Times New Roman"/>
                <w:color w:val="000000"/>
                <w:szCs w:val="24"/>
                <w:lang w:eastAsia="en-GB"/>
              </w:rPr>
              <w:t>2,87%</w:t>
            </w:r>
          </w:p>
        </w:tc>
      </w:tr>
      <w:tr w:rsidR="00A40D29" w:rsidRPr="00C326E3" w:rsidTr="002107D0">
        <w:trPr>
          <w:trHeight w:val="300"/>
          <w:jc w:val="center"/>
        </w:trPr>
        <w:tc>
          <w:tcPr>
            <w:tcW w:w="3547" w:type="dxa"/>
            <w:tcBorders>
              <w:top w:val="nil"/>
              <w:left w:val="single" w:sz="4" w:space="0" w:color="auto"/>
              <w:bottom w:val="single" w:sz="4" w:space="0" w:color="auto"/>
              <w:right w:val="single" w:sz="4" w:space="0" w:color="auto"/>
            </w:tcBorders>
            <w:shd w:val="clear" w:color="auto" w:fill="auto"/>
            <w:noWrap/>
            <w:vAlign w:val="center"/>
            <w:hideMark/>
          </w:tcPr>
          <w:p w:rsidR="00A40D29" w:rsidRPr="00C326E3" w:rsidRDefault="00712DB3" w:rsidP="00C326E3">
            <w:pPr>
              <w:spacing w:line="276" w:lineRule="auto"/>
              <w:rPr>
                <w:rFonts w:eastAsia="Times New Roman" w:cs="Times New Roman"/>
                <w:color w:val="000000"/>
                <w:szCs w:val="24"/>
                <w:lang w:val="en-GB" w:eastAsia="en-GB"/>
              </w:rPr>
            </w:pPr>
            <w:r w:rsidRPr="00C326E3">
              <w:rPr>
                <w:rFonts w:eastAsia="Times New Roman" w:cs="Times New Roman"/>
                <w:color w:val="000000"/>
                <w:szCs w:val="24"/>
                <w:lang w:val="en-GB" w:eastAsia="en-GB"/>
              </w:rPr>
              <w:t>Median of</w:t>
            </w:r>
            <w:r w:rsidR="00A40D29" w:rsidRPr="00C326E3">
              <w:rPr>
                <w:rFonts w:eastAsia="Times New Roman" w:cs="Times New Roman"/>
                <w:color w:val="000000"/>
                <w:szCs w:val="24"/>
                <w:lang w:val="en-GB" w:eastAsia="en-GB"/>
              </w:rPr>
              <w:t xml:space="preserve"> PE</w:t>
            </w:r>
            <w:r w:rsidRPr="00C326E3">
              <w:rPr>
                <w:rFonts w:eastAsia="Times New Roman" w:cs="Times New Roman"/>
                <w:color w:val="000000"/>
                <w:szCs w:val="24"/>
                <w:lang w:val="en-GB" w:eastAsia="en-GB"/>
              </w:rPr>
              <w:t xml:space="preserve"> backed</w:t>
            </w:r>
            <w:r w:rsidR="00A40D29" w:rsidRPr="00C326E3">
              <w:rPr>
                <w:rFonts w:eastAsia="Times New Roman" w:cs="Times New Roman"/>
                <w:color w:val="000000"/>
                <w:szCs w:val="24"/>
                <w:lang w:val="en-GB" w:eastAsia="en-GB"/>
              </w:rPr>
              <w:t xml:space="preserve"> IPO</w:t>
            </w:r>
          </w:p>
        </w:tc>
        <w:tc>
          <w:tcPr>
            <w:tcW w:w="1880" w:type="dxa"/>
            <w:tcBorders>
              <w:top w:val="nil"/>
              <w:left w:val="nil"/>
              <w:bottom w:val="single" w:sz="4" w:space="0" w:color="auto"/>
              <w:right w:val="single" w:sz="4" w:space="0" w:color="auto"/>
            </w:tcBorders>
            <w:shd w:val="clear" w:color="auto" w:fill="auto"/>
            <w:noWrap/>
            <w:vAlign w:val="center"/>
            <w:hideMark/>
          </w:tcPr>
          <w:p w:rsidR="00A40D29" w:rsidRPr="00C326E3" w:rsidRDefault="00A40D29" w:rsidP="00C326E3">
            <w:pPr>
              <w:spacing w:line="276" w:lineRule="auto"/>
              <w:rPr>
                <w:rFonts w:eastAsia="Times New Roman" w:cs="Times New Roman"/>
                <w:color w:val="000000"/>
                <w:szCs w:val="24"/>
                <w:lang w:eastAsia="en-GB"/>
              </w:rPr>
            </w:pPr>
            <w:r w:rsidRPr="00C326E3">
              <w:rPr>
                <w:rFonts w:eastAsia="Times New Roman" w:cs="Times New Roman"/>
                <w:color w:val="000000"/>
                <w:szCs w:val="24"/>
                <w:lang w:eastAsia="en-GB"/>
              </w:rPr>
              <w:t>4,70%</w:t>
            </w:r>
          </w:p>
        </w:tc>
        <w:tc>
          <w:tcPr>
            <w:tcW w:w="1966" w:type="dxa"/>
            <w:tcBorders>
              <w:top w:val="nil"/>
              <w:left w:val="nil"/>
              <w:bottom w:val="single" w:sz="4" w:space="0" w:color="auto"/>
              <w:right w:val="single" w:sz="4" w:space="0" w:color="auto"/>
            </w:tcBorders>
            <w:shd w:val="clear" w:color="auto" w:fill="auto"/>
            <w:noWrap/>
            <w:vAlign w:val="center"/>
            <w:hideMark/>
          </w:tcPr>
          <w:p w:rsidR="00A40D29" w:rsidRPr="00C326E3" w:rsidRDefault="00A40D29" w:rsidP="00C326E3">
            <w:pPr>
              <w:spacing w:line="276" w:lineRule="auto"/>
              <w:rPr>
                <w:rFonts w:eastAsia="Times New Roman" w:cs="Times New Roman"/>
                <w:color w:val="000000"/>
                <w:szCs w:val="24"/>
                <w:lang w:eastAsia="en-GB"/>
              </w:rPr>
            </w:pPr>
            <w:r w:rsidRPr="00C326E3">
              <w:rPr>
                <w:rFonts w:eastAsia="Times New Roman" w:cs="Times New Roman"/>
                <w:color w:val="000000"/>
                <w:szCs w:val="24"/>
                <w:lang w:eastAsia="en-GB"/>
              </w:rPr>
              <w:t>4,76%</w:t>
            </w:r>
          </w:p>
        </w:tc>
      </w:tr>
      <w:tr w:rsidR="00A40D29" w:rsidRPr="00C326E3" w:rsidTr="002107D0">
        <w:trPr>
          <w:trHeight w:val="300"/>
          <w:jc w:val="center"/>
        </w:trPr>
        <w:tc>
          <w:tcPr>
            <w:tcW w:w="3547" w:type="dxa"/>
            <w:tcBorders>
              <w:top w:val="nil"/>
              <w:left w:val="single" w:sz="4" w:space="0" w:color="auto"/>
              <w:bottom w:val="single" w:sz="4" w:space="0" w:color="auto"/>
              <w:right w:val="single" w:sz="4" w:space="0" w:color="auto"/>
            </w:tcBorders>
            <w:shd w:val="clear" w:color="auto" w:fill="auto"/>
            <w:noWrap/>
            <w:vAlign w:val="center"/>
            <w:hideMark/>
          </w:tcPr>
          <w:p w:rsidR="00A40D29" w:rsidRPr="00C326E3" w:rsidRDefault="00712DB3" w:rsidP="00C326E3">
            <w:pPr>
              <w:spacing w:line="276" w:lineRule="auto"/>
              <w:rPr>
                <w:rFonts w:eastAsia="Times New Roman" w:cs="Times New Roman"/>
                <w:color w:val="000000"/>
                <w:szCs w:val="24"/>
                <w:lang w:eastAsia="en-GB"/>
              </w:rPr>
            </w:pPr>
            <w:r w:rsidRPr="00C326E3">
              <w:rPr>
                <w:rFonts w:eastAsia="Times New Roman" w:cs="Times New Roman"/>
                <w:color w:val="000000"/>
                <w:szCs w:val="24"/>
                <w:lang w:eastAsia="en-GB"/>
              </w:rPr>
              <w:t xml:space="preserve">Standard </w:t>
            </w:r>
            <w:proofErr w:type="spellStart"/>
            <w:r w:rsidRPr="00C326E3">
              <w:rPr>
                <w:rFonts w:eastAsia="Times New Roman" w:cs="Times New Roman"/>
                <w:color w:val="000000"/>
                <w:szCs w:val="24"/>
                <w:lang w:eastAsia="en-GB"/>
              </w:rPr>
              <w:t>deviation</w:t>
            </w:r>
            <w:proofErr w:type="spellEnd"/>
            <w:r w:rsidRPr="00C326E3">
              <w:rPr>
                <w:rFonts w:eastAsia="Times New Roman" w:cs="Times New Roman"/>
                <w:color w:val="000000"/>
                <w:szCs w:val="24"/>
                <w:lang w:eastAsia="en-GB"/>
              </w:rPr>
              <w:t xml:space="preserve"> of </w:t>
            </w:r>
            <w:r w:rsidR="00A40D29" w:rsidRPr="00C326E3">
              <w:rPr>
                <w:rFonts w:eastAsia="Times New Roman" w:cs="Times New Roman"/>
                <w:color w:val="000000"/>
                <w:szCs w:val="24"/>
                <w:lang w:eastAsia="en-GB"/>
              </w:rPr>
              <w:t>IPO</w:t>
            </w:r>
          </w:p>
        </w:tc>
        <w:tc>
          <w:tcPr>
            <w:tcW w:w="1880" w:type="dxa"/>
            <w:tcBorders>
              <w:top w:val="nil"/>
              <w:left w:val="nil"/>
              <w:bottom w:val="single" w:sz="4" w:space="0" w:color="auto"/>
              <w:right w:val="single" w:sz="4" w:space="0" w:color="auto"/>
            </w:tcBorders>
            <w:shd w:val="clear" w:color="auto" w:fill="auto"/>
            <w:noWrap/>
            <w:vAlign w:val="center"/>
            <w:hideMark/>
          </w:tcPr>
          <w:p w:rsidR="00A40D29" w:rsidRPr="00C326E3" w:rsidRDefault="00A40D29" w:rsidP="00C326E3">
            <w:pPr>
              <w:spacing w:line="276" w:lineRule="auto"/>
              <w:rPr>
                <w:rFonts w:eastAsia="Times New Roman" w:cs="Times New Roman"/>
                <w:color w:val="000000"/>
                <w:szCs w:val="24"/>
                <w:lang w:eastAsia="en-GB"/>
              </w:rPr>
            </w:pPr>
            <w:r w:rsidRPr="00C326E3">
              <w:rPr>
                <w:rFonts w:eastAsia="Times New Roman" w:cs="Times New Roman"/>
                <w:color w:val="000000"/>
                <w:szCs w:val="24"/>
                <w:lang w:eastAsia="en-GB"/>
              </w:rPr>
              <w:t>32,90%</w:t>
            </w:r>
          </w:p>
        </w:tc>
        <w:tc>
          <w:tcPr>
            <w:tcW w:w="1966" w:type="dxa"/>
            <w:tcBorders>
              <w:top w:val="nil"/>
              <w:left w:val="nil"/>
              <w:bottom w:val="single" w:sz="4" w:space="0" w:color="auto"/>
              <w:right w:val="single" w:sz="4" w:space="0" w:color="auto"/>
            </w:tcBorders>
            <w:shd w:val="clear" w:color="auto" w:fill="auto"/>
            <w:noWrap/>
            <w:vAlign w:val="center"/>
            <w:hideMark/>
          </w:tcPr>
          <w:p w:rsidR="00A40D29" w:rsidRPr="00C326E3" w:rsidRDefault="00A40D29" w:rsidP="00C326E3">
            <w:pPr>
              <w:spacing w:line="276" w:lineRule="auto"/>
              <w:rPr>
                <w:rFonts w:eastAsia="Times New Roman" w:cs="Times New Roman"/>
                <w:color w:val="000000"/>
                <w:szCs w:val="24"/>
                <w:lang w:eastAsia="en-GB"/>
              </w:rPr>
            </w:pPr>
            <w:r w:rsidRPr="00C326E3">
              <w:rPr>
                <w:rFonts w:eastAsia="Times New Roman" w:cs="Times New Roman"/>
                <w:color w:val="000000"/>
                <w:szCs w:val="24"/>
                <w:lang w:eastAsia="en-GB"/>
              </w:rPr>
              <w:t>18,51%</w:t>
            </w:r>
          </w:p>
        </w:tc>
      </w:tr>
      <w:tr w:rsidR="00A40D29" w:rsidRPr="00C326E3" w:rsidTr="002107D0">
        <w:trPr>
          <w:trHeight w:val="300"/>
          <w:jc w:val="center"/>
        </w:trPr>
        <w:tc>
          <w:tcPr>
            <w:tcW w:w="3547" w:type="dxa"/>
            <w:tcBorders>
              <w:top w:val="nil"/>
              <w:left w:val="single" w:sz="4" w:space="0" w:color="auto"/>
              <w:bottom w:val="single" w:sz="4" w:space="0" w:color="auto"/>
              <w:right w:val="single" w:sz="4" w:space="0" w:color="auto"/>
            </w:tcBorders>
            <w:shd w:val="clear" w:color="auto" w:fill="auto"/>
            <w:noWrap/>
            <w:vAlign w:val="center"/>
            <w:hideMark/>
          </w:tcPr>
          <w:p w:rsidR="00A40D29" w:rsidRPr="00C326E3" w:rsidRDefault="00712DB3" w:rsidP="00C326E3">
            <w:pPr>
              <w:spacing w:line="276" w:lineRule="auto"/>
              <w:rPr>
                <w:rFonts w:eastAsia="Times New Roman" w:cs="Times New Roman"/>
                <w:color w:val="000000"/>
                <w:szCs w:val="24"/>
                <w:lang w:val="en-GB" w:eastAsia="en-GB"/>
              </w:rPr>
            </w:pPr>
            <w:r w:rsidRPr="00C326E3">
              <w:rPr>
                <w:rFonts w:eastAsia="Times New Roman" w:cs="Times New Roman"/>
                <w:color w:val="000000"/>
                <w:szCs w:val="24"/>
                <w:lang w:val="en-GB" w:eastAsia="en-GB"/>
              </w:rPr>
              <w:t>Standard deviation of</w:t>
            </w:r>
            <w:r w:rsidR="00A40D29" w:rsidRPr="00C326E3">
              <w:rPr>
                <w:rFonts w:eastAsia="Times New Roman" w:cs="Times New Roman"/>
                <w:color w:val="000000"/>
                <w:szCs w:val="24"/>
                <w:lang w:val="en-GB" w:eastAsia="en-GB"/>
              </w:rPr>
              <w:t xml:space="preserve"> PE</w:t>
            </w:r>
            <w:r w:rsidRPr="00C326E3">
              <w:rPr>
                <w:rFonts w:eastAsia="Times New Roman" w:cs="Times New Roman"/>
                <w:color w:val="000000"/>
                <w:szCs w:val="24"/>
                <w:lang w:val="en-GB" w:eastAsia="en-GB"/>
              </w:rPr>
              <w:t xml:space="preserve"> backed</w:t>
            </w:r>
            <w:r w:rsidR="00A40D29" w:rsidRPr="00C326E3">
              <w:rPr>
                <w:rFonts w:eastAsia="Times New Roman" w:cs="Times New Roman"/>
                <w:color w:val="000000"/>
                <w:szCs w:val="24"/>
                <w:lang w:val="en-GB" w:eastAsia="en-GB"/>
              </w:rPr>
              <w:t xml:space="preserve"> IPO</w:t>
            </w:r>
          </w:p>
        </w:tc>
        <w:tc>
          <w:tcPr>
            <w:tcW w:w="1880" w:type="dxa"/>
            <w:tcBorders>
              <w:top w:val="nil"/>
              <w:left w:val="nil"/>
              <w:bottom w:val="single" w:sz="4" w:space="0" w:color="auto"/>
              <w:right w:val="single" w:sz="4" w:space="0" w:color="auto"/>
            </w:tcBorders>
            <w:shd w:val="clear" w:color="auto" w:fill="auto"/>
            <w:noWrap/>
            <w:vAlign w:val="center"/>
            <w:hideMark/>
          </w:tcPr>
          <w:p w:rsidR="00A40D29" w:rsidRPr="00C326E3" w:rsidRDefault="00A40D29" w:rsidP="00C326E3">
            <w:pPr>
              <w:spacing w:line="276" w:lineRule="auto"/>
              <w:rPr>
                <w:rFonts w:eastAsia="Times New Roman" w:cs="Times New Roman"/>
                <w:color w:val="000000"/>
                <w:szCs w:val="24"/>
                <w:lang w:eastAsia="en-GB"/>
              </w:rPr>
            </w:pPr>
            <w:r w:rsidRPr="00C326E3">
              <w:rPr>
                <w:rFonts w:eastAsia="Times New Roman" w:cs="Times New Roman"/>
                <w:color w:val="000000"/>
                <w:szCs w:val="24"/>
                <w:lang w:eastAsia="en-GB"/>
              </w:rPr>
              <w:t>16,88%</w:t>
            </w:r>
          </w:p>
        </w:tc>
        <w:tc>
          <w:tcPr>
            <w:tcW w:w="1966" w:type="dxa"/>
            <w:tcBorders>
              <w:top w:val="nil"/>
              <w:left w:val="nil"/>
              <w:bottom w:val="single" w:sz="4" w:space="0" w:color="auto"/>
              <w:right w:val="single" w:sz="4" w:space="0" w:color="auto"/>
            </w:tcBorders>
            <w:shd w:val="clear" w:color="auto" w:fill="auto"/>
            <w:noWrap/>
            <w:vAlign w:val="center"/>
            <w:hideMark/>
          </w:tcPr>
          <w:p w:rsidR="00A40D29" w:rsidRPr="00C326E3" w:rsidRDefault="00A40D29" w:rsidP="00C326E3">
            <w:pPr>
              <w:spacing w:line="276" w:lineRule="auto"/>
              <w:rPr>
                <w:rFonts w:eastAsia="Times New Roman" w:cs="Times New Roman"/>
                <w:color w:val="000000"/>
                <w:szCs w:val="24"/>
                <w:lang w:eastAsia="en-GB"/>
              </w:rPr>
            </w:pPr>
            <w:r w:rsidRPr="00C326E3">
              <w:rPr>
                <w:rFonts w:eastAsia="Times New Roman" w:cs="Times New Roman"/>
                <w:color w:val="000000"/>
                <w:szCs w:val="24"/>
                <w:lang w:eastAsia="en-GB"/>
              </w:rPr>
              <w:t>12,24%</w:t>
            </w:r>
          </w:p>
        </w:tc>
      </w:tr>
    </w:tbl>
    <w:p w:rsidR="00A40D29" w:rsidRPr="00C326E3" w:rsidRDefault="00A40D29" w:rsidP="00C326E3">
      <w:pPr>
        <w:pStyle w:val="HTML-wstpniesformatowany"/>
        <w:spacing w:line="276" w:lineRule="auto"/>
        <w:jc w:val="both"/>
        <w:rPr>
          <w:rFonts w:ascii="Times New Roman" w:hAnsi="Times New Roman" w:cs="Times New Roman"/>
          <w:sz w:val="24"/>
          <w:szCs w:val="24"/>
        </w:rPr>
      </w:pPr>
      <w:r w:rsidRPr="00C326E3">
        <w:rPr>
          <w:rFonts w:ascii="Times New Roman" w:hAnsi="Times New Roman" w:cs="Times New Roman"/>
          <w:sz w:val="24"/>
          <w:szCs w:val="24"/>
          <w:lang w:val="en"/>
        </w:rPr>
        <w:t>Source: own calculations</w:t>
      </w:r>
    </w:p>
    <w:p w:rsidR="00A40D29" w:rsidRPr="00C326E3" w:rsidRDefault="00A40D29" w:rsidP="00C326E3">
      <w:pPr>
        <w:pStyle w:val="HTML-wstpniesformatowany"/>
        <w:spacing w:line="276" w:lineRule="auto"/>
        <w:jc w:val="both"/>
        <w:rPr>
          <w:rFonts w:ascii="Times New Roman" w:hAnsi="Times New Roman" w:cs="Times New Roman"/>
          <w:sz w:val="24"/>
          <w:szCs w:val="24"/>
        </w:rPr>
      </w:pPr>
    </w:p>
    <w:p w:rsidR="00A40D29" w:rsidRPr="00C326E3" w:rsidRDefault="00A40D29" w:rsidP="00C326E3">
      <w:pPr>
        <w:pStyle w:val="HTML-wstpniesformatowany"/>
        <w:spacing w:line="276" w:lineRule="auto"/>
        <w:jc w:val="both"/>
        <w:rPr>
          <w:rFonts w:ascii="Times New Roman" w:hAnsi="Times New Roman" w:cs="Times New Roman"/>
          <w:sz w:val="24"/>
          <w:szCs w:val="24"/>
        </w:rPr>
      </w:pPr>
    </w:p>
    <w:p w:rsidR="00A40D29" w:rsidRPr="00C326E3" w:rsidRDefault="00A40D29" w:rsidP="00C326E3">
      <w:pPr>
        <w:pStyle w:val="HTML-wstpniesformatowany"/>
        <w:spacing w:line="276" w:lineRule="auto"/>
        <w:jc w:val="both"/>
        <w:rPr>
          <w:rFonts w:ascii="Times New Roman" w:hAnsi="Times New Roman" w:cs="Times New Roman"/>
          <w:sz w:val="24"/>
          <w:szCs w:val="24"/>
          <w:lang w:val="en"/>
        </w:rPr>
      </w:pPr>
      <w:r w:rsidRPr="00C326E3">
        <w:rPr>
          <w:rFonts w:ascii="Times New Roman" w:hAnsi="Times New Roman" w:cs="Times New Roman"/>
          <w:sz w:val="24"/>
          <w:szCs w:val="24"/>
          <w:lang w:val="en"/>
        </w:rPr>
        <w:t xml:space="preserve">When analyzing the rate of return on the first day of trading after the IPO, it should be stated that in the period under review the level of underestimation of IPO is relatively high and amounted to 9.99% for the period 2000-2018. In the studies conducted so far to include the Warsaw Stock Exchange, the level of underestimation was much lower (7.3% for all IPOs and 8.24 for IPOs of companies supplied with PE funds). For the period 2003-2011 R. </w:t>
      </w:r>
      <w:proofErr w:type="spellStart"/>
      <w:r w:rsidRPr="00C326E3">
        <w:rPr>
          <w:rFonts w:ascii="Times New Roman" w:hAnsi="Times New Roman" w:cs="Times New Roman"/>
          <w:sz w:val="24"/>
          <w:szCs w:val="24"/>
          <w:lang w:val="en"/>
        </w:rPr>
        <w:t>Sieradzki</w:t>
      </w:r>
      <w:proofErr w:type="spellEnd"/>
      <w:r w:rsidRPr="00C326E3">
        <w:rPr>
          <w:rFonts w:ascii="Times New Roman" w:hAnsi="Times New Roman" w:cs="Times New Roman"/>
          <w:sz w:val="24"/>
          <w:szCs w:val="24"/>
          <w:lang w:val="en"/>
        </w:rPr>
        <w:t xml:space="preserve"> stated that it was 14.2%. . For the period 1991-2005 D. </w:t>
      </w:r>
      <w:proofErr w:type="spellStart"/>
      <w:r w:rsidRPr="00C326E3">
        <w:rPr>
          <w:rFonts w:ascii="Times New Roman" w:hAnsi="Times New Roman" w:cs="Times New Roman"/>
          <w:sz w:val="24"/>
          <w:szCs w:val="24"/>
          <w:lang w:val="en"/>
        </w:rPr>
        <w:t>Sukacz</w:t>
      </w:r>
      <w:proofErr w:type="spellEnd"/>
      <w:r w:rsidRPr="00C326E3">
        <w:rPr>
          <w:rFonts w:ascii="Times New Roman" w:hAnsi="Times New Roman" w:cs="Times New Roman"/>
          <w:sz w:val="24"/>
          <w:szCs w:val="24"/>
          <w:lang w:val="en"/>
        </w:rPr>
        <w:t xml:space="preserve"> confirmed the underestimation at 26%. It should be emphasized that companies powered by PE funds achieved a lower level of underestimation of IPO for a wide range for 2000-2018, which in the analyzed period amounted to 9.12%. Additionally, it can be stated that at a lower level of underestimation, </w:t>
      </w:r>
      <w:r w:rsidRPr="00C326E3">
        <w:rPr>
          <w:rFonts w:ascii="Times New Roman" w:hAnsi="Times New Roman" w:cs="Times New Roman"/>
          <w:sz w:val="24"/>
          <w:szCs w:val="24"/>
          <w:lang w:val="en"/>
        </w:rPr>
        <w:lastRenderedPageBreak/>
        <w:t>companies not powered by PE funds have lower kurtosis (8.38 vs. 9.50) and standard deviation compared to companies supported by these funds (16.88 vs. 32.9%). It should also be noted that the skewness of results for companies powered by PE funds is only 2.54 and for the broad market of IPO transactions it is as much as 7.95. The interpretation of this result indicates that the behavior of rates of return on the first day of trading is completely different. The direction for further research should be the analysis of the long-term level of underestimation of IPO in such periods as: 3 months, 6 months, 12 months and 1 year. A possible further direction of research is the analysis of the level of underestimation of IPO transactions in the CEE region and a comparison of trends on this market with those on developed stock markets such as the USA and Great Britain.</w:t>
      </w:r>
    </w:p>
    <w:p w:rsidR="00A40D29" w:rsidRPr="00C326E3" w:rsidRDefault="00A40D29" w:rsidP="00C326E3">
      <w:pPr>
        <w:pStyle w:val="HTML-wstpniesformatowany"/>
        <w:spacing w:line="276" w:lineRule="auto"/>
        <w:jc w:val="both"/>
        <w:rPr>
          <w:rFonts w:ascii="Times New Roman" w:hAnsi="Times New Roman" w:cs="Times New Roman"/>
          <w:sz w:val="24"/>
          <w:szCs w:val="24"/>
          <w:lang w:val="en"/>
        </w:rPr>
      </w:pPr>
    </w:p>
    <w:p w:rsidR="00A40D29" w:rsidRPr="00C326E3" w:rsidRDefault="00A40D29" w:rsidP="00C326E3">
      <w:pPr>
        <w:pStyle w:val="HTML-wstpniesformatowany"/>
        <w:spacing w:line="276" w:lineRule="auto"/>
        <w:jc w:val="both"/>
        <w:rPr>
          <w:rFonts w:ascii="Times New Roman" w:hAnsi="Times New Roman" w:cs="Times New Roman"/>
          <w:sz w:val="24"/>
          <w:szCs w:val="24"/>
          <w:lang w:val="en"/>
        </w:rPr>
      </w:pPr>
    </w:p>
    <w:p w:rsidR="00A40D29" w:rsidRPr="00C326E3" w:rsidRDefault="00A40D29" w:rsidP="00C326E3">
      <w:pPr>
        <w:pStyle w:val="HTML-wstpniesformatowany"/>
        <w:spacing w:line="276" w:lineRule="auto"/>
        <w:jc w:val="both"/>
        <w:rPr>
          <w:rFonts w:ascii="Times New Roman" w:hAnsi="Times New Roman" w:cs="Times New Roman"/>
          <w:sz w:val="24"/>
          <w:szCs w:val="24"/>
          <w:lang w:val="en"/>
        </w:rPr>
      </w:pPr>
      <w:r w:rsidRPr="00C326E3">
        <w:rPr>
          <w:rFonts w:ascii="Times New Roman" w:hAnsi="Times New Roman" w:cs="Times New Roman"/>
          <w:sz w:val="24"/>
          <w:szCs w:val="24"/>
          <w:lang w:val="en"/>
        </w:rPr>
        <w:t>Summary</w:t>
      </w:r>
    </w:p>
    <w:p w:rsidR="00A40D29" w:rsidRPr="00C326E3" w:rsidRDefault="00A40D29" w:rsidP="00C326E3">
      <w:pPr>
        <w:pStyle w:val="HTML-wstpniesformatowany"/>
        <w:spacing w:line="276" w:lineRule="auto"/>
        <w:jc w:val="both"/>
        <w:rPr>
          <w:rFonts w:ascii="Times New Roman" w:hAnsi="Times New Roman" w:cs="Times New Roman"/>
          <w:sz w:val="24"/>
          <w:szCs w:val="24"/>
          <w:lang w:val="en"/>
        </w:rPr>
      </w:pPr>
    </w:p>
    <w:p w:rsidR="00A40D29" w:rsidRPr="00C326E3" w:rsidRDefault="00A40D29" w:rsidP="00C326E3">
      <w:pPr>
        <w:pStyle w:val="HTML-wstpniesformatowany"/>
        <w:spacing w:line="276" w:lineRule="auto"/>
        <w:jc w:val="both"/>
        <w:rPr>
          <w:rFonts w:ascii="Times New Roman" w:hAnsi="Times New Roman" w:cs="Times New Roman"/>
          <w:sz w:val="24"/>
          <w:szCs w:val="24"/>
        </w:rPr>
      </w:pPr>
      <w:r w:rsidRPr="00C326E3">
        <w:rPr>
          <w:rFonts w:ascii="Times New Roman" w:hAnsi="Times New Roman" w:cs="Times New Roman"/>
          <w:sz w:val="24"/>
          <w:szCs w:val="24"/>
          <w:lang w:val="en"/>
        </w:rPr>
        <w:t>The correct execution of an IPO transaction for a company powered by PE funds is a necessary phase in the investment cycle supporting the termination of the fund's involvement in a portfolio company. Research on the level of IPO underestimation of these companies carried out on the Polish market is quite rare. This article fills this research gap. After analyzing the stock market data on IPOs, it should be stated that in the audited period the underestimation achieved by companies powered by PE funds is higher than that of other companies, which is in line with trends existing on other global capital markets.</w:t>
      </w:r>
    </w:p>
    <w:p w:rsidR="00A40D29" w:rsidRDefault="00A40D29" w:rsidP="00CE67A6">
      <w:pPr>
        <w:pStyle w:val="HTML-wstpniesformatowany"/>
      </w:pPr>
    </w:p>
    <w:sectPr w:rsidR="00A40D29">
      <w:headerReference w:type="default" r:id="rId17"/>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A01" w:rsidRDefault="00557A01" w:rsidP="00E60C16">
      <w:pPr>
        <w:spacing w:line="240" w:lineRule="auto"/>
      </w:pPr>
      <w:r>
        <w:separator/>
      </w:r>
    </w:p>
  </w:endnote>
  <w:endnote w:type="continuationSeparator" w:id="0">
    <w:p w:rsidR="00557A01" w:rsidRDefault="00557A01" w:rsidP="00E60C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8070000" w:usb2="00000010" w:usb3="00000000" w:csb0="00020003" w:csb1="00000000"/>
  </w:font>
  <w:font w:name="SymbolMT">
    <w:altName w:val="Arial Unicode MS"/>
    <w:panose1 w:val="00000000000000000000"/>
    <w:charset w:val="88"/>
    <w:family w:val="auto"/>
    <w:notTrueType/>
    <w:pitch w:val="default"/>
    <w:sig w:usb0="00000000" w:usb1="08080000" w:usb2="00000010" w:usb3="00000000" w:csb0="00100000" w:csb1="00000000"/>
  </w:font>
  <w:font w:name="Cambria Math">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9012947"/>
      <w:docPartObj>
        <w:docPartGallery w:val="Page Numbers (Bottom of Page)"/>
        <w:docPartUnique/>
      </w:docPartObj>
    </w:sdtPr>
    <w:sdtEndPr/>
    <w:sdtContent>
      <w:p w:rsidR="00466CF9" w:rsidRDefault="00466CF9">
        <w:pPr>
          <w:pStyle w:val="Stopka"/>
          <w:jc w:val="center"/>
        </w:pPr>
        <w:r>
          <w:fldChar w:fldCharType="begin"/>
        </w:r>
        <w:r>
          <w:instrText>PAGE   \* MERGEFORMAT</w:instrText>
        </w:r>
        <w:r>
          <w:fldChar w:fldCharType="separate"/>
        </w:r>
        <w:r w:rsidR="00C326E3">
          <w:rPr>
            <w:noProof/>
          </w:rPr>
          <w:t>17</w:t>
        </w:r>
        <w:r>
          <w:fldChar w:fldCharType="end"/>
        </w:r>
      </w:p>
    </w:sdtContent>
  </w:sdt>
  <w:p w:rsidR="00466CF9" w:rsidRDefault="00466CF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A01" w:rsidRDefault="00557A01" w:rsidP="00E60C16">
      <w:pPr>
        <w:spacing w:line="240" w:lineRule="auto"/>
      </w:pPr>
      <w:r>
        <w:separator/>
      </w:r>
    </w:p>
  </w:footnote>
  <w:footnote w:type="continuationSeparator" w:id="0">
    <w:p w:rsidR="00557A01" w:rsidRDefault="00557A01" w:rsidP="00E60C16">
      <w:pPr>
        <w:spacing w:line="240" w:lineRule="auto"/>
      </w:pPr>
      <w:r>
        <w:continuationSeparator/>
      </w:r>
    </w:p>
  </w:footnote>
  <w:footnote w:id="1">
    <w:p w:rsidR="00F964BF" w:rsidRPr="00BF12A7" w:rsidRDefault="00F964BF" w:rsidP="00F964BF">
      <w:pPr>
        <w:pStyle w:val="Tekstprzypisudolnego"/>
        <w:rPr>
          <w:sz w:val="20"/>
          <w:szCs w:val="20"/>
        </w:rPr>
      </w:pPr>
      <w:r w:rsidRPr="00BF12A7">
        <w:rPr>
          <w:rStyle w:val="Odwoanieprzypisudolnego"/>
          <w:sz w:val="20"/>
          <w:szCs w:val="20"/>
        </w:rPr>
        <w:footnoteRef/>
      </w:r>
      <w:r w:rsidRPr="00BF12A7">
        <w:rPr>
          <w:sz w:val="20"/>
          <w:szCs w:val="20"/>
        </w:rPr>
        <w:t xml:space="preserve"> Dane GPW w Warszawie oraz Stowarzyszenia Inwestorów Kapitałowych w </w:t>
      </w:r>
      <w:proofErr w:type="spellStart"/>
      <w:r w:rsidRPr="00BF12A7">
        <w:rPr>
          <w:sz w:val="20"/>
          <w:szCs w:val="20"/>
        </w:rPr>
        <w:t>Polace</w:t>
      </w:r>
      <w:proofErr w:type="spellEnd"/>
      <w:r w:rsidRPr="00BF12A7">
        <w:rPr>
          <w:sz w:val="20"/>
          <w:szCs w:val="20"/>
        </w:rPr>
        <w:t xml:space="preserve"> (PSIK).</w:t>
      </w:r>
    </w:p>
  </w:footnote>
  <w:footnote w:id="2">
    <w:p w:rsidR="00F964BF" w:rsidRPr="00F964BF" w:rsidRDefault="00F964BF" w:rsidP="00F964BF">
      <w:pPr>
        <w:autoSpaceDE w:val="0"/>
        <w:autoSpaceDN w:val="0"/>
        <w:adjustRightInd w:val="0"/>
        <w:spacing w:line="240" w:lineRule="auto"/>
        <w:rPr>
          <w:rFonts w:cs="Times New Roman"/>
          <w:sz w:val="20"/>
          <w:szCs w:val="20"/>
          <w:lang w:val="en-GB"/>
        </w:rPr>
      </w:pPr>
      <w:r w:rsidRPr="008D55BD">
        <w:rPr>
          <w:rStyle w:val="Odwoanieprzypisudolnego"/>
          <w:rFonts w:cs="Times New Roman"/>
          <w:sz w:val="20"/>
          <w:szCs w:val="20"/>
        </w:rPr>
        <w:footnoteRef/>
      </w:r>
      <w:r w:rsidRPr="00F964BF">
        <w:rPr>
          <w:rFonts w:cs="Times New Roman"/>
          <w:sz w:val="20"/>
          <w:szCs w:val="20"/>
          <w:lang w:val="en-GB"/>
        </w:rPr>
        <w:t xml:space="preserve"> E.M  Miller, Risk, Uncertainty, and Divergence of Opinion, “Journal of </w:t>
      </w:r>
      <w:proofErr w:type="spellStart"/>
      <w:r w:rsidRPr="00F964BF">
        <w:rPr>
          <w:rFonts w:cs="Times New Roman"/>
          <w:sz w:val="20"/>
          <w:szCs w:val="20"/>
          <w:lang w:val="en-GB"/>
        </w:rPr>
        <w:t>Finance”,Vol</w:t>
      </w:r>
      <w:proofErr w:type="spellEnd"/>
      <w:r w:rsidRPr="00F964BF">
        <w:rPr>
          <w:rFonts w:cs="Times New Roman"/>
          <w:sz w:val="20"/>
          <w:szCs w:val="20"/>
          <w:lang w:val="en-GB"/>
        </w:rPr>
        <w:t>. 32(4), 1977, p. 1151.</w:t>
      </w:r>
    </w:p>
  </w:footnote>
  <w:footnote w:id="3">
    <w:p w:rsidR="00F964BF" w:rsidRPr="007E5FFC" w:rsidRDefault="00F964BF" w:rsidP="00F964BF">
      <w:pPr>
        <w:pStyle w:val="Tekstprzypisudolnego"/>
        <w:rPr>
          <w:rFonts w:cs="Times New Roman"/>
          <w:sz w:val="20"/>
          <w:szCs w:val="20"/>
          <w:lang w:val="en-GB"/>
        </w:rPr>
      </w:pPr>
      <w:r w:rsidRPr="007E5FFC">
        <w:rPr>
          <w:rStyle w:val="Odwoanieprzypisudolnego"/>
          <w:rFonts w:cs="Times New Roman"/>
          <w:sz w:val="20"/>
          <w:szCs w:val="20"/>
        </w:rPr>
        <w:footnoteRef/>
      </w:r>
      <w:r w:rsidRPr="00F964BF">
        <w:rPr>
          <w:rFonts w:cs="Times New Roman"/>
          <w:sz w:val="20"/>
          <w:szCs w:val="20"/>
          <w:lang w:val="en-GB"/>
        </w:rPr>
        <w:t xml:space="preserve"> H.E. Leland, H.E. D. H. Pyle, (1977) Informational Asymmetries, Financial Structure, and Financial Intermediation. Journal of Finance, 32, </w:t>
      </w:r>
      <w:r w:rsidRPr="00F964BF">
        <w:rPr>
          <w:rFonts w:cs="Times New Roman"/>
          <w:lang w:val="en-GB"/>
        </w:rPr>
        <w:t xml:space="preserve"> ss. </w:t>
      </w:r>
      <w:r w:rsidRPr="00F964BF">
        <w:rPr>
          <w:rFonts w:cs="Times New Roman"/>
          <w:sz w:val="20"/>
          <w:szCs w:val="20"/>
          <w:lang w:val="en-GB"/>
        </w:rPr>
        <w:t>371-387.</w:t>
      </w:r>
    </w:p>
  </w:footnote>
  <w:footnote w:id="4">
    <w:p w:rsidR="00F964BF" w:rsidRPr="007E5FFC" w:rsidRDefault="00F964BF" w:rsidP="00F964BF">
      <w:pPr>
        <w:pStyle w:val="NormalnyWeb"/>
        <w:rPr>
          <w:lang w:val="en-GB"/>
        </w:rPr>
      </w:pPr>
      <w:r w:rsidRPr="007E5FFC">
        <w:rPr>
          <w:rStyle w:val="Odwoanieprzypisudolnego"/>
          <w:sz w:val="20"/>
          <w:szCs w:val="20"/>
        </w:rPr>
        <w:footnoteRef/>
      </w:r>
      <w:r w:rsidRPr="00F964BF">
        <w:rPr>
          <w:sz w:val="20"/>
          <w:szCs w:val="20"/>
          <w:lang w:val="en-GB"/>
        </w:rPr>
        <w:t xml:space="preserve"> </w:t>
      </w:r>
      <w:proofErr w:type="spellStart"/>
      <w:r w:rsidRPr="00F964BF">
        <w:rPr>
          <w:iCs/>
          <w:sz w:val="20"/>
          <w:szCs w:val="20"/>
          <w:lang w:val="en-GB"/>
        </w:rPr>
        <w:t>C.Yung</w:t>
      </w:r>
      <w:proofErr w:type="spellEnd"/>
      <w:r w:rsidRPr="00F964BF">
        <w:rPr>
          <w:sz w:val="20"/>
          <w:szCs w:val="20"/>
          <w:lang w:val="en-GB"/>
        </w:rPr>
        <w:t xml:space="preserve">, J. F. </w:t>
      </w:r>
      <w:r w:rsidRPr="00F964BF">
        <w:rPr>
          <w:iCs/>
          <w:sz w:val="20"/>
          <w:szCs w:val="20"/>
          <w:lang w:val="en-GB"/>
        </w:rPr>
        <w:t xml:space="preserve"> </w:t>
      </w:r>
      <w:proofErr w:type="spellStart"/>
      <w:r w:rsidRPr="00F964BF">
        <w:rPr>
          <w:iCs/>
          <w:sz w:val="20"/>
          <w:szCs w:val="20"/>
          <w:lang w:val="en-GB"/>
        </w:rPr>
        <w:t>Zender</w:t>
      </w:r>
      <w:proofErr w:type="spellEnd"/>
      <w:r w:rsidRPr="00F964BF">
        <w:rPr>
          <w:sz w:val="20"/>
          <w:szCs w:val="20"/>
          <w:lang w:val="en-GB"/>
        </w:rPr>
        <w:t xml:space="preserve">, </w:t>
      </w:r>
      <w:hyperlink r:id="rId1" w:history="1">
        <w:r w:rsidRPr="00F964BF">
          <w:rPr>
            <w:rFonts w:cs="Times New Roman"/>
            <w:iCs/>
            <w:sz w:val="20"/>
            <w:szCs w:val="20"/>
            <w:lang w:val="en-GB" w:eastAsia="en-GB"/>
          </w:rPr>
          <w:t>Journal of Corporate Finance</w:t>
        </w:r>
      </w:hyperlink>
      <w:r w:rsidRPr="007E5FFC">
        <w:rPr>
          <w:rFonts w:cs="Times New Roman"/>
          <w:sz w:val="20"/>
          <w:szCs w:val="20"/>
          <w:lang w:val="en-GB" w:eastAsia="en-GB"/>
        </w:rPr>
        <w:t xml:space="preserve">, </w:t>
      </w:r>
      <w:r w:rsidRPr="00F964BF">
        <w:rPr>
          <w:sz w:val="20"/>
          <w:szCs w:val="20"/>
          <w:lang w:val="en-GB"/>
        </w:rPr>
        <w:t>2010, vol. 16, issue 3, ss. 320-332.</w:t>
      </w:r>
    </w:p>
  </w:footnote>
  <w:footnote w:id="5">
    <w:p w:rsidR="00F964BF" w:rsidRPr="00F964BF" w:rsidRDefault="00F964BF" w:rsidP="00F964BF">
      <w:pPr>
        <w:rPr>
          <w:rFonts w:eastAsia="Times New Roman" w:cs="Times New Roman"/>
          <w:sz w:val="20"/>
          <w:szCs w:val="20"/>
          <w:lang w:val="en-GB" w:eastAsia="en-GB"/>
        </w:rPr>
      </w:pPr>
      <w:r w:rsidRPr="00077632">
        <w:rPr>
          <w:rStyle w:val="Odwoanieprzypisudolnego"/>
          <w:rFonts w:cs="Times New Roman"/>
          <w:sz w:val="20"/>
          <w:szCs w:val="20"/>
        </w:rPr>
        <w:footnoteRef/>
      </w:r>
      <w:r w:rsidRPr="00F964BF">
        <w:rPr>
          <w:rFonts w:cs="Times New Roman"/>
          <w:sz w:val="20"/>
          <w:szCs w:val="20"/>
          <w:lang w:val="en-GB"/>
        </w:rPr>
        <w:t xml:space="preserve"> </w:t>
      </w:r>
      <w:r w:rsidRPr="00F964BF">
        <w:rPr>
          <w:rFonts w:eastAsia="Times New Roman" w:cs="Times New Roman"/>
          <w:sz w:val="20"/>
          <w:szCs w:val="20"/>
          <w:lang w:val="en-GB" w:eastAsia="en-GB"/>
        </w:rPr>
        <w:t xml:space="preserve">T., Siew Hong,  T. J. Wong., Earnings Management and the Post-Issue Underperformance of Seasoned Equity Offerings, 1998. </w:t>
      </w:r>
      <w:hyperlink r:id="rId2" w:tgtFrame="_blank" w:history="1">
        <w:r w:rsidRPr="00F964BF">
          <w:rPr>
            <w:rFonts w:eastAsia="Times New Roman" w:cs="Times New Roman"/>
            <w:sz w:val="20"/>
            <w:szCs w:val="20"/>
            <w:lang w:val="en-GB" w:eastAsia="en-GB"/>
          </w:rPr>
          <w:t>https://ssrn.com/abstract=2519</w:t>
        </w:r>
      </w:hyperlink>
      <w:r w:rsidRPr="00F964BF">
        <w:rPr>
          <w:rFonts w:eastAsia="Times New Roman" w:cs="Times New Roman"/>
          <w:sz w:val="20"/>
          <w:szCs w:val="20"/>
          <w:lang w:val="en-GB" w:eastAsia="en-GB"/>
        </w:rPr>
        <w:t xml:space="preserve">, </w:t>
      </w:r>
      <w:proofErr w:type="spellStart"/>
      <w:r w:rsidRPr="00F964BF">
        <w:rPr>
          <w:rFonts w:eastAsia="Times New Roman" w:cs="Times New Roman"/>
          <w:sz w:val="20"/>
          <w:szCs w:val="20"/>
          <w:lang w:val="en-GB" w:eastAsia="en-GB"/>
        </w:rPr>
        <w:t>dostęp</w:t>
      </w:r>
      <w:proofErr w:type="spellEnd"/>
      <w:r w:rsidRPr="00F964BF">
        <w:rPr>
          <w:rFonts w:eastAsia="Times New Roman" w:cs="Times New Roman"/>
          <w:sz w:val="20"/>
          <w:szCs w:val="20"/>
          <w:lang w:val="en-GB" w:eastAsia="en-GB"/>
        </w:rPr>
        <w:t xml:space="preserve"> 30.04.2019</w:t>
      </w:r>
    </w:p>
    <w:p w:rsidR="00F964BF" w:rsidRPr="00077632" w:rsidRDefault="00F964BF" w:rsidP="00F964BF">
      <w:pPr>
        <w:pStyle w:val="Tekstprzypisudolnego"/>
        <w:rPr>
          <w:lang w:val="en-GB"/>
        </w:rPr>
      </w:pPr>
    </w:p>
  </w:footnote>
  <w:footnote w:id="6">
    <w:p w:rsidR="008719CC" w:rsidRPr="008719CC" w:rsidRDefault="008719CC">
      <w:pPr>
        <w:pStyle w:val="Tekstprzypisudolnego"/>
        <w:rPr>
          <w:sz w:val="20"/>
          <w:szCs w:val="20"/>
        </w:rPr>
      </w:pPr>
      <w:r w:rsidRPr="008719CC">
        <w:rPr>
          <w:rStyle w:val="Odwoanieprzypisudolnego"/>
          <w:sz w:val="20"/>
          <w:szCs w:val="20"/>
        </w:rPr>
        <w:footnoteRef/>
      </w:r>
      <w:r w:rsidRPr="008719CC">
        <w:rPr>
          <w:sz w:val="20"/>
          <w:szCs w:val="20"/>
        </w:rPr>
        <w:t xml:space="preserve"> D. </w:t>
      </w:r>
      <w:proofErr w:type="spellStart"/>
      <w:r w:rsidRPr="008719CC">
        <w:rPr>
          <w:rFonts w:cs="Times New Roman"/>
          <w:sz w:val="20"/>
          <w:szCs w:val="20"/>
        </w:rPr>
        <w:t>Sukacz</w:t>
      </w:r>
      <w:proofErr w:type="spellEnd"/>
      <w:r w:rsidRPr="008719CC">
        <w:rPr>
          <w:rFonts w:cs="Times New Roman"/>
          <w:sz w:val="20"/>
          <w:szCs w:val="20"/>
        </w:rPr>
        <w:t xml:space="preserve"> ., Pierwsze oferty publiczne na rynkach kapitałowych, Cedetu, Warszawa, 2005.</w:t>
      </w:r>
    </w:p>
  </w:footnote>
  <w:footnote w:id="7">
    <w:p w:rsidR="000F07D8" w:rsidRPr="000F07D8" w:rsidRDefault="000F07D8">
      <w:pPr>
        <w:pStyle w:val="Tekstprzypisudolnego"/>
        <w:rPr>
          <w:sz w:val="20"/>
          <w:szCs w:val="20"/>
          <w:lang w:val="en-GB"/>
        </w:rPr>
      </w:pPr>
      <w:r w:rsidRPr="000F07D8">
        <w:rPr>
          <w:rStyle w:val="Odwoanieprzypisudolnego"/>
          <w:sz w:val="20"/>
          <w:szCs w:val="20"/>
        </w:rPr>
        <w:footnoteRef/>
      </w:r>
      <w:r w:rsidRPr="000F07D8">
        <w:rPr>
          <w:sz w:val="20"/>
          <w:szCs w:val="20"/>
          <w:lang w:val="en-GB"/>
        </w:rPr>
        <w:t xml:space="preserve"> R. </w:t>
      </w:r>
      <w:proofErr w:type="spellStart"/>
      <w:r w:rsidRPr="000F07D8">
        <w:rPr>
          <w:rFonts w:cs="Times New Roman"/>
          <w:sz w:val="20"/>
          <w:szCs w:val="20"/>
          <w:lang w:val="en-GB"/>
        </w:rPr>
        <w:t>Sieradzki</w:t>
      </w:r>
      <w:proofErr w:type="spellEnd"/>
      <w:r w:rsidRPr="000F07D8">
        <w:rPr>
          <w:rFonts w:cs="Times New Roman"/>
          <w:sz w:val="20"/>
          <w:szCs w:val="20"/>
          <w:lang w:val="en-GB"/>
        </w:rPr>
        <w:t xml:space="preserve"> , </w:t>
      </w:r>
      <w:r w:rsidRPr="000F07D8">
        <w:rPr>
          <w:rFonts w:cs="Times New Roman"/>
          <w:iCs/>
          <w:sz w:val="20"/>
          <w:szCs w:val="20"/>
          <w:lang w:val="en-GB"/>
        </w:rPr>
        <w:t>Does It Pay To Invest In IPOs? Evidence from the Warsaw Stock Exchange</w:t>
      </w:r>
      <w:r w:rsidRPr="000F07D8">
        <w:rPr>
          <w:rFonts w:cs="Times New Roman"/>
          <w:sz w:val="20"/>
          <w:szCs w:val="20"/>
          <w:lang w:val="en-GB"/>
        </w:rPr>
        <w:t xml:space="preserve">, Bank </w:t>
      </w:r>
      <w:proofErr w:type="spellStart"/>
      <w:r w:rsidRPr="000F07D8">
        <w:rPr>
          <w:rFonts w:cs="Times New Roman"/>
          <w:sz w:val="20"/>
          <w:szCs w:val="20"/>
          <w:lang w:val="en-GB"/>
        </w:rPr>
        <w:t>i</w:t>
      </w:r>
      <w:proofErr w:type="spellEnd"/>
      <w:r w:rsidRPr="000F07D8">
        <w:rPr>
          <w:rFonts w:cs="Times New Roman"/>
          <w:sz w:val="20"/>
          <w:szCs w:val="20"/>
          <w:lang w:val="en-GB"/>
        </w:rPr>
        <w:t xml:space="preserve"> </w:t>
      </w:r>
      <w:proofErr w:type="spellStart"/>
      <w:r w:rsidRPr="000F07D8">
        <w:rPr>
          <w:rFonts w:cs="Times New Roman"/>
          <w:sz w:val="20"/>
          <w:szCs w:val="20"/>
          <w:lang w:val="en-GB"/>
        </w:rPr>
        <w:t>Kredyt</w:t>
      </w:r>
      <w:proofErr w:type="spellEnd"/>
      <w:r w:rsidRPr="000F07D8">
        <w:rPr>
          <w:rFonts w:cs="Times New Roman"/>
          <w:sz w:val="20"/>
          <w:szCs w:val="20"/>
          <w:lang w:val="en-GB"/>
        </w:rPr>
        <w:t>, National Bank of Poland, Warsaw 2013.</w:t>
      </w:r>
    </w:p>
  </w:footnote>
  <w:footnote w:id="8">
    <w:p w:rsidR="00CB08C7" w:rsidRPr="00CB08C7" w:rsidRDefault="00CB08C7" w:rsidP="00625387">
      <w:pPr>
        <w:pStyle w:val="Nagwek2"/>
        <w:rPr>
          <w:lang w:val="en-GB"/>
        </w:rPr>
      </w:pPr>
      <w:r w:rsidRPr="00CB08C7">
        <w:rPr>
          <w:rStyle w:val="Odwoanieprzypisudolnego"/>
          <w:color w:val="auto"/>
        </w:rPr>
        <w:footnoteRef/>
      </w:r>
      <w:r w:rsidRPr="00CB08C7">
        <w:t xml:space="preserve"> K. </w:t>
      </w:r>
      <w:proofErr w:type="spellStart"/>
      <w:r w:rsidRPr="00CB08C7">
        <w:t>Mamcarz</w:t>
      </w:r>
      <w:proofErr w:type="spellEnd"/>
      <w:r w:rsidRPr="00CB08C7">
        <w:t xml:space="preserve">, Niedoszacowanie ceny emisyjnej akcji w pierwszej ofercie publicznej jako instrument komunikacji spółek akcyjnych z inwestorami, </w:t>
      </w:r>
      <w:hyperlink r:id="rId3" w:history="1">
        <w:proofErr w:type="spellStart"/>
        <w:r w:rsidRPr="00CB08C7">
          <w:rPr>
            <w:rStyle w:val="Hipercze"/>
            <w:color w:val="auto"/>
            <w:u w:val="none"/>
          </w:rPr>
          <w:t>Annales</w:t>
        </w:r>
        <w:proofErr w:type="spellEnd"/>
        <w:r w:rsidRPr="00CB08C7">
          <w:rPr>
            <w:rStyle w:val="Hipercze"/>
            <w:color w:val="auto"/>
            <w:u w:val="none"/>
          </w:rPr>
          <w:t xml:space="preserve"> </w:t>
        </w:r>
        <w:proofErr w:type="spellStart"/>
        <w:r w:rsidRPr="00CB08C7">
          <w:rPr>
            <w:rStyle w:val="Hipercze"/>
            <w:color w:val="auto"/>
            <w:u w:val="none"/>
          </w:rPr>
          <w:t>Universitatis</w:t>
        </w:r>
        <w:proofErr w:type="spellEnd"/>
        <w:r w:rsidRPr="00CB08C7">
          <w:rPr>
            <w:rStyle w:val="Hipercze"/>
            <w:color w:val="auto"/>
            <w:u w:val="none"/>
          </w:rPr>
          <w:t xml:space="preserve"> </w:t>
        </w:r>
        <w:proofErr w:type="spellStart"/>
        <w:r w:rsidRPr="00CB08C7">
          <w:rPr>
            <w:rStyle w:val="Hipercze"/>
            <w:color w:val="auto"/>
            <w:u w:val="none"/>
          </w:rPr>
          <w:t>Mariae</w:t>
        </w:r>
        <w:proofErr w:type="spellEnd"/>
        <w:r w:rsidRPr="00CB08C7">
          <w:rPr>
            <w:rStyle w:val="Hipercze"/>
            <w:color w:val="auto"/>
            <w:u w:val="none"/>
          </w:rPr>
          <w:t xml:space="preserve"> Curie-Skłodowska. </w:t>
        </w:r>
        <w:proofErr w:type="spellStart"/>
        <w:r w:rsidRPr="00CB08C7">
          <w:rPr>
            <w:rStyle w:val="Hipercze"/>
            <w:color w:val="auto"/>
            <w:u w:val="none"/>
            <w:lang w:val="en-GB"/>
          </w:rPr>
          <w:t>Sectio</w:t>
        </w:r>
        <w:proofErr w:type="spellEnd"/>
        <w:r w:rsidRPr="00CB08C7">
          <w:rPr>
            <w:rStyle w:val="Hipercze"/>
            <w:color w:val="auto"/>
            <w:u w:val="none"/>
            <w:lang w:val="en-GB"/>
          </w:rPr>
          <w:t xml:space="preserve"> H. </w:t>
        </w:r>
        <w:proofErr w:type="spellStart"/>
        <w:r w:rsidRPr="00CB08C7">
          <w:rPr>
            <w:rStyle w:val="Hipercze"/>
            <w:color w:val="auto"/>
            <w:u w:val="none"/>
            <w:lang w:val="en-GB"/>
          </w:rPr>
          <w:t>Oeconomia</w:t>
        </w:r>
        <w:proofErr w:type="spellEnd"/>
      </w:hyperlink>
      <w:r w:rsidRPr="00CB08C7">
        <w:rPr>
          <w:lang w:val="en-GB"/>
        </w:rPr>
        <w:t xml:space="preserve">, </w:t>
      </w:r>
      <w:hyperlink r:id="rId4" w:history="1">
        <w:r w:rsidRPr="00CB08C7">
          <w:rPr>
            <w:rStyle w:val="Hipercze"/>
            <w:color w:val="auto"/>
            <w:u w:val="none"/>
            <w:lang w:val="en-GB"/>
          </w:rPr>
          <w:t>2010</w:t>
        </w:r>
      </w:hyperlink>
      <w:r>
        <w:t>,</w:t>
      </w:r>
      <w:r w:rsidRPr="00CB08C7">
        <w:rPr>
          <w:lang w:val="en-GB"/>
        </w:rPr>
        <w:t xml:space="preserve"> </w:t>
      </w:r>
      <w:hyperlink r:id="rId5" w:history="1">
        <w:r w:rsidRPr="00CB08C7">
          <w:rPr>
            <w:rStyle w:val="Hipercze"/>
            <w:color w:val="auto"/>
            <w:u w:val="none"/>
            <w:lang w:val="en-GB"/>
          </w:rPr>
          <w:t>44</w:t>
        </w:r>
      </w:hyperlink>
      <w:r>
        <w:rPr>
          <w:lang w:val="en-GB"/>
        </w:rPr>
        <w:t xml:space="preserve">, </w:t>
      </w:r>
      <w:hyperlink r:id="rId6" w:history="1">
        <w:proofErr w:type="spellStart"/>
        <w:r w:rsidRPr="00CB08C7">
          <w:rPr>
            <w:rStyle w:val="Hipercze"/>
            <w:color w:val="auto"/>
            <w:u w:val="none"/>
            <w:lang w:val="en-GB"/>
          </w:rPr>
          <w:t>nr</w:t>
        </w:r>
        <w:proofErr w:type="spellEnd"/>
        <w:r w:rsidRPr="00CB08C7">
          <w:rPr>
            <w:rStyle w:val="Hipercze"/>
            <w:color w:val="auto"/>
            <w:u w:val="none"/>
            <w:lang w:val="en-GB"/>
          </w:rPr>
          <w:t xml:space="preserve"> 2</w:t>
        </w:r>
      </w:hyperlink>
      <w:r w:rsidRPr="00CB08C7">
        <w:rPr>
          <w:lang w:val="en-GB"/>
        </w:rPr>
        <w:t xml:space="preserve">, ss. </w:t>
      </w:r>
      <w:r>
        <w:rPr>
          <w:lang w:val="en-GB"/>
        </w:rPr>
        <w:t>649-661.</w:t>
      </w:r>
    </w:p>
    <w:p w:rsidR="00CB08C7" w:rsidRPr="00CB08C7" w:rsidRDefault="00CB08C7" w:rsidP="00CB08C7">
      <w:pPr>
        <w:pStyle w:val="Nagwek3"/>
        <w:rPr>
          <w:lang w:val="en-GB"/>
        </w:rPr>
      </w:pPr>
    </w:p>
    <w:p w:rsidR="00CB08C7" w:rsidRPr="00CB08C7" w:rsidRDefault="00CB08C7">
      <w:pPr>
        <w:pStyle w:val="Tekstprzypisudolnego"/>
        <w:rPr>
          <w:lang w:val="en-GB"/>
        </w:rPr>
      </w:pPr>
    </w:p>
  </w:footnote>
  <w:footnote w:id="9">
    <w:p w:rsidR="00F964BF" w:rsidRPr="00BF12A7" w:rsidRDefault="00F964BF" w:rsidP="00F964BF">
      <w:pPr>
        <w:pStyle w:val="Tekstprzypisudolnego"/>
        <w:rPr>
          <w:sz w:val="16"/>
          <w:szCs w:val="16"/>
          <w:lang w:val="en-GB"/>
        </w:rPr>
      </w:pPr>
      <w:r w:rsidRPr="00BF12A7">
        <w:rPr>
          <w:rStyle w:val="Odwoanieprzypisudolnego"/>
          <w:sz w:val="16"/>
          <w:szCs w:val="16"/>
        </w:rPr>
        <w:footnoteRef/>
      </w:r>
      <w:r w:rsidRPr="00BF12A7">
        <w:rPr>
          <w:sz w:val="16"/>
          <w:szCs w:val="16"/>
          <w:lang w:val="en-GB"/>
        </w:rPr>
        <w:t xml:space="preserve"> </w:t>
      </w:r>
      <w:proofErr w:type="spellStart"/>
      <w:r w:rsidRPr="00BF12A7">
        <w:rPr>
          <w:sz w:val="16"/>
          <w:szCs w:val="16"/>
          <w:lang w:val="en-GB"/>
        </w:rPr>
        <w:t>Sieradzki</w:t>
      </w:r>
      <w:proofErr w:type="spellEnd"/>
      <w:r w:rsidRPr="00BF12A7">
        <w:rPr>
          <w:sz w:val="16"/>
          <w:szCs w:val="16"/>
          <w:lang w:val="en-GB"/>
        </w:rPr>
        <w:t xml:space="preserve"> R., </w:t>
      </w:r>
      <w:proofErr w:type="spellStart"/>
      <w:r w:rsidRPr="00BF12A7">
        <w:rPr>
          <w:sz w:val="16"/>
          <w:szCs w:val="16"/>
          <w:lang w:val="en-GB"/>
        </w:rPr>
        <w:t>Zasępa</w:t>
      </w:r>
      <w:proofErr w:type="spellEnd"/>
      <w:r w:rsidRPr="00BF12A7">
        <w:rPr>
          <w:sz w:val="16"/>
          <w:szCs w:val="16"/>
          <w:lang w:val="en-GB"/>
        </w:rPr>
        <w:t xml:space="preserve"> P., </w:t>
      </w:r>
      <w:proofErr w:type="spellStart"/>
      <w:r w:rsidRPr="00BF12A7">
        <w:rPr>
          <w:bCs/>
          <w:sz w:val="16"/>
          <w:szCs w:val="16"/>
          <w:lang w:val="en-GB"/>
        </w:rPr>
        <w:t>Underpricing</w:t>
      </w:r>
      <w:proofErr w:type="spellEnd"/>
      <w:r w:rsidRPr="00BF12A7">
        <w:rPr>
          <w:bCs/>
          <w:sz w:val="16"/>
          <w:szCs w:val="16"/>
          <w:lang w:val="en-GB"/>
        </w:rPr>
        <w:t xml:space="preserve"> of Private Equity/</w:t>
      </w:r>
      <w:proofErr w:type="spellStart"/>
      <w:r w:rsidRPr="00BF12A7">
        <w:rPr>
          <w:bCs/>
          <w:sz w:val="16"/>
          <w:szCs w:val="16"/>
          <w:lang w:val="en-GB"/>
        </w:rPr>
        <w:t>VentureCapital</w:t>
      </w:r>
      <w:proofErr w:type="spellEnd"/>
      <w:r w:rsidRPr="00BF12A7">
        <w:rPr>
          <w:bCs/>
          <w:sz w:val="16"/>
          <w:szCs w:val="16"/>
          <w:lang w:val="en-GB"/>
        </w:rPr>
        <w:t xml:space="preserve"> backed IPOs. Do they differ from other offers?, Argumenta </w:t>
      </w:r>
      <w:proofErr w:type="spellStart"/>
      <w:r w:rsidRPr="00BF12A7">
        <w:rPr>
          <w:bCs/>
          <w:sz w:val="16"/>
          <w:szCs w:val="16"/>
          <w:lang w:val="en-GB"/>
        </w:rPr>
        <w:t>Oeconomica</w:t>
      </w:r>
      <w:proofErr w:type="spellEnd"/>
      <w:r w:rsidRPr="00BF12A7">
        <w:rPr>
          <w:bCs/>
          <w:sz w:val="16"/>
          <w:szCs w:val="16"/>
          <w:lang w:val="en-GB"/>
        </w:rPr>
        <w:t>, 2016.</w:t>
      </w:r>
    </w:p>
  </w:footnote>
  <w:footnote w:id="10">
    <w:p w:rsidR="00F964BF" w:rsidRPr="00F964BF" w:rsidRDefault="00F964BF" w:rsidP="00F964BF">
      <w:pPr>
        <w:spacing w:before="120" w:after="120" w:line="240" w:lineRule="auto"/>
        <w:rPr>
          <w:lang w:val="en-GB"/>
        </w:rPr>
      </w:pPr>
      <w:r w:rsidRPr="008A7174">
        <w:rPr>
          <w:rStyle w:val="Odwoanieprzypisudolnego"/>
          <w:rFonts w:cs="Times New Roman"/>
          <w:sz w:val="20"/>
          <w:szCs w:val="20"/>
        </w:rPr>
        <w:footnoteRef/>
      </w:r>
      <w:r w:rsidRPr="00F964BF">
        <w:rPr>
          <w:rFonts w:cs="Times New Roman"/>
          <w:sz w:val="20"/>
          <w:szCs w:val="20"/>
          <w:lang w:val="en-GB"/>
        </w:rPr>
        <w:t xml:space="preserve"> R. </w:t>
      </w:r>
      <w:proofErr w:type="spellStart"/>
      <w:r w:rsidRPr="00F964BF">
        <w:rPr>
          <w:rFonts w:cs="Times New Roman"/>
          <w:sz w:val="20"/>
          <w:szCs w:val="20"/>
          <w:lang w:val="en-GB"/>
        </w:rPr>
        <w:t>Sieradzki</w:t>
      </w:r>
      <w:proofErr w:type="spellEnd"/>
      <w:r w:rsidRPr="00F964BF">
        <w:rPr>
          <w:rFonts w:cs="Times New Roman"/>
          <w:sz w:val="20"/>
          <w:szCs w:val="20"/>
          <w:lang w:val="en-GB"/>
        </w:rPr>
        <w:t xml:space="preserve">, </w:t>
      </w:r>
      <w:r w:rsidRPr="00F964BF">
        <w:rPr>
          <w:rFonts w:cs="Times New Roman"/>
          <w:i/>
          <w:iCs/>
          <w:sz w:val="20"/>
          <w:szCs w:val="20"/>
          <w:lang w:val="en-GB"/>
        </w:rPr>
        <w:t>Does It Pay To Invest In IPOs? Evidence from the Warsaw Stock Exchange</w:t>
      </w:r>
      <w:r w:rsidRPr="00F964BF">
        <w:rPr>
          <w:rFonts w:cs="Times New Roman"/>
          <w:sz w:val="20"/>
          <w:szCs w:val="20"/>
          <w:lang w:val="en-GB"/>
        </w:rPr>
        <w:t xml:space="preserve">, Bank </w:t>
      </w:r>
      <w:proofErr w:type="spellStart"/>
      <w:r w:rsidRPr="00F964BF">
        <w:rPr>
          <w:rFonts w:cs="Times New Roman"/>
          <w:sz w:val="20"/>
          <w:szCs w:val="20"/>
          <w:lang w:val="en-GB"/>
        </w:rPr>
        <w:t>i</w:t>
      </w:r>
      <w:proofErr w:type="spellEnd"/>
      <w:r w:rsidRPr="00F964BF">
        <w:rPr>
          <w:rFonts w:cs="Times New Roman"/>
          <w:sz w:val="20"/>
          <w:szCs w:val="20"/>
          <w:lang w:val="en-GB"/>
        </w:rPr>
        <w:t xml:space="preserve"> </w:t>
      </w:r>
      <w:proofErr w:type="spellStart"/>
      <w:r w:rsidRPr="00F964BF">
        <w:rPr>
          <w:rFonts w:cs="Times New Roman"/>
          <w:sz w:val="20"/>
          <w:szCs w:val="20"/>
          <w:lang w:val="en-GB"/>
        </w:rPr>
        <w:t>Kredyt</w:t>
      </w:r>
      <w:proofErr w:type="spellEnd"/>
      <w:r w:rsidRPr="00F964BF">
        <w:rPr>
          <w:rFonts w:cs="Times New Roman"/>
          <w:sz w:val="20"/>
          <w:szCs w:val="20"/>
          <w:lang w:val="en-GB"/>
        </w:rPr>
        <w:t>, National Bank of Poland, Warsaw 2013.</w:t>
      </w:r>
    </w:p>
  </w:footnote>
  <w:footnote w:id="11">
    <w:p w:rsidR="00F964BF" w:rsidRPr="00B873E9" w:rsidRDefault="00F964BF" w:rsidP="00F964BF">
      <w:pPr>
        <w:spacing w:before="120" w:after="120" w:line="240" w:lineRule="auto"/>
        <w:rPr>
          <w:rFonts w:cs="Times New Roman"/>
          <w:sz w:val="20"/>
          <w:szCs w:val="20"/>
        </w:rPr>
      </w:pPr>
      <w:r w:rsidRPr="00B873E9">
        <w:rPr>
          <w:rStyle w:val="Odwoanieprzypisudolnego"/>
          <w:rFonts w:cs="Times New Roman"/>
          <w:sz w:val="20"/>
          <w:szCs w:val="20"/>
        </w:rPr>
        <w:footnoteRef/>
      </w:r>
      <w:r w:rsidRPr="00B873E9">
        <w:rPr>
          <w:rFonts w:cs="Times New Roman"/>
          <w:sz w:val="20"/>
          <w:szCs w:val="20"/>
        </w:rPr>
        <w:t xml:space="preserve"> </w:t>
      </w:r>
      <w:r>
        <w:rPr>
          <w:rFonts w:cs="Times New Roman"/>
          <w:sz w:val="20"/>
          <w:szCs w:val="20"/>
        </w:rPr>
        <w:t xml:space="preserve">D. </w:t>
      </w:r>
      <w:proofErr w:type="spellStart"/>
      <w:r>
        <w:rPr>
          <w:rFonts w:cs="Times New Roman"/>
          <w:sz w:val="20"/>
          <w:szCs w:val="20"/>
        </w:rPr>
        <w:t>Sukacz</w:t>
      </w:r>
      <w:proofErr w:type="spellEnd"/>
      <w:r>
        <w:rPr>
          <w:rFonts w:cs="Times New Roman"/>
          <w:sz w:val="20"/>
          <w:szCs w:val="20"/>
        </w:rPr>
        <w:t>,</w:t>
      </w:r>
      <w:r w:rsidRPr="00B873E9">
        <w:rPr>
          <w:rFonts w:cs="Times New Roman"/>
          <w:sz w:val="20"/>
          <w:szCs w:val="20"/>
        </w:rPr>
        <w:t xml:space="preserve"> </w:t>
      </w:r>
      <w:r w:rsidRPr="00B873E9">
        <w:rPr>
          <w:rFonts w:cs="Times New Roman"/>
          <w:i/>
          <w:sz w:val="20"/>
          <w:szCs w:val="20"/>
        </w:rPr>
        <w:t>Pierwsze oferty publiczne na rynkach kapitałowych</w:t>
      </w:r>
      <w:r w:rsidRPr="00B873E9">
        <w:rPr>
          <w:rFonts w:cs="Times New Roman"/>
          <w:sz w:val="20"/>
          <w:szCs w:val="20"/>
        </w:rPr>
        <w:t>, Cedetu, Warszawa, 2005.</w:t>
      </w:r>
    </w:p>
    <w:p w:rsidR="00F964BF" w:rsidRPr="00D34C36" w:rsidRDefault="00F964BF" w:rsidP="00F964BF">
      <w:pPr>
        <w:pStyle w:val="Tekstprzypisudolneg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C16" w:rsidRPr="00E60C16" w:rsidRDefault="00E60C16" w:rsidP="00E60C16">
    <w:pPr>
      <w:pStyle w:val="Nagwek"/>
      <w:rPr>
        <w:lang w:val="en-GB"/>
      </w:rPr>
    </w:pPr>
    <w:proofErr w:type="spellStart"/>
    <w:r w:rsidRPr="00E60C16">
      <w:rPr>
        <w:lang w:val="en-GB"/>
      </w:rPr>
      <w:t>Annales</w:t>
    </w:r>
    <w:proofErr w:type="spellEnd"/>
    <w:r w:rsidRPr="00E60C16">
      <w:rPr>
        <w:lang w:val="en-GB"/>
      </w:rPr>
      <w:t xml:space="preserve"> </w:t>
    </w:r>
    <w:proofErr w:type="spellStart"/>
    <w:r w:rsidRPr="00E60C16">
      <w:rPr>
        <w:lang w:val="en-GB"/>
      </w:rPr>
      <w:t>Universitatis</w:t>
    </w:r>
    <w:proofErr w:type="spellEnd"/>
    <w:r w:rsidRPr="00E60C16">
      <w:rPr>
        <w:lang w:val="en-GB"/>
      </w:rPr>
      <w:t xml:space="preserve"> </w:t>
    </w:r>
    <w:proofErr w:type="spellStart"/>
    <w:r w:rsidRPr="00E60C16">
      <w:rPr>
        <w:lang w:val="en-GB"/>
      </w:rPr>
      <w:t>Mariae</w:t>
    </w:r>
    <w:proofErr w:type="spellEnd"/>
    <w:r w:rsidRPr="00E60C16">
      <w:rPr>
        <w:lang w:val="en-GB"/>
      </w:rPr>
      <w:t xml:space="preserve"> Curie-</w:t>
    </w:r>
    <w:proofErr w:type="spellStart"/>
    <w:r w:rsidRPr="00E60C16">
      <w:rPr>
        <w:lang w:val="en-GB"/>
      </w:rPr>
      <w:t>Skłodowska</w:t>
    </w:r>
    <w:proofErr w:type="spellEnd"/>
    <w:r w:rsidRPr="00E60C16">
      <w:rPr>
        <w:lang w:val="en-GB"/>
      </w:rPr>
      <w:t xml:space="preserve">, </w:t>
    </w:r>
    <w:proofErr w:type="spellStart"/>
    <w:r w:rsidRPr="00E60C16">
      <w:rPr>
        <w:lang w:val="en-GB"/>
      </w:rPr>
      <w:t>sectio</w:t>
    </w:r>
    <w:proofErr w:type="spellEnd"/>
    <w:r w:rsidRPr="00E60C16">
      <w:rPr>
        <w:lang w:val="en-GB"/>
      </w:rPr>
      <w:t xml:space="preserve"> H – </w:t>
    </w:r>
    <w:proofErr w:type="spellStart"/>
    <w:r w:rsidRPr="00E60C16">
      <w:rPr>
        <w:lang w:val="en-GB"/>
      </w:rPr>
      <w:t>Oeconomia</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EA1776"/>
    <w:multiLevelType w:val="hybridMultilevel"/>
    <w:tmpl w:val="67186968"/>
    <w:lvl w:ilvl="0" w:tplc="928C94BC">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3A3004CF"/>
    <w:multiLevelType w:val="hybridMultilevel"/>
    <w:tmpl w:val="DC3A1E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A6C721E"/>
    <w:multiLevelType w:val="hybridMultilevel"/>
    <w:tmpl w:val="2370E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FFE168B"/>
    <w:multiLevelType w:val="hybridMultilevel"/>
    <w:tmpl w:val="FC4EF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A4F458B"/>
    <w:multiLevelType w:val="hybridMultilevel"/>
    <w:tmpl w:val="DC3A1E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C16"/>
    <w:rsid w:val="00000A16"/>
    <w:rsid w:val="00000C64"/>
    <w:rsid w:val="00010931"/>
    <w:rsid w:val="00010CA4"/>
    <w:rsid w:val="0002364D"/>
    <w:rsid w:val="00023757"/>
    <w:rsid w:val="00027306"/>
    <w:rsid w:val="000314FD"/>
    <w:rsid w:val="0003376E"/>
    <w:rsid w:val="000353D5"/>
    <w:rsid w:val="00040C48"/>
    <w:rsid w:val="00047696"/>
    <w:rsid w:val="00057A50"/>
    <w:rsid w:val="000613A8"/>
    <w:rsid w:val="00062C00"/>
    <w:rsid w:val="00065AE4"/>
    <w:rsid w:val="00070596"/>
    <w:rsid w:val="00077A1D"/>
    <w:rsid w:val="00082A06"/>
    <w:rsid w:val="00082D2D"/>
    <w:rsid w:val="00083DD3"/>
    <w:rsid w:val="00087DAB"/>
    <w:rsid w:val="00091AA5"/>
    <w:rsid w:val="0009341A"/>
    <w:rsid w:val="000940A8"/>
    <w:rsid w:val="0009744A"/>
    <w:rsid w:val="000A687D"/>
    <w:rsid w:val="000B646B"/>
    <w:rsid w:val="000D00F0"/>
    <w:rsid w:val="000D4E7E"/>
    <w:rsid w:val="000D5BBD"/>
    <w:rsid w:val="000E1A66"/>
    <w:rsid w:val="000F07D8"/>
    <w:rsid w:val="000F3340"/>
    <w:rsid w:val="000F5207"/>
    <w:rsid w:val="000F5F6F"/>
    <w:rsid w:val="001002F2"/>
    <w:rsid w:val="00102F32"/>
    <w:rsid w:val="00110F1F"/>
    <w:rsid w:val="001200A4"/>
    <w:rsid w:val="001275D6"/>
    <w:rsid w:val="00132AF2"/>
    <w:rsid w:val="00134E4C"/>
    <w:rsid w:val="00150F9D"/>
    <w:rsid w:val="001573AE"/>
    <w:rsid w:val="00157428"/>
    <w:rsid w:val="00164B19"/>
    <w:rsid w:val="0016671B"/>
    <w:rsid w:val="00174EEE"/>
    <w:rsid w:val="00177111"/>
    <w:rsid w:val="00185E51"/>
    <w:rsid w:val="001A063D"/>
    <w:rsid w:val="001A1316"/>
    <w:rsid w:val="001A19EB"/>
    <w:rsid w:val="001A2438"/>
    <w:rsid w:val="001A336B"/>
    <w:rsid w:val="001A5D8B"/>
    <w:rsid w:val="001B270B"/>
    <w:rsid w:val="001B396F"/>
    <w:rsid w:val="001B4601"/>
    <w:rsid w:val="001B51A7"/>
    <w:rsid w:val="001C14D4"/>
    <w:rsid w:val="001C6260"/>
    <w:rsid w:val="001D222D"/>
    <w:rsid w:val="001D2930"/>
    <w:rsid w:val="001E4886"/>
    <w:rsid w:val="001E5EB5"/>
    <w:rsid w:val="001F657A"/>
    <w:rsid w:val="00200EC9"/>
    <w:rsid w:val="00204CA5"/>
    <w:rsid w:val="00210104"/>
    <w:rsid w:val="00210E60"/>
    <w:rsid w:val="00234278"/>
    <w:rsid w:val="00234930"/>
    <w:rsid w:val="00240890"/>
    <w:rsid w:val="0024749A"/>
    <w:rsid w:val="00250B9A"/>
    <w:rsid w:val="002515BE"/>
    <w:rsid w:val="00251C03"/>
    <w:rsid w:val="002579DE"/>
    <w:rsid w:val="00260CF9"/>
    <w:rsid w:val="00262415"/>
    <w:rsid w:val="00263222"/>
    <w:rsid w:val="00271B10"/>
    <w:rsid w:val="00273187"/>
    <w:rsid w:val="00282A40"/>
    <w:rsid w:val="00286D8E"/>
    <w:rsid w:val="0029600C"/>
    <w:rsid w:val="0029673D"/>
    <w:rsid w:val="002C2CC5"/>
    <w:rsid w:val="002C2CE8"/>
    <w:rsid w:val="002C3712"/>
    <w:rsid w:val="002D3C92"/>
    <w:rsid w:val="002D5EAF"/>
    <w:rsid w:val="002E2B94"/>
    <w:rsid w:val="002E66A9"/>
    <w:rsid w:val="002E6E94"/>
    <w:rsid w:val="002F30B1"/>
    <w:rsid w:val="00300B09"/>
    <w:rsid w:val="003022AA"/>
    <w:rsid w:val="00306FC0"/>
    <w:rsid w:val="0031297D"/>
    <w:rsid w:val="00314A6D"/>
    <w:rsid w:val="00315D82"/>
    <w:rsid w:val="0031666A"/>
    <w:rsid w:val="00323456"/>
    <w:rsid w:val="0032701E"/>
    <w:rsid w:val="00331EAE"/>
    <w:rsid w:val="003447DA"/>
    <w:rsid w:val="00344E3B"/>
    <w:rsid w:val="003459D8"/>
    <w:rsid w:val="00350406"/>
    <w:rsid w:val="003509FB"/>
    <w:rsid w:val="00350CBF"/>
    <w:rsid w:val="003514C7"/>
    <w:rsid w:val="00352F55"/>
    <w:rsid w:val="003530DA"/>
    <w:rsid w:val="003542DB"/>
    <w:rsid w:val="0035548D"/>
    <w:rsid w:val="00363324"/>
    <w:rsid w:val="003657CB"/>
    <w:rsid w:val="00366C03"/>
    <w:rsid w:val="0038046B"/>
    <w:rsid w:val="00392AA0"/>
    <w:rsid w:val="003A22C5"/>
    <w:rsid w:val="003A2B7C"/>
    <w:rsid w:val="003A40B0"/>
    <w:rsid w:val="003A6A95"/>
    <w:rsid w:val="003A70E3"/>
    <w:rsid w:val="003B372D"/>
    <w:rsid w:val="003C1347"/>
    <w:rsid w:val="003C5498"/>
    <w:rsid w:val="003C5694"/>
    <w:rsid w:val="003D721E"/>
    <w:rsid w:val="003E101B"/>
    <w:rsid w:val="003E1056"/>
    <w:rsid w:val="003E492F"/>
    <w:rsid w:val="003F6157"/>
    <w:rsid w:val="00401C20"/>
    <w:rsid w:val="00410C62"/>
    <w:rsid w:val="00412399"/>
    <w:rsid w:val="00424189"/>
    <w:rsid w:val="00427832"/>
    <w:rsid w:val="0043085E"/>
    <w:rsid w:val="00442E88"/>
    <w:rsid w:val="004448F6"/>
    <w:rsid w:val="00446C9D"/>
    <w:rsid w:val="00450BD3"/>
    <w:rsid w:val="00452759"/>
    <w:rsid w:val="00464FC7"/>
    <w:rsid w:val="00466CF9"/>
    <w:rsid w:val="004872FC"/>
    <w:rsid w:val="00493019"/>
    <w:rsid w:val="004941AE"/>
    <w:rsid w:val="00495202"/>
    <w:rsid w:val="00495FFF"/>
    <w:rsid w:val="004A266C"/>
    <w:rsid w:val="004A3168"/>
    <w:rsid w:val="004A5E7E"/>
    <w:rsid w:val="004B72C4"/>
    <w:rsid w:val="004C1D3F"/>
    <w:rsid w:val="004E7A94"/>
    <w:rsid w:val="005108E0"/>
    <w:rsid w:val="00512FC5"/>
    <w:rsid w:val="0051579E"/>
    <w:rsid w:val="00517017"/>
    <w:rsid w:val="00522F03"/>
    <w:rsid w:val="0052616B"/>
    <w:rsid w:val="00540F15"/>
    <w:rsid w:val="00546E1E"/>
    <w:rsid w:val="005575BF"/>
    <w:rsid w:val="00557A01"/>
    <w:rsid w:val="005602DB"/>
    <w:rsid w:val="00571FED"/>
    <w:rsid w:val="00572A08"/>
    <w:rsid w:val="00577B22"/>
    <w:rsid w:val="00594916"/>
    <w:rsid w:val="005A2416"/>
    <w:rsid w:val="005A5218"/>
    <w:rsid w:val="005A766A"/>
    <w:rsid w:val="005B265C"/>
    <w:rsid w:val="005B4727"/>
    <w:rsid w:val="005C1D9D"/>
    <w:rsid w:val="005C6300"/>
    <w:rsid w:val="005D3094"/>
    <w:rsid w:val="005D341D"/>
    <w:rsid w:val="005D48C1"/>
    <w:rsid w:val="005E6D4A"/>
    <w:rsid w:val="005F1166"/>
    <w:rsid w:val="005F2C6F"/>
    <w:rsid w:val="005F6BD6"/>
    <w:rsid w:val="005F73A4"/>
    <w:rsid w:val="00603D30"/>
    <w:rsid w:val="00604579"/>
    <w:rsid w:val="006069FF"/>
    <w:rsid w:val="00613071"/>
    <w:rsid w:val="00613F73"/>
    <w:rsid w:val="00625387"/>
    <w:rsid w:val="00626887"/>
    <w:rsid w:val="00627479"/>
    <w:rsid w:val="0063171E"/>
    <w:rsid w:val="00632A5B"/>
    <w:rsid w:val="00634F7E"/>
    <w:rsid w:val="00637E28"/>
    <w:rsid w:val="00641F37"/>
    <w:rsid w:val="00644BCC"/>
    <w:rsid w:val="00650E95"/>
    <w:rsid w:val="00662640"/>
    <w:rsid w:val="0067022C"/>
    <w:rsid w:val="00672C76"/>
    <w:rsid w:val="0067565C"/>
    <w:rsid w:val="00676426"/>
    <w:rsid w:val="00677B1E"/>
    <w:rsid w:val="00682BEC"/>
    <w:rsid w:val="00683598"/>
    <w:rsid w:val="00683D39"/>
    <w:rsid w:val="006940CA"/>
    <w:rsid w:val="00697E7B"/>
    <w:rsid w:val="00697FBF"/>
    <w:rsid w:val="006B20DE"/>
    <w:rsid w:val="006B2D3F"/>
    <w:rsid w:val="006D0A05"/>
    <w:rsid w:val="006E09EF"/>
    <w:rsid w:val="006E1AEE"/>
    <w:rsid w:val="006E1EFB"/>
    <w:rsid w:val="006E4C9F"/>
    <w:rsid w:val="006E6504"/>
    <w:rsid w:val="006F087A"/>
    <w:rsid w:val="00700673"/>
    <w:rsid w:val="00700FF1"/>
    <w:rsid w:val="00702A6B"/>
    <w:rsid w:val="007065EF"/>
    <w:rsid w:val="00710131"/>
    <w:rsid w:val="00712DB3"/>
    <w:rsid w:val="0071359A"/>
    <w:rsid w:val="0071484F"/>
    <w:rsid w:val="007159DA"/>
    <w:rsid w:val="0072114A"/>
    <w:rsid w:val="00730838"/>
    <w:rsid w:val="007324FB"/>
    <w:rsid w:val="007330D0"/>
    <w:rsid w:val="0073582D"/>
    <w:rsid w:val="00735DF6"/>
    <w:rsid w:val="00740C15"/>
    <w:rsid w:val="00740FCC"/>
    <w:rsid w:val="00741135"/>
    <w:rsid w:val="00752B9C"/>
    <w:rsid w:val="007540E4"/>
    <w:rsid w:val="00754A0D"/>
    <w:rsid w:val="00774FE7"/>
    <w:rsid w:val="00775C0A"/>
    <w:rsid w:val="00781065"/>
    <w:rsid w:val="00786B89"/>
    <w:rsid w:val="007903BE"/>
    <w:rsid w:val="00792B48"/>
    <w:rsid w:val="00793388"/>
    <w:rsid w:val="00793C79"/>
    <w:rsid w:val="007A6682"/>
    <w:rsid w:val="007A7ED4"/>
    <w:rsid w:val="007B3999"/>
    <w:rsid w:val="007C3294"/>
    <w:rsid w:val="007C5D39"/>
    <w:rsid w:val="007F3128"/>
    <w:rsid w:val="007F51C4"/>
    <w:rsid w:val="007F6BB8"/>
    <w:rsid w:val="00801C30"/>
    <w:rsid w:val="00804889"/>
    <w:rsid w:val="00815648"/>
    <w:rsid w:val="00822A09"/>
    <w:rsid w:val="00823ECC"/>
    <w:rsid w:val="00830B06"/>
    <w:rsid w:val="0083397B"/>
    <w:rsid w:val="008430BA"/>
    <w:rsid w:val="00851255"/>
    <w:rsid w:val="00855E05"/>
    <w:rsid w:val="00856DB2"/>
    <w:rsid w:val="0086364F"/>
    <w:rsid w:val="008719CC"/>
    <w:rsid w:val="008737F6"/>
    <w:rsid w:val="0087430F"/>
    <w:rsid w:val="00874D0C"/>
    <w:rsid w:val="00876350"/>
    <w:rsid w:val="008774F9"/>
    <w:rsid w:val="00891C87"/>
    <w:rsid w:val="00895966"/>
    <w:rsid w:val="00897BF3"/>
    <w:rsid w:val="008A250D"/>
    <w:rsid w:val="008B1DE6"/>
    <w:rsid w:val="008B2A30"/>
    <w:rsid w:val="008E6AA1"/>
    <w:rsid w:val="008E7C50"/>
    <w:rsid w:val="008F0998"/>
    <w:rsid w:val="008F68B5"/>
    <w:rsid w:val="008F7C5F"/>
    <w:rsid w:val="00912E15"/>
    <w:rsid w:val="009145CA"/>
    <w:rsid w:val="009155B3"/>
    <w:rsid w:val="009166B2"/>
    <w:rsid w:val="00941D5B"/>
    <w:rsid w:val="0094314F"/>
    <w:rsid w:val="00950DFD"/>
    <w:rsid w:val="00951F56"/>
    <w:rsid w:val="00953D32"/>
    <w:rsid w:val="009645A4"/>
    <w:rsid w:val="00970BC4"/>
    <w:rsid w:val="00973D59"/>
    <w:rsid w:val="00974B53"/>
    <w:rsid w:val="00980E36"/>
    <w:rsid w:val="00981C69"/>
    <w:rsid w:val="0098218D"/>
    <w:rsid w:val="00982F2F"/>
    <w:rsid w:val="00986A0F"/>
    <w:rsid w:val="00987069"/>
    <w:rsid w:val="009933B7"/>
    <w:rsid w:val="009A4D96"/>
    <w:rsid w:val="009A55FD"/>
    <w:rsid w:val="009A769F"/>
    <w:rsid w:val="009A76FE"/>
    <w:rsid w:val="009B1978"/>
    <w:rsid w:val="009B6709"/>
    <w:rsid w:val="009B68DF"/>
    <w:rsid w:val="009B70FB"/>
    <w:rsid w:val="009C1073"/>
    <w:rsid w:val="009C4620"/>
    <w:rsid w:val="009C6CE3"/>
    <w:rsid w:val="009E4462"/>
    <w:rsid w:val="009E45FC"/>
    <w:rsid w:val="009F3E72"/>
    <w:rsid w:val="00A0016B"/>
    <w:rsid w:val="00A0054C"/>
    <w:rsid w:val="00A01CB5"/>
    <w:rsid w:val="00A02B3E"/>
    <w:rsid w:val="00A0606C"/>
    <w:rsid w:val="00A068B6"/>
    <w:rsid w:val="00A06FD9"/>
    <w:rsid w:val="00A104D8"/>
    <w:rsid w:val="00A152FD"/>
    <w:rsid w:val="00A1690A"/>
    <w:rsid w:val="00A348DF"/>
    <w:rsid w:val="00A400A2"/>
    <w:rsid w:val="00A40D29"/>
    <w:rsid w:val="00A45D6E"/>
    <w:rsid w:val="00A463A9"/>
    <w:rsid w:val="00A50779"/>
    <w:rsid w:val="00A5083E"/>
    <w:rsid w:val="00A50941"/>
    <w:rsid w:val="00A50F5E"/>
    <w:rsid w:val="00A56DE9"/>
    <w:rsid w:val="00A600C6"/>
    <w:rsid w:val="00A60531"/>
    <w:rsid w:val="00A61F63"/>
    <w:rsid w:val="00A643E1"/>
    <w:rsid w:val="00A709C5"/>
    <w:rsid w:val="00A75991"/>
    <w:rsid w:val="00A77B15"/>
    <w:rsid w:val="00A8147E"/>
    <w:rsid w:val="00A9009E"/>
    <w:rsid w:val="00A92D60"/>
    <w:rsid w:val="00A972C5"/>
    <w:rsid w:val="00AA10FE"/>
    <w:rsid w:val="00AB2E96"/>
    <w:rsid w:val="00AC07F5"/>
    <w:rsid w:val="00AC12C3"/>
    <w:rsid w:val="00AC47F6"/>
    <w:rsid w:val="00AC573B"/>
    <w:rsid w:val="00AC7923"/>
    <w:rsid w:val="00AE1CFC"/>
    <w:rsid w:val="00AE6F8C"/>
    <w:rsid w:val="00AE72B6"/>
    <w:rsid w:val="00AF06DD"/>
    <w:rsid w:val="00AF2710"/>
    <w:rsid w:val="00AF39F1"/>
    <w:rsid w:val="00AF3A48"/>
    <w:rsid w:val="00AF6B78"/>
    <w:rsid w:val="00AF7B24"/>
    <w:rsid w:val="00B03704"/>
    <w:rsid w:val="00B04366"/>
    <w:rsid w:val="00B0493B"/>
    <w:rsid w:val="00B06EDA"/>
    <w:rsid w:val="00B12984"/>
    <w:rsid w:val="00B2007C"/>
    <w:rsid w:val="00B22581"/>
    <w:rsid w:val="00B2356A"/>
    <w:rsid w:val="00B24F17"/>
    <w:rsid w:val="00B36CC7"/>
    <w:rsid w:val="00B4099F"/>
    <w:rsid w:val="00B41ACE"/>
    <w:rsid w:val="00B47696"/>
    <w:rsid w:val="00B72627"/>
    <w:rsid w:val="00B85EE3"/>
    <w:rsid w:val="00B908F9"/>
    <w:rsid w:val="00B9345F"/>
    <w:rsid w:val="00B94772"/>
    <w:rsid w:val="00B97FA5"/>
    <w:rsid w:val="00BA222E"/>
    <w:rsid w:val="00BA608D"/>
    <w:rsid w:val="00BB54D8"/>
    <w:rsid w:val="00BC2A01"/>
    <w:rsid w:val="00BC7946"/>
    <w:rsid w:val="00BE7D3E"/>
    <w:rsid w:val="00BF12A7"/>
    <w:rsid w:val="00BF2824"/>
    <w:rsid w:val="00BF6D2E"/>
    <w:rsid w:val="00C063FE"/>
    <w:rsid w:val="00C2519E"/>
    <w:rsid w:val="00C26D6C"/>
    <w:rsid w:val="00C30B3A"/>
    <w:rsid w:val="00C326E3"/>
    <w:rsid w:val="00C42ECD"/>
    <w:rsid w:val="00C55C66"/>
    <w:rsid w:val="00C67B3C"/>
    <w:rsid w:val="00C7216A"/>
    <w:rsid w:val="00C75227"/>
    <w:rsid w:val="00C753D8"/>
    <w:rsid w:val="00C802FA"/>
    <w:rsid w:val="00C84075"/>
    <w:rsid w:val="00C86A93"/>
    <w:rsid w:val="00C90D8C"/>
    <w:rsid w:val="00C92999"/>
    <w:rsid w:val="00CA0800"/>
    <w:rsid w:val="00CA1848"/>
    <w:rsid w:val="00CA3C70"/>
    <w:rsid w:val="00CA4CD6"/>
    <w:rsid w:val="00CB08C7"/>
    <w:rsid w:val="00CB34FE"/>
    <w:rsid w:val="00CB49D4"/>
    <w:rsid w:val="00CC3163"/>
    <w:rsid w:val="00CC41CC"/>
    <w:rsid w:val="00CC4F27"/>
    <w:rsid w:val="00CC65AF"/>
    <w:rsid w:val="00CD4EAF"/>
    <w:rsid w:val="00CD57AE"/>
    <w:rsid w:val="00CE67A6"/>
    <w:rsid w:val="00CE7F41"/>
    <w:rsid w:val="00CF192F"/>
    <w:rsid w:val="00CF2A53"/>
    <w:rsid w:val="00D06865"/>
    <w:rsid w:val="00D06961"/>
    <w:rsid w:val="00D079C3"/>
    <w:rsid w:val="00D23852"/>
    <w:rsid w:val="00D26BA3"/>
    <w:rsid w:val="00D3761D"/>
    <w:rsid w:val="00D4284E"/>
    <w:rsid w:val="00D52528"/>
    <w:rsid w:val="00D5475A"/>
    <w:rsid w:val="00D60643"/>
    <w:rsid w:val="00D61644"/>
    <w:rsid w:val="00D66A43"/>
    <w:rsid w:val="00D75A42"/>
    <w:rsid w:val="00D81882"/>
    <w:rsid w:val="00D87C52"/>
    <w:rsid w:val="00D900C8"/>
    <w:rsid w:val="00D92F5B"/>
    <w:rsid w:val="00D93169"/>
    <w:rsid w:val="00D94704"/>
    <w:rsid w:val="00D95DF3"/>
    <w:rsid w:val="00DA5215"/>
    <w:rsid w:val="00DA53A5"/>
    <w:rsid w:val="00DB76F4"/>
    <w:rsid w:val="00DC3D10"/>
    <w:rsid w:val="00DC5141"/>
    <w:rsid w:val="00DC7E8A"/>
    <w:rsid w:val="00DD25D9"/>
    <w:rsid w:val="00DD6C75"/>
    <w:rsid w:val="00DE0C1A"/>
    <w:rsid w:val="00DE1C2C"/>
    <w:rsid w:val="00DE1C8D"/>
    <w:rsid w:val="00DF0422"/>
    <w:rsid w:val="00DF224B"/>
    <w:rsid w:val="00DF3977"/>
    <w:rsid w:val="00E011F5"/>
    <w:rsid w:val="00E03242"/>
    <w:rsid w:val="00E07666"/>
    <w:rsid w:val="00E20912"/>
    <w:rsid w:val="00E22621"/>
    <w:rsid w:val="00E22DB8"/>
    <w:rsid w:val="00E23602"/>
    <w:rsid w:val="00E267C9"/>
    <w:rsid w:val="00E301EB"/>
    <w:rsid w:val="00E3063C"/>
    <w:rsid w:val="00E40B3D"/>
    <w:rsid w:val="00E41FFB"/>
    <w:rsid w:val="00E42B34"/>
    <w:rsid w:val="00E43031"/>
    <w:rsid w:val="00E44B86"/>
    <w:rsid w:val="00E5177F"/>
    <w:rsid w:val="00E55575"/>
    <w:rsid w:val="00E60C16"/>
    <w:rsid w:val="00E66061"/>
    <w:rsid w:val="00E71B7E"/>
    <w:rsid w:val="00E71FA1"/>
    <w:rsid w:val="00E71FB1"/>
    <w:rsid w:val="00E741E7"/>
    <w:rsid w:val="00E7580F"/>
    <w:rsid w:val="00E81EBC"/>
    <w:rsid w:val="00E90321"/>
    <w:rsid w:val="00E91337"/>
    <w:rsid w:val="00E92BE1"/>
    <w:rsid w:val="00E9329D"/>
    <w:rsid w:val="00EA11A6"/>
    <w:rsid w:val="00EA286D"/>
    <w:rsid w:val="00EA7880"/>
    <w:rsid w:val="00EB07CF"/>
    <w:rsid w:val="00EB4482"/>
    <w:rsid w:val="00EB563D"/>
    <w:rsid w:val="00EB6A32"/>
    <w:rsid w:val="00EC3A2F"/>
    <w:rsid w:val="00ED0073"/>
    <w:rsid w:val="00ED26EA"/>
    <w:rsid w:val="00ED6EC3"/>
    <w:rsid w:val="00EE26BF"/>
    <w:rsid w:val="00EE4F91"/>
    <w:rsid w:val="00EE7487"/>
    <w:rsid w:val="00F00173"/>
    <w:rsid w:val="00F0176B"/>
    <w:rsid w:val="00F02FDC"/>
    <w:rsid w:val="00F0414F"/>
    <w:rsid w:val="00F04CC7"/>
    <w:rsid w:val="00F21150"/>
    <w:rsid w:val="00F22A86"/>
    <w:rsid w:val="00F33BC6"/>
    <w:rsid w:val="00F3710A"/>
    <w:rsid w:val="00F37E0D"/>
    <w:rsid w:val="00F40311"/>
    <w:rsid w:val="00F417E8"/>
    <w:rsid w:val="00F43685"/>
    <w:rsid w:val="00F44F51"/>
    <w:rsid w:val="00F61293"/>
    <w:rsid w:val="00F633CB"/>
    <w:rsid w:val="00F64FDB"/>
    <w:rsid w:val="00F6644D"/>
    <w:rsid w:val="00F66CB2"/>
    <w:rsid w:val="00F679FE"/>
    <w:rsid w:val="00F72391"/>
    <w:rsid w:val="00F80740"/>
    <w:rsid w:val="00F80E2B"/>
    <w:rsid w:val="00F84FCE"/>
    <w:rsid w:val="00F964BF"/>
    <w:rsid w:val="00F96FF1"/>
    <w:rsid w:val="00FA404E"/>
    <w:rsid w:val="00FA4351"/>
    <w:rsid w:val="00FA5065"/>
    <w:rsid w:val="00FB0A28"/>
    <w:rsid w:val="00FB76E4"/>
    <w:rsid w:val="00FC6D78"/>
    <w:rsid w:val="00FD7825"/>
    <w:rsid w:val="00FE07EC"/>
    <w:rsid w:val="00FE383E"/>
    <w:rsid w:val="00FE5B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pl-PL"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166B2"/>
    <w:pPr>
      <w:spacing w:line="259" w:lineRule="auto"/>
      <w:jc w:val="both"/>
    </w:pPr>
    <w:rPr>
      <w:rFonts w:cstheme="minorBidi"/>
      <w:sz w:val="24"/>
      <w:szCs w:val="22"/>
    </w:rPr>
  </w:style>
  <w:style w:type="paragraph" w:styleId="Nagwek1">
    <w:name w:val="heading 1"/>
    <w:basedOn w:val="Normalny"/>
    <w:next w:val="Normalny"/>
    <w:link w:val="Nagwek1Znak"/>
    <w:autoRedefine/>
    <w:qFormat/>
    <w:rsid w:val="009166B2"/>
    <w:pPr>
      <w:keepNext/>
      <w:keepLines/>
      <w:spacing w:before="240"/>
      <w:outlineLvl w:val="0"/>
    </w:pPr>
    <w:rPr>
      <w:rFonts w:asciiTheme="majorHAnsi" w:eastAsiaTheme="majorEastAsia" w:hAnsiTheme="majorHAnsi" w:cstheme="majorBidi"/>
      <w:color w:val="000000" w:themeColor="text1"/>
      <w:sz w:val="28"/>
      <w:szCs w:val="32"/>
    </w:rPr>
  </w:style>
  <w:style w:type="paragraph" w:styleId="Nagwek2">
    <w:name w:val="heading 2"/>
    <w:basedOn w:val="Normalny"/>
    <w:next w:val="Normalny"/>
    <w:link w:val="Nagwek2Znak"/>
    <w:autoRedefine/>
    <w:unhideWhenUsed/>
    <w:qFormat/>
    <w:rsid w:val="00625387"/>
    <w:pPr>
      <w:keepNext/>
      <w:keepLines/>
      <w:spacing w:before="40" w:line="360" w:lineRule="auto"/>
      <w:outlineLvl w:val="1"/>
    </w:pPr>
    <w:rPr>
      <w:rFonts w:eastAsiaTheme="majorEastAsia" w:cs="Times New Roman"/>
      <w:color w:val="000000" w:themeColor="text1"/>
      <w:sz w:val="20"/>
      <w:szCs w:val="20"/>
    </w:rPr>
  </w:style>
  <w:style w:type="paragraph" w:styleId="Nagwek3">
    <w:name w:val="heading 3"/>
    <w:basedOn w:val="Normalny"/>
    <w:next w:val="Normalny"/>
    <w:link w:val="Nagwek3Znak"/>
    <w:autoRedefine/>
    <w:semiHidden/>
    <w:unhideWhenUsed/>
    <w:qFormat/>
    <w:rsid w:val="009166B2"/>
    <w:pPr>
      <w:keepNext/>
      <w:keepLines/>
      <w:spacing w:before="40"/>
      <w:outlineLvl w:val="2"/>
    </w:pPr>
    <w:rPr>
      <w:rFonts w:asciiTheme="majorHAnsi" w:eastAsiaTheme="majorEastAsia" w:hAnsiTheme="majorHAnsi" w:cstheme="majorBidi"/>
      <w:i/>
      <w:color w:val="000000" w:themeColor="text1"/>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9166B2"/>
    <w:pPr>
      <w:autoSpaceDE w:val="0"/>
      <w:autoSpaceDN w:val="0"/>
      <w:adjustRightInd w:val="0"/>
    </w:pPr>
    <w:rPr>
      <w:rFonts w:ascii="Calibri" w:eastAsia="Times New Roman" w:hAnsi="Calibri" w:cs="Calibri"/>
      <w:color w:val="000000"/>
      <w:sz w:val="24"/>
      <w:szCs w:val="24"/>
      <w:lang w:eastAsia="pl-PL"/>
    </w:rPr>
  </w:style>
  <w:style w:type="character" w:customStyle="1" w:styleId="Nagwek1Znak">
    <w:name w:val="Nagłówek 1 Znak"/>
    <w:basedOn w:val="Domylnaczcionkaakapitu"/>
    <w:link w:val="Nagwek1"/>
    <w:rsid w:val="009166B2"/>
    <w:rPr>
      <w:rFonts w:asciiTheme="majorHAnsi" w:eastAsiaTheme="majorEastAsia" w:hAnsiTheme="majorHAnsi" w:cstheme="majorBidi"/>
      <w:color w:val="000000" w:themeColor="text1"/>
      <w:sz w:val="28"/>
      <w:szCs w:val="32"/>
    </w:rPr>
  </w:style>
  <w:style w:type="paragraph" w:styleId="Tekstprzypisudolnego">
    <w:name w:val="footnote text"/>
    <w:basedOn w:val="Normalny"/>
    <w:link w:val="TekstprzypisudolnegoZnak"/>
    <w:rsid w:val="009166B2"/>
    <w:rPr>
      <w:rFonts w:eastAsia="Times New Roman"/>
    </w:rPr>
  </w:style>
  <w:style w:type="character" w:customStyle="1" w:styleId="TekstprzypisudolnegoZnak">
    <w:name w:val="Tekst przypisu dolnego Znak"/>
    <w:basedOn w:val="Domylnaczcionkaakapitu"/>
    <w:link w:val="Tekstprzypisudolnego"/>
    <w:rsid w:val="009166B2"/>
    <w:rPr>
      <w:rFonts w:eastAsia="Times New Roman" w:cstheme="minorBidi"/>
      <w:sz w:val="24"/>
      <w:szCs w:val="22"/>
    </w:rPr>
  </w:style>
  <w:style w:type="paragraph" w:styleId="Tekstkomentarza">
    <w:name w:val="annotation text"/>
    <w:basedOn w:val="Normalny"/>
    <w:link w:val="TekstkomentarzaZnak"/>
    <w:rsid w:val="009166B2"/>
    <w:rPr>
      <w:rFonts w:eastAsia="Times New Roman"/>
    </w:rPr>
  </w:style>
  <w:style w:type="character" w:customStyle="1" w:styleId="TekstkomentarzaZnak">
    <w:name w:val="Tekst komentarza Znak"/>
    <w:basedOn w:val="Domylnaczcionkaakapitu"/>
    <w:link w:val="Tekstkomentarza"/>
    <w:rsid w:val="009166B2"/>
    <w:rPr>
      <w:rFonts w:eastAsia="Times New Roman" w:cstheme="minorBidi"/>
      <w:sz w:val="24"/>
      <w:szCs w:val="22"/>
    </w:rPr>
  </w:style>
  <w:style w:type="paragraph" w:styleId="Nagwek">
    <w:name w:val="header"/>
    <w:basedOn w:val="Normalny"/>
    <w:link w:val="NagwekZnak"/>
    <w:autoRedefine/>
    <w:qFormat/>
    <w:rsid w:val="00E60C16"/>
    <w:pPr>
      <w:tabs>
        <w:tab w:val="center" w:pos="4536"/>
        <w:tab w:val="right" w:pos="9072"/>
      </w:tabs>
      <w:jc w:val="center"/>
    </w:pPr>
    <w:rPr>
      <w:rFonts w:eastAsia="Times New Roman"/>
    </w:rPr>
  </w:style>
  <w:style w:type="character" w:customStyle="1" w:styleId="NagwekZnak">
    <w:name w:val="Nagłówek Znak"/>
    <w:link w:val="Nagwek"/>
    <w:rsid w:val="00E60C16"/>
    <w:rPr>
      <w:rFonts w:eastAsia="Times New Roman" w:cstheme="minorBidi"/>
      <w:sz w:val="24"/>
      <w:szCs w:val="22"/>
    </w:rPr>
  </w:style>
  <w:style w:type="paragraph" w:styleId="Stopka">
    <w:name w:val="footer"/>
    <w:basedOn w:val="Normalny"/>
    <w:link w:val="StopkaZnak"/>
    <w:uiPriority w:val="99"/>
    <w:rsid w:val="009166B2"/>
    <w:pPr>
      <w:tabs>
        <w:tab w:val="center" w:pos="4536"/>
        <w:tab w:val="right" w:pos="9072"/>
      </w:tabs>
    </w:pPr>
    <w:rPr>
      <w:rFonts w:eastAsia="Times New Roman"/>
    </w:rPr>
  </w:style>
  <w:style w:type="character" w:customStyle="1" w:styleId="StopkaZnak">
    <w:name w:val="Stopka Znak"/>
    <w:link w:val="Stopka"/>
    <w:uiPriority w:val="99"/>
    <w:rsid w:val="009166B2"/>
    <w:rPr>
      <w:rFonts w:eastAsia="Times New Roman" w:cstheme="minorBidi"/>
      <w:sz w:val="24"/>
      <w:szCs w:val="22"/>
    </w:rPr>
  </w:style>
  <w:style w:type="paragraph" w:styleId="Legenda">
    <w:name w:val="caption"/>
    <w:basedOn w:val="Normalny"/>
    <w:next w:val="Normalny"/>
    <w:unhideWhenUsed/>
    <w:qFormat/>
    <w:rsid w:val="009166B2"/>
    <w:rPr>
      <w:rFonts w:eastAsia="Times New Roman"/>
      <w:b/>
      <w:bCs/>
    </w:rPr>
  </w:style>
  <w:style w:type="character" w:styleId="Odwoanieprzypisudolnego">
    <w:name w:val="footnote reference"/>
    <w:rsid w:val="009166B2"/>
    <w:rPr>
      <w:vertAlign w:val="superscript"/>
    </w:rPr>
  </w:style>
  <w:style w:type="character" w:styleId="Odwoaniedokomentarza">
    <w:name w:val="annotation reference"/>
    <w:basedOn w:val="Domylnaczcionkaakapitu"/>
    <w:rsid w:val="009166B2"/>
    <w:rPr>
      <w:sz w:val="16"/>
      <w:szCs w:val="16"/>
    </w:rPr>
  </w:style>
  <w:style w:type="character" w:styleId="Odwoanieprzypisukocowego">
    <w:name w:val="endnote reference"/>
    <w:basedOn w:val="Domylnaczcionkaakapitu"/>
    <w:rsid w:val="009166B2"/>
    <w:rPr>
      <w:vertAlign w:val="superscript"/>
    </w:rPr>
  </w:style>
  <w:style w:type="paragraph" w:styleId="Tekstprzypisukocowego">
    <w:name w:val="endnote text"/>
    <w:basedOn w:val="Normalny"/>
    <w:link w:val="TekstprzypisukocowegoZnak"/>
    <w:rsid w:val="009166B2"/>
    <w:rPr>
      <w:rFonts w:eastAsia="Times New Roman"/>
    </w:rPr>
  </w:style>
  <w:style w:type="character" w:customStyle="1" w:styleId="TekstprzypisukocowegoZnak">
    <w:name w:val="Tekst przypisu końcowego Znak"/>
    <w:basedOn w:val="Domylnaczcionkaakapitu"/>
    <w:link w:val="Tekstprzypisukocowego"/>
    <w:rsid w:val="009166B2"/>
    <w:rPr>
      <w:rFonts w:eastAsia="Times New Roman" w:cstheme="minorBidi"/>
      <w:sz w:val="24"/>
      <w:szCs w:val="22"/>
    </w:rPr>
  </w:style>
  <w:style w:type="character" w:styleId="Hipercze">
    <w:name w:val="Hyperlink"/>
    <w:basedOn w:val="Domylnaczcionkaakapitu"/>
    <w:rsid w:val="009166B2"/>
    <w:rPr>
      <w:color w:val="0563C1" w:themeColor="hyperlink"/>
      <w:u w:val="single"/>
    </w:rPr>
  </w:style>
  <w:style w:type="paragraph" w:styleId="NormalnyWeb">
    <w:name w:val="Normal (Web)"/>
    <w:basedOn w:val="Normalny"/>
    <w:uiPriority w:val="99"/>
    <w:unhideWhenUsed/>
    <w:rsid w:val="009166B2"/>
    <w:pPr>
      <w:spacing w:before="100" w:beforeAutospacing="1" w:after="100" w:afterAutospacing="1"/>
    </w:pPr>
    <w:rPr>
      <w:rFonts w:eastAsia="Times New Roman"/>
    </w:rPr>
  </w:style>
  <w:style w:type="paragraph" w:styleId="Tematkomentarza">
    <w:name w:val="annotation subject"/>
    <w:basedOn w:val="Tekstkomentarza"/>
    <w:next w:val="Tekstkomentarza"/>
    <w:link w:val="TematkomentarzaZnak"/>
    <w:rsid w:val="009166B2"/>
    <w:rPr>
      <w:b/>
      <w:bCs/>
    </w:rPr>
  </w:style>
  <w:style w:type="character" w:customStyle="1" w:styleId="TematkomentarzaZnak">
    <w:name w:val="Temat komentarza Znak"/>
    <w:basedOn w:val="TekstkomentarzaZnak"/>
    <w:link w:val="Tematkomentarza"/>
    <w:rsid w:val="009166B2"/>
    <w:rPr>
      <w:rFonts w:eastAsia="Times New Roman" w:cstheme="minorBidi"/>
      <w:b/>
      <w:bCs/>
      <w:sz w:val="24"/>
      <w:szCs w:val="22"/>
    </w:rPr>
  </w:style>
  <w:style w:type="paragraph" w:styleId="Tekstdymka">
    <w:name w:val="Balloon Text"/>
    <w:basedOn w:val="Normalny"/>
    <w:link w:val="TekstdymkaZnak"/>
    <w:rsid w:val="009166B2"/>
    <w:rPr>
      <w:rFonts w:ascii="Segoe UI" w:eastAsia="Times New Roman" w:hAnsi="Segoe UI" w:cs="Segoe UI"/>
      <w:sz w:val="18"/>
      <w:szCs w:val="18"/>
    </w:rPr>
  </w:style>
  <w:style w:type="character" w:customStyle="1" w:styleId="TekstdymkaZnak">
    <w:name w:val="Tekst dymka Znak"/>
    <w:basedOn w:val="Domylnaczcionkaakapitu"/>
    <w:link w:val="Tekstdymka"/>
    <w:rsid w:val="009166B2"/>
    <w:rPr>
      <w:rFonts w:ascii="Segoe UI" w:eastAsia="Times New Roman" w:hAnsi="Segoe UI" w:cs="Segoe UI"/>
      <w:sz w:val="18"/>
      <w:szCs w:val="18"/>
    </w:rPr>
  </w:style>
  <w:style w:type="table" w:styleId="Tabela-Siatka">
    <w:name w:val="Table Grid"/>
    <w:basedOn w:val="Standardowy"/>
    <w:rsid w:val="009166B2"/>
    <w:rPr>
      <w:rFonts w:eastAsia="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9166B2"/>
    <w:pPr>
      <w:spacing w:after="200" w:line="276" w:lineRule="auto"/>
      <w:ind w:left="720"/>
      <w:contextualSpacing/>
    </w:pPr>
    <w:rPr>
      <w:rFonts w:ascii="Calibri" w:eastAsia="Calibri" w:hAnsi="Calibri"/>
      <w:sz w:val="22"/>
    </w:rPr>
  </w:style>
  <w:style w:type="character" w:customStyle="1" w:styleId="Nagwek2Znak">
    <w:name w:val="Nagłówek 2 Znak"/>
    <w:basedOn w:val="Domylnaczcionkaakapitu"/>
    <w:link w:val="Nagwek2"/>
    <w:rsid w:val="00625387"/>
    <w:rPr>
      <w:rFonts w:eastAsiaTheme="majorEastAsia"/>
      <w:color w:val="000000" w:themeColor="text1"/>
    </w:rPr>
  </w:style>
  <w:style w:type="character" w:customStyle="1" w:styleId="Nagwek3Znak">
    <w:name w:val="Nagłówek 3 Znak"/>
    <w:basedOn w:val="Domylnaczcionkaakapitu"/>
    <w:link w:val="Nagwek3"/>
    <w:semiHidden/>
    <w:rsid w:val="009166B2"/>
    <w:rPr>
      <w:rFonts w:asciiTheme="majorHAnsi" w:eastAsiaTheme="majorEastAsia" w:hAnsiTheme="majorHAnsi" w:cstheme="majorBidi"/>
      <w:i/>
      <w:color w:val="000000" w:themeColor="text1"/>
      <w:sz w:val="24"/>
      <w:szCs w:val="24"/>
    </w:rPr>
  </w:style>
  <w:style w:type="character" w:customStyle="1" w:styleId="orcid-id-https">
    <w:name w:val="orcid-id-https"/>
    <w:basedOn w:val="Domylnaczcionkaakapitu"/>
    <w:rsid w:val="004872FC"/>
  </w:style>
  <w:style w:type="paragraph" w:styleId="HTML-wstpniesformatowany">
    <w:name w:val="HTML Preformatted"/>
    <w:basedOn w:val="Normalny"/>
    <w:link w:val="HTML-wstpniesformatowanyZnak"/>
    <w:uiPriority w:val="99"/>
    <w:semiHidden/>
    <w:unhideWhenUsed/>
    <w:rsid w:val="004872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val="en-GB" w:eastAsia="en-GB"/>
    </w:rPr>
  </w:style>
  <w:style w:type="character" w:customStyle="1" w:styleId="HTML-wstpniesformatowanyZnak">
    <w:name w:val="HTML - wstępnie sformatowany Znak"/>
    <w:basedOn w:val="Domylnaczcionkaakapitu"/>
    <w:link w:val="HTML-wstpniesformatowany"/>
    <w:uiPriority w:val="99"/>
    <w:semiHidden/>
    <w:rsid w:val="004872FC"/>
    <w:rPr>
      <w:rFonts w:ascii="Courier New" w:eastAsia="Times New Roman" w:hAnsi="Courier New" w:cs="Courier New"/>
      <w:lang w:val="en-GB" w:eastAsia="en-GB"/>
    </w:rPr>
  </w:style>
  <w:style w:type="character" w:customStyle="1" w:styleId="st">
    <w:name w:val="st"/>
    <w:basedOn w:val="Domylnaczcionkaakapitu"/>
    <w:rsid w:val="004872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pl-PL"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166B2"/>
    <w:pPr>
      <w:spacing w:line="259" w:lineRule="auto"/>
      <w:jc w:val="both"/>
    </w:pPr>
    <w:rPr>
      <w:rFonts w:cstheme="minorBidi"/>
      <w:sz w:val="24"/>
      <w:szCs w:val="22"/>
    </w:rPr>
  </w:style>
  <w:style w:type="paragraph" w:styleId="Nagwek1">
    <w:name w:val="heading 1"/>
    <w:basedOn w:val="Normalny"/>
    <w:next w:val="Normalny"/>
    <w:link w:val="Nagwek1Znak"/>
    <w:autoRedefine/>
    <w:qFormat/>
    <w:rsid w:val="009166B2"/>
    <w:pPr>
      <w:keepNext/>
      <w:keepLines/>
      <w:spacing w:before="240"/>
      <w:outlineLvl w:val="0"/>
    </w:pPr>
    <w:rPr>
      <w:rFonts w:asciiTheme="majorHAnsi" w:eastAsiaTheme="majorEastAsia" w:hAnsiTheme="majorHAnsi" w:cstheme="majorBidi"/>
      <w:color w:val="000000" w:themeColor="text1"/>
      <w:sz w:val="28"/>
      <w:szCs w:val="32"/>
    </w:rPr>
  </w:style>
  <w:style w:type="paragraph" w:styleId="Nagwek2">
    <w:name w:val="heading 2"/>
    <w:basedOn w:val="Normalny"/>
    <w:next w:val="Normalny"/>
    <w:link w:val="Nagwek2Znak"/>
    <w:autoRedefine/>
    <w:unhideWhenUsed/>
    <w:qFormat/>
    <w:rsid w:val="00625387"/>
    <w:pPr>
      <w:keepNext/>
      <w:keepLines/>
      <w:spacing w:before="40" w:line="360" w:lineRule="auto"/>
      <w:outlineLvl w:val="1"/>
    </w:pPr>
    <w:rPr>
      <w:rFonts w:eastAsiaTheme="majorEastAsia" w:cs="Times New Roman"/>
      <w:color w:val="000000" w:themeColor="text1"/>
      <w:sz w:val="20"/>
      <w:szCs w:val="20"/>
    </w:rPr>
  </w:style>
  <w:style w:type="paragraph" w:styleId="Nagwek3">
    <w:name w:val="heading 3"/>
    <w:basedOn w:val="Normalny"/>
    <w:next w:val="Normalny"/>
    <w:link w:val="Nagwek3Znak"/>
    <w:autoRedefine/>
    <w:semiHidden/>
    <w:unhideWhenUsed/>
    <w:qFormat/>
    <w:rsid w:val="009166B2"/>
    <w:pPr>
      <w:keepNext/>
      <w:keepLines/>
      <w:spacing w:before="40"/>
      <w:outlineLvl w:val="2"/>
    </w:pPr>
    <w:rPr>
      <w:rFonts w:asciiTheme="majorHAnsi" w:eastAsiaTheme="majorEastAsia" w:hAnsiTheme="majorHAnsi" w:cstheme="majorBidi"/>
      <w:i/>
      <w:color w:val="000000" w:themeColor="text1"/>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9166B2"/>
    <w:pPr>
      <w:autoSpaceDE w:val="0"/>
      <w:autoSpaceDN w:val="0"/>
      <w:adjustRightInd w:val="0"/>
    </w:pPr>
    <w:rPr>
      <w:rFonts w:ascii="Calibri" w:eastAsia="Times New Roman" w:hAnsi="Calibri" w:cs="Calibri"/>
      <w:color w:val="000000"/>
      <w:sz w:val="24"/>
      <w:szCs w:val="24"/>
      <w:lang w:eastAsia="pl-PL"/>
    </w:rPr>
  </w:style>
  <w:style w:type="character" w:customStyle="1" w:styleId="Nagwek1Znak">
    <w:name w:val="Nagłówek 1 Znak"/>
    <w:basedOn w:val="Domylnaczcionkaakapitu"/>
    <w:link w:val="Nagwek1"/>
    <w:rsid w:val="009166B2"/>
    <w:rPr>
      <w:rFonts w:asciiTheme="majorHAnsi" w:eastAsiaTheme="majorEastAsia" w:hAnsiTheme="majorHAnsi" w:cstheme="majorBidi"/>
      <w:color w:val="000000" w:themeColor="text1"/>
      <w:sz w:val="28"/>
      <w:szCs w:val="32"/>
    </w:rPr>
  </w:style>
  <w:style w:type="paragraph" w:styleId="Tekstprzypisudolnego">
    <w:name w:val="footnote text"/>
    <w:basedOn w:val="Normalny"/>
    <w:link w:val="TekstprzypisudolnegoZnak"/>
    <w:rsid w:val="009166B2"/>
    <w:rPr>
      <w:rFonts w:eastAsia="Times New Roman"/>
    </w:rPr>
  </w:style>
  <w:style w:type="character" w:customStyle="1" w:styleId="TekstprzypisudolnegoZnak">
    <w:name w:val="Tekst przypisu dolnego Znak"/>
    <w:basedOn w:val="Domylnaczcionkaakapitu"/>
    <w:link w:val="Tekstprzypisudolnego"/>
    <w:rsid w:val="009166B2"/>
    <w:rPr>
      <w:rFonts w:eastAsia="Times New Roman" w:cstheme="minorBidi"/>
      <w:sz w:val="24"/>
      <w:szCs w:val="22"/>
    </w:rPr>
  </w:style>
  <w:style w:type="paragraph" w:styleId="Tekstkomentarza">
    <w:name w:val="annotation text"/>
    <w:basedOn w:val="Normalny"/>
    <w:link w:val="TekstkomentarzaZnak"/>
    <w:rsid w:val="009166B2"/>
    <w:rPr>
      <w:rFonts w:eastAsia="Times New Roman"/>
    </w:rPr>
  </w:style>
  <w:style w:type="character" w:customStyle="1" w:styleId="TekstkomentarzaZnak">
    <w:name w:val="Tekst komentarza Znak"/>
    <w:basedOn w:val="Domylnaczcionkaakapitu"/>
    <w:link w:val="Tekstkomentarza"/>
    <w:rsid w:val="009166B2"/>
    <w:rPr>
      <w:rFonts w:eastAsia="Times New Roman" w:cstheme="minorBidi"/>
      <w:sz w:val="24"/>
      <w:szCs w:val="22"/>
    </w:rPr>
  </w:style>
  <w:style w:type="paragraph" w:styleId="Nagwek">
    <w:name w:val="header"/>
    <w:basedOn w:val="Normalny"/>
    <w:link w:val="NagwekZnak"/>
    <w:autoRedefine/>
    <w:qFormat/>
    <w:rsid w:val="00E60C16"/>
    <w:pPr>
      <w:tabs>
        <w:tab w:val="center" w:pos="4536"/>
        <w:tab w:val="right" w:pos="9072"/>
      </w:tabs>
      <w:jc w:val="center"/>
    </w:pPr>
    <w:rPr>
      <w:rFonts w:eastAsia="Times New Roman"/>
    </w:rPr>
  </w:style>
  <w:style w:type="character" w:customStyle="1" w:styleId="NagwekZnak">
    <w:name w:val="Nagłówek Znak"/>
    <w:link w:val="Nagwek"/>
    <w:rsid w:val="00E60C16"/>
    <w:rPr>
      <w:rFonts w:eastAsia="Times New Roman" w:cstheme="minorBidi"/>
      <w:sz w:val="24"/>
      <w:szCs w:val="22"/>
    </w:rPr>
  </w:style>
  <w:style w:type="paragraph" w:styleId="Stopka">
    <w:name w:val="footer"/>
    <w:basedOn w:val="Normalny"/>
    <w:link w:val="StopkaZnak"/>
    <w:uiPriority w:val="99"/>
    <w:rsid w:val="009166B2"/>
    <w:pPr>
      <w:tabs>
        <w:tab w:val="center" w:pos="4536"/>
        <w:tab w:val="right" w:pos="9072"/>
      </w:tabs>
    </w:pPr>
    <w:rPr>
      <w:rFonts w:eastAsia="Times New Roman"/>
    </w:rPr>
  </w:style>
  <w:style w:type="character" w:customStyle="1" w:styleId="StopkaZnak">
    <w:name w:val="Stopka Znak"/>
    <w:link w:val="Stopka"/>
    <w:uiPriority w:val="99"/>
    <w:rsid w:val="009166B2"/>
    <w:rPr>
      <w:rFonts w:eastAsia="Times New Roman" w:cstheme="minorBidi"/>
      <w:sz w:val="24"/>
      <w:szCs w:val="22"/>
    </w:rPr>
  </w:style>
  <w:style w:type="paragraph" w:styleId="Legenda">
    <w:name w:val="caption"/>
    <w:basedOn w:val="Normalny"/>
    <w:next w:val="Normalny"/>
    <w:unhideWhenUsed/>
    <w:qFormat/>
    <w:rsid w:val="009166B2"/>
    <w:rPr>
      <w:rFonts w:eastAsia="Times New Roman"/>
      <w:b/>
      <w:bCs/>
    </w:rPr>
  </w:style>
  <w:style w:type="character" w:styleId="Odwoanieprzypisudolnego">
    <w:name w:val="footnote reference"/>
    <w:rsid w:val="009166B2"/>
    <w:rPr>
      <w:vertAlign w:val="superscript"/>
    </w:rPr>
  </w:style>
  <w:style w:type="character" w:styleId="Odwoaniedokomentarza">
    <w:name w:val="annotation reference"/>
    <w:basedOn w:val="Domylnaczcionkaakapitu"/>
    <w:rsid w:val="009166B2"/>
    <w:rPr>
      <w:sz w:val="16"/>
      <w:szCs w:val="16"/>
    </w:rPr>
  </w:style>
  <w:style w:type="character" w:styleId="Odwoanieprzypisukocowego">
    <w:name w:val="endnote reference"/>
    <w:basedOn w:val="Domylnaczcionkaakapitu"/>
    <w:rsid w:val="009166B2"/>
    <w:rPr>
      <w:vertAlign w:val="superscript"/>
    </w:rPr>
  </w:style>
  <w:style w:type="paragraph" w:styleId="Tekstprzypisukocowego">
    <w:name w:val="endnote text"/>
    <w:basedOn w:val="Normalny"/>
    <w:link w:val="TekstprzypisukocowegoZnak"/>
    <w:rsid w:val="009166B2"/>
    <w:rPr>
      <w:rFonts w:eastAsia="Times New Roman"/>
    </w:rPr>
  </w:style>
  <w:style w:type="character" w:customStyle="1" w:styleId="TekstprzypisukocowegoZnak">
    <w:name w:val="Tekst przypisu końcowego Znak"/>
    <w:basedOn w:val="Domylnaczcionkaakapitu"/>
    <w:link w:val="Tekstprzypisukocowego"/>
    <w:rsid w:val="009166B2"/>
    <w:rPr>
      <w:rFonts w:eastAsia="Times New Roman" w:cstheme="minorBidi"/>
      <w:sz w:val="24"/>
      <w:szCs w:val="22"/>
    </w:rPr>
  </w:style>
  <w:style w:type="character" w:styleId="Hipercze">
    <w:name w:val="Hyperlink"/>
    <w:basedOn w:val="Domylnaczcionkaakapitu"/>
    <w:rsid w:val="009166B2"/>
    <w:rPr>
      <w:color w:val="0563C1" w:themeColor="hyperlink"/>
      <w:u w:val="single"/>
    </w:rPr>
  </w:style>
  <w:style w:type="paragraph" w:styleId="NormalnyWeb">
    <w:name w:val="Normal (Web)"/>
    <w:basedOn w:val="Normalny"/>
    <w:uiPriority w:val="99"/>
    <w:unhideWhenUsed/>
    <w:rsid w:val="009166B2"/>
    <w:pPr>
      <w:spacing w:before="100" w:beforeAutospacing="1" w:after="100" w:afterAutospacing="1"/>
    </w:pPr>
    <w:rPr>
      <w:rFonts w:eastAsia="Times New Roman"/>
    </w:rPr>
  </w:style>
  <w:style w:type="paragraph" w:styleId="Tematkomentarza">
    <w:name w:val="annotation subject"/>
    <w:basedOn w:val="Tekstkomentarza"/>
    <w:next w:val="Tekstkomentarza"/>
    <w:link w:val="TematkomentarzaZnak"/>
    <w:rsid w:val="009166B2"/>
    <w:rPr>
      <w:b/>
      <w:bCs/>
    </w:rPr>
  </w:style>
  <w:style w:type="character" w:customStyle="1" w:styleId="TematkomentarzaZnak">
    <w:name w:val="Temat komentarza Znak"/>
    <w:basedOn w:val="TekstkomentarzaZnak"/>
    <w:link w:val="Tematkomentarza"/>
    <w:rsid w:val="009166B2"/>
    <w:rPr>
      <w:rFonts w:eastAsia="Times New Roman" w:cstheme="minorBidi"/>
      <w:b/>
      <w:bCs/>
      <w:sz w:val="24"/>
      <w:szCs w:val="22"/>
    </w:rPr>
  </w:style>
  <w:style w:type="paragraph" w:styleId="Tekstdymka">
    <w:name w:val="Balloon Text"/>
    <w:basedOn w:val="Normalny"/>
    <w:link w:val="TekstdymkaZnak"/>
    <w:rsid w:val="009166B2"/>
    <w:rPr>
      <w:rFonts w:ascii="Segoe UI" w:eastAsia="Times New Roman" w:hAnsi="Segoe UI" w:cs="Segoe UI"/>
      <w:sz w:val="18"/>
      <w:szCs w:val="18"/>
    </w:rPr>
  </w:style>
  <w:style w:type="character" w:customStyle="1" w:styleId="TekstdymkaZnak">
    <w:name w:val="Tekst dymka Znak"/>
    <w:basedOn w:val="Domylnaczcionkaakapitu"/>
    <w:link w:val="Tekstdymka"/>
    <w:rsid w:val="009166B2"/>
    <w:rPr>
      <w:rFonts w:ascii="Segoe UI" w:eastAsia="Times New Roman" w:hAnsi="Segoe UI" w:cs="Segoe UI"/>
      <w:sz w:val="18"/>
      <w:szCs w:val="18"/>
    </w:rPr>
  </w:style>
  <w:style w:type="table" w:styleId="Tabela-Siatka">
    <w:name w:val="Table Grid"/>
    <w:basedOn w:val="Standardowy"/>
    <w:rsid w:val="009166B2"/>
    <w:rPr>
      <w:rFonts w:eastAsia="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9166B2"/>
    <w:pPr>
      <w:spacing w:after="200" w:line="276" w:lineRule="auto"/>
      <w:ind w:left="720"/>
      <w:contextualSpacing/>
    </w:pPr>
    <w:rPr>
      <w:rFonts w:ascii="Calibri" w:eastAsia="Calibri" w:hAnsi="Calibri"/>
      <w:sz w:val="22"/>
    </w:rPr>
  </w:style>
  <w:style w:type="character" w:customStyle="1" w:styleId="Nagwek2Znak">
    <w:name w:val="Nagłówek 2 Znak"/>
    <w:basedOn w:val="Domylnaczcionkaakapitu"/>
    <w:link w:val="Nagwek2"/>
    <w:rsid w:val="00625387"/>
    <w:rPr>
      <w:rFonts w:eastAsiaTheme="majorEastAsia"/>
      <w:color w:val="000000" w:themeColor="text1"/>
    </w:rPr>
  </w:style>
  <w:style w:type="character" w:customStyle="1" w:styleId="Nagwek3Znak">
    <w:name w:val="Nagłówek 3 Znak"/>
    <w:basedOn w:val="Domylnaczcionkaakapitu"/>
    <w:link w:val="Nagwek3"/>
    <w:semiHidden/>
    <w:rsid w:val="009166B2"/>
    <w:rPr>
      <w:rFonts w:asciiTheme="majorHAnsi" w:eastAsiaTheme="majorEastAsia" w:hAnsiTheme="majorHAnsi" w:cstheme="majorBidi"/>
      <w:i/>
      <w:color w:val="000000" w:themeColor="text1"/>
      <w:sz w:val="24"/>
      <w:szCs w:val="24"/>
    </w:rPr>
  </w:style>
  <w:style w:type="character" w:customStyle="1" w:styleId="orcid-id-https">
    <w:name w:val="orcid-id-https"/>
    <w:basedOn w:val="Domylnaczcionkaakapitu"/>
    <w:rsid w:val="004872FC"/>
  </w:style>
  <w:style w:type="paragraph" w:styleId="HTML-wstpniesformatowany">
    <w:name w:val="HTML Preformatted"/>
    <w:basedOn w:val="Normalny"/>
    <w:link w:val="HTML-wstpniesformatowanyZnak"/>
    <w:uiPriority w:val="99"/>
    <w:semiHidden/>
    <w:unhideWhenUsed/>
    <w:rsid w:val="004872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val="en-GB" w:eastAsia="en-GB"/>
    </w:rPr>
  </w:style>
  <w:style w:type="character" w:customStyle="1" w:styleId="HTML-wstpniesformatowanyZnak">
    <w:name w:val="HTML - wstępnie sformatowany Znak"/>
    <w:basedOn w:val="Domylnaczcionkaakapitu"/>
    <w:link w:val="HTML-wstpniesformatowany"/>
    <w:uiPriority w:val="99"/>
    <w:semiHidden/>
    <w:rsid w:val="004872FC"/>
    <w:rPr>
      <w:rFonts w:ascii="Courier New" w:eastAsia="Times New Roman" w:hAnsi="Courier New" w:cs="Courier New"/>
      <w:lang w:val="en-GB" w:eastAsia="en-GB"/>
    </w:rPr>
  </w:style>
  <w:style w:type="character" w:customStyle="1" w:styleId="st">
    <w:name w:val="st"/>
    <w:basedOn w:val="Domylnaczcionkaakapitu"/>
    <w:rsid w:val="004872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3460">
      <w:bodyDiv w:val="1"/>
      <w:marLeft w:val="0"/>
      <w:marRight w:val="0"/>
      <w:marTop w:val="0"/>
      <w:marBottom w:val="0"/>
      <w:divBdr>
        <w:top w:val="none" w:sz="0" w:space="0" w:color="auto"/>
        <w:left w:val="none" w:sz="0" w:space="0" w:color="auto"/>
        <w:bottom w:val="none" w:sz="0" w:space="0" w:color="auto"/>
        <w:right w:val="none" w:sz="0" w:space="0" w:color="auto"/>
      </w:divBdr>
    </w:div>
    <w:div w:id="202329350">
      <w:bodyDiv w:val="1"/>
      <w:marLeft w:val="0"/>
      <w:marRight w:val="0"/>
      <w:marTop w:val="0"/>
      <w:marBottom w:val="0"/>
      <w:divBdr>
        <w:top w:val="none" w:sz="0" w:space="0" w:color="auto"/>
        <w:left w:val="none" w:sz="0" w:space="0" w:color="auto"/>
        <w:bottom w:val="none" w:sz="0" w:space="0" w:color="auto"/>
        <w:right w:val="none" w:sz="0" w:space="0" w:color="auto"/>
      </w:divBdr>
    </w:div>
    <w:div w:id="293801553">
      <w:bodyDiv w:val="1"/>
      <w:marLeft w:val="0"/>
      <w:marRight w:val="0"/>
      <w:marTop w:val="0"/>
      <w:marBottom w:val="0"/>
      <w:divBdr>
        <w:top w:val="none" w:sz="0" w:space="0" w:color="auto"/>
        <w:left w:val="none" w:sz="0" w:space="0" w:color="auto"/>
        <w:bottom w:val="none" w:sz="0" w:space="0" w:color="auto"/>
        <w:right w:val="none" w:sz="0" w:space="0" w:color="auto"/>
      </w:divBdr>
    </w:div>
    <w:div w:id="379327145">
      <w:bodyDiv w:val="1"/>
      <w:marLeft w:val="0"/>
      <w:marRight w:val="0"/>
      <w:marTop w:val="0"/>
      <w:marBottom w:val="0"/>
      <w:divBdr>
        <w:top w:val="none" w:sz="0" w:space="0" w:color="auto"/>
        <w:left w:val="none" w:sz="0" w:space="0" w:color="auto"/>
        <w:bottom w:val="none" w:sz="0" w:space="0" w:color="auto"/>
        <w:right w:val="none" w:sz="0" w:space="0" w:color="auto"/>
      </w:divBdr>
      <w:divsChild>
        <w:div w:id="811756632">
          <w:marLeft w:val="0"/>
          <w:marRight w:val="0"/>
          <w:marTop w:val="0"/>
          <w:marBottom w:val="0"/>
          <w:divBdr>
            <w:top w:val="none" w:sz="0" w:space="0" w:color="auto"/>
            <w:left w:val="none" w:sz="0" w:space="0" w:color="auto"/>
            <w:bottom w:val="none" w:sz="0" w:space="0" w:color="auto"/>
            <w:right w:val="none" w:sz="0" w:space="0" w:color="auto"/>
          </w:divBdr>
        </w:div>
      </w:divsChild>
    </w:div>
    <w:div w:id="390351929">
      <w:bodyDiv w:val="1"/>
      <w:marLeft w:val="0"/>
      <w:marRight w:val="0"/>
      <w:marTop w:val="0"/>
      <w:marBottom w:val="0"/>
      <w:divBdr>
        <w:top w:val="none" w:sz="0" w:space="0" w:color="auto"/>
        <w:left w:val="none" w:sz="0" w:space="0" w:color="auto"/>
        <w:bottom w:val="none" w:sz="0" w:space="0" w:color="auto"/>
        <w:right w:val="none" w:sz="0" w:space="0" w:color="auto"/>
      </w:divBdr>
    </w:div>
    <w:div w:id="538860479">
      <w:bodyDiv w:val="1"/>
      <w:marLeft w:val="0"/>
      <w:marRight w:val="0"/>
      <w:marTop w:val="0"/>
      <w:marBottom w:val="0"/>
      <w:divBdr>
        <w:top w:val="none" w:sz="0" w:space="0" w:color="auto"/>
        <w:left w:val="none" w:sz="0" w:space="0" w:color="auto"/>
        <w:bottom w:val="none" w:sz="0" w:space="0" w:color="auto"/>
        <w:right w:val="none" w:sz="0" w:space="0" w:color="auto"/>
      </w:divBdr>
      <w:divsChild>
        <w:div w:id="1204443567">
          <w:marLeft w:val="0"/>
          <w:marRight w:val="0"/>
          <w:marTop w:val="0"/>
          <w:marBottom w:val="0"/>
          <w:divBdr>
            <w:top w:val="none" w:sz="0" w:space="0" w:color="auto"/>
            <w:left w:val="none" w:sz="0" w:space="0" w:color="auto"/>
            <w:bottom w:val="none" w:sz="0" w:space="0" w:color="auto"/>
            <w:right w:val="none" w:sz="0" w:space="0" w:color="auto"/>
          </w:divBdr>
          <w:divsChild>
            <w:div w:id="1119379688">
              <w:marLeft w:val="0"/>
              <w:marRight w:val="0"/>
              <w:marTop w:val="0"/>
              <w:marBottom w:val="0"/>
              <w:divBdr>
                <w:top w:val="none" w:sz="0" w:space="0" w:color="auto"/>
                <w:left w:val="none" w:sz="0" w:space="0" w:color="auto"/>
                <w:bottom w:val="none" w:sz="0" w:space="0" w:color="auto"/>
                <w:right w:val="none" w:sz="0" w:space="0" w:color="auto"/>
              </w:divBdr>
              <w:divsChild>
                <w:div w:id="1910529416">
                  <w:marLeft w:val="0"/>
                  <w:marRight w:val="0"/>
                  <w:marTop w:val="0"/>
                  <w:marBottom w:val="0"/>
                  <w:divBdr>
                    <w:top w:val="none" w:sz="0" w:space="0" w:color="auto"/>
                    <w:left w:val="none" w:sz="0" w:space="0" w:color="auto"/>
                    <w:bottom w:val="none" w:sz="0" w:space="0" w:color="auto"/>
                    <w:right w:val="none" w:sz="0" w:space="0" w:color="auto"/>
                  </w:divBdr>
                  <w:divsChild>
                    <w:div w:id="182689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166209">
      <w:bodyDiv w:val="1"/>
      <w:marLeft w:val="0"/>
      <w:marRight w:val="0"/>
      <w:marTop w:val="0"/>
      <w:marBottom w:val="0"/>
      <w:divBdr>
        <w:top w:val="none" w:sz="0" w:space="0" w:color="auto"/>
        <w:left w:val="none" w:sz="0" w:space="0" w:color="auto"/>
        <w:bottom w:val="none" w:sz="0" w:space="0" w:color="auto"/>
        <w:right w:val="none" w:sz="0" w:space="0" w:color="auto"/>
      </w:divBdr>
    </w:div>
    <w:div w:id="823667386">
      <w:bodyDiv w:val="1"/>
      <w:marLeft w:val="0"/>
      <w:marRight w:val="0"/>
      <w:marTop w:val="0"/>
      <w:marBottom w:val="0"/>
      <w:divBdr>
        <w:top w:val="none" w:sz="0" w:space="0" w:color="auto"/>
        <w:left w:val="none" w:sz="0" w:space="0" w:color="auto"/>
        <w:bottom w:val="none" w:sz="0" w:space="0" w:color="auto"/>
        <w:right w:val="none" w:sz="0" w:space="0" w:color="auto"/>
      </w:divBdr>
      <w:divsChild>
        <w:div w:id="847060862">
          <w:marLeft w:val="0"/>
          <w:marRight w:val="0"/>
          <w:marTop w:val="0"/>
          <w:marBottom w:val="0"/>
          <w:divBdr>
            <w:top w:val="none" w:sz="0" w:space="0" w:color="auto"/>
            <w:left w:val="none" w:sz="0" w:space="0" w:color="auto"/>
            <w:bottom w:val="none" w:sz="0" w:space="0" w:color="auto"/>
            <w:right w:val="none" w:sz="0" w:space="0" w:color="auto"/>
          </w:divBdr>
          <w:divsChild>
            <w:div w:id="1774545141">
              <w:marLeft w:val="0"/>
              <w:marRight w:val="0"/>
              <w:marTop w:val="0"/>
              <w:marBottom w:val="0"/>
              <w:divBdr>
                <w:top w:val="none" w:sz="0" w:space="0" w:color="auto"/>
                <w:left w:val="none" w:sz="0" w:space="0" w:color="auto"/>
                <w:bottom w:val="none" w:sz="0" w:space="0" w:color="auto"/>
                <w:right w:val="none" w:sz="0" w:space="0" w:color="auto"/>
              </w:divBdr>
              <w:divsChild>
                <w:div w:id="388385566">
                  <w:marLeft w:val="0"/>
                  <w:marRight w:val="0"/>
                  <w:marTop w:val="0"/>
                  <w:marBottom w:val="0"/>
                  <w:divBdr>
                    <w:top w:val="none" w:sz="0" w:space="0" w:color="auto"/>
                    <w:left w:val="none" w:sz="0" w:space="0" w:color="auto"/>
                    <w:bottom w:val="none" w:sz="0" w:space="0" w:color="auto"/>
                    <w:right w:val="none" w:sz="0" w:space="0" w:color="auto"/>
                  </w:divBdr>
                  <w:divsChild>
                    <w:div w:id="190548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280083">
      <w:bodyDiv w:val="1"/>
      <w:marLeft w:val="0"/>
      <w:marRight w:val="0"/>
      <w:marTop w:val="0"/>
      <w:marBottom w:val="0"/>
      <w:divBdr>
        <w:top w:val="none" w:sz="0" w:space="0" w:color="auto"/>
        <w:left w:val="none" w:sz="0" w:space="0" w:color="auto"/>
        <w:bottom w:val="none" w:sz="0" w:space="0" w:color="auto"/>
        <w:right w:val="none" w:sz="0" w:space="0" w:color="auto"/>
      </w:divBdr>
      <w:divsChild>
        <w:div w:id="951936082">
          <w:marLeft w:val="0"/>
          <w:marRight w:val="0"/>
          <w:marTop w:val="0"/>
          <w:marBottom w:val="0"/>
          <w:divBdr>
            <w:top w:val="none" w:sz="0" w:space="0" w:color="auto"/>
            <w:left w:val="none" w:sz="0" w:space="0" w:color="auto"/>
            <w:bottom w:val="none" w:sz="0" w:space="0" w:color="auto"/>
            <w:right w:val="none" w:sz="0" w:space="0" w:color="auto"/>
          </w:divBdr>
        </w:div>
      </w:divsChild>
    </w:div>
    <w:div w:id="1018698933">
      <w:bodyDiv w:val="1"/>
      <w:marLeft w:val="0"/>
      <w:marRight w:val="0"/>
      <w:marTop w:val="0"/>
      <w:marBottom w:val="0"/>
      <w:divBdr>
        <w:top w:val="none" w:sz="0" w:space="0" w:color="auto"/>
        <w:left w:val="none" w:sz="0" w:space="0" w:color="auto"/>
        <w:bottom w:val="none" w:sz="0" w:space="0" w:color="auto"/>
        <w:right w:val="none" w:sz="0" w:space="0" w:color="auto"/>
      </w:divBdr>
    </w:div>
    <w:div w:id="1084257337">
      <w:bodyDiv w:val="1"/>
      <w:marLeft w:val="0"/>
      <w:marRight w:val="0"/>
      <w:marTop w:val="0"/>
      <w:marBottom w:val="0"/>
      <w:divBdr>
        <w:top w:val="none" w:sz="0" w:space="0" w:color="auto"/>
        <w:left w:val="none" w:sz="0" w:space="0" w:color="auto"/>
        <w:bottom w:val="none" w:sz="0" w:space="0" w:color="auto"/>
        <w:right w:val="none" w:sz="0" w:space="0" w:color="auto"/>
      </w:divBdr>
    </w:div>
    <w:div w:id="1087648709">
      <w:bodyDiv w:val="1"/>
      <w:marLeft w:val="0"/>
      <w:marRight w:val="0"/>
      <w:marTop w:val="0"/>
      <w:marBottom w:val="0"/>
      <w:divBdr>
        <w:top w:val="none" w:sz="0" w:space="0" w:color="auto"/>
        <w:left w:val="none" w:sz="0" w:space="0" w:color="auto"/>
        <w:bottom w:val="none" w:sz="0" w:space="0" w:color="auto"/>
        <w:right w:val="none" w:sz="0" w:space="0" w:color="auto"/>
      </w:divBdr>
      <w:divsChild>
        <w:div w:id="1723671272">
          <w:marLeft w:val="0"/>
          <w:marRight w:val="0"/>
          <w:marTop w:val="0"/>
          <w:marBottom w:val="0"/>
          <w:divBdr>
            <w:top w:val="none" w:sz="0" w:space="0" w:color="auto"/>
            <w:left w:val="none" w:sz="0" w:space="0" w:color="auto"/>
            <w:bottom w:val="none" w:sz="0" w:space="0" w:color="auto"/>
            <w:right w:val="none" w:sz="0" w:space="0" w:color="auto"/>
          </w:divBdr>
          <w:divsChild>
            <w:div w:id="1672755990">
              <w:marLeft w:val="0"/>
              <w:marRight w:val="0"/>
              <w:marTop w:val="0"/>
              <w:marBottom w:val="0"/>
              <w:divBdr>
                <w:top w:val="none" w:sz="0" w:space="0" w:color="auto"/>
                <w:left w:val="none" w:sz="0" w:space="0" w:color="auto"/>
                <w:bottom w:val="none" w:sz="0" w:space="0" w:color="auto"/>
                <w:right w:val="none" w:sz="0" w:space="0" w:color="auto"/>
              </w:divBdr>
              <w:divsChild>
                <w:div w:id="733164320">
                  <w:marLeft w:val="0"/>
                  <w:marRight w:val="0"/>
                  <w:marTop w:val="0"/>
                  <w:marBottom w:val="0"/>
                  <w:divBdr>
                    <w:top w:val="none" w:sz="0" w:space="0" w:color="auto"/>
                    <w:left w:val="none" w:sz="0" w:space="0" w:color="auto"/>
                    <w:bottom w:val="none" w:sz="0" w:space="0" w:color="auto"/>
                    <w:right w:val="none" w:sz="0" w:space="0" w:color="auto"/>
                  </w:divBdr>
                  <w:divsChild>
                    <w:div w:id="72864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326276">
      <w:bodyDiv w:val="1"/>
      <w:marLeft w:val="0"/>
      <w:marRight w:val="0"/>
      <w:marTop w:val="0"/>
      <w:marBottom w:val="0"/>
      <w:divBdr>
        <w:top w:val="none" w:sz="0" w:space="0" w:color="auto"/>
        <w:left w:val="none" w:sz="0" w:space="0" w:color="auto"/>
        <w:bottom w:val="none" w:sz="0" w:space="0" w:color="auto"/>
        <w:right w:val="none" w:sz="0" w:space="0" w:color="auto"/>
      </w:divBdr>
    </w:div>
    <w:div w:id="1282223886">
      <w:bodyDiv w:val="1"/>
      <w:marLeft w:val="0"/>
      <w:marRight w:val="0"/>
      <w:marTop w:val="0"/>
      <w:marBottom w:val="0"/>
      <w:divBdr>
        <w:top w:val="none" w:sz="0" w:space="0" w:color="auto"/>
        <w:left w:val="none" w:sz="0" w:space="0" w:color="auto"/>
        <w:bottom w:val="none" w:sz="0" w:space="0" w:color="auto"/>
        <w:right w:val="none" w:sz="0" w:space="0" w:color="auto"/>
      </w:divBdr>
      <w:divsChild>
        <w:div w:id="255678505">
          <w:marLeft w:val="0"/>
          <w:marRight w:val="0"/>
          <w:marTop w:val="0"/>
          <w:marBottom w:val="0"/>
          <w:divBdr>
            <w:top w:val="none" w:sz="0" w:space="0" w:color="auto"/>
            <w:left w:val="none" w:sz="0" w:space="0" w:color="auto"/>
            <w:bottom w:val="none" w:sz="0" w:space="0" w:color="auto"/>
            <w:right w:val="none" w:sz="0" w:space="0" w:color="auto"/>
          </w:divBdr>
          <w:divsChild>
            <w:div w:id="1716924837">
              <w:marLeft w:val="0"/>
              <w:marRight w:val="0"/>
              <w:marTop w:val="0"/>
              <w:marBottom w:val="0"/>
              <w:divBdr>
                <w:top w:val="none" w:sz="0" w:space="0" w:color="auto"/>
                <w:left w:val="none" w:sz="0" w:space="0" w:color="auto"/>
                <w:bottom w:val="none" w:sz="0" w:space="0" w:color="auto"/>
                <w:right w:val="none" w:sz="0" w:space="0" w:color="auto"/>
              </w:divBdr>
              <w:divsChild>
                <w:div w:id="1286884680">
                  <w:marLeft w:val="0"/>
                  <w:marRight w:val="0"/>
                  <w:marTop w:val="0"/>
                  <w:marBottom w:val="0"/>
                  <w:divBdr>
                    <w:top w:val="none" w:sz="0" w:space="0" w:color="auto"/>
                    <w:left w:val="none" w:sz="0" w:space="0" w:color="auto"/>
                    <w:bottom w:val="none" w:sz="0" w:space="0" w:color="auto"/>
                    <w:right w:val="none" w:sz="0" w:space="0" w:color="auto"/>
                  </w:divBdr>
                  <w:divsChild>
                    <w:div w:id="19080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9624177">
      <w:bodyDiv w:val="1"/>
      <w:marLeft w:val="0"/>
      <w:marRight w:val="0"/>
      <w:marTop w:val="0"/>
      <w:marBottom w:val="0"/>
      <w:divBdr>
        <w:top w:val="none" w:sz="0" w:space="0" w:color="auto"/>
        <w:left w:val="none" w:sz="0" w:space="0" w:color="auto"/>
        <w:bottom w:val="none" w:sz="0" w:space="0" w:color="auto"/>
        <w:right w:val="none" w:sz="0" w:space="0" w:color="auto"/>
      </w:divBdr>
    </w:div>
    <w:div w:id="1349285692">
      <w:bodyDiv w:val="1"/>
      <w:marLeft w:val="0"/>
      <w:marRight w:val="0"/>
      <w:marTop w:val="0"/>
      <w:marBottom w:val="0"/>
      <w:divBdr>
        <w:top w:val="none" w:sz="0" w:space="0" w:color="auto"/>
        <w:left w:val="none" w:sz="0" w:space="0" w:color="auto"/>
        <w:bottom w:val="none" w:sz="0" w:space="0" w:color="auto"/>
        <w:right w:val="none" w:sz="0" w:space="0" w:color="auto"/>
      </w:divBdr>
    </w:div>
    <w:div w:id="1523930473">
      <w:bodyDiv w:val="1"/>
      <w:marLeft w:val="0"/>
      <w:marRight w:val="0"/>
      <w:marTop w:val="0"/>
      <w:marBottom w:val="0"/>
      <w:divBdr>
        <w:top w:val="none" w:sz="0" w:space="0" w:color="auto"/>
        <w:left w:val="none" w:sz="0" w:space="0" w:color="auto"/>
        <w:bottom w:val="none" w:sz="0" w:space="0" w:color="auto"/>
        <w:right w:val="none" w:sz="0" w:space="0" w:color="auto"/>
      </w:divBdr>
    </w:div>
    <w:div w:id="1584290815">
      <w:bodyDiv w:val="1"/>
      <w:marLeft w:val="0"/>
      <w:marRight w:val="0"/>
      <w:marTop w:val="0"/>
      <w:marBottom w:val="0"/>
      <w:divBdr>
        <w:top w:val="none" w:sz="0" w:space="0" w:color="auto"/>
        <w:left w:val="none" w:sz="0" w:space="0" w:color="auto"/>
        <w:bottom w:val="none" w:sz="0" w:space="0" w:color="auto"/>
        <w:right w:val="none" w:sz="0" w:space="0" w:color="auto"/>
      </w:divBdr>
    </w:div>
    <w:div w:id="1609385229">
      <w:bodyDiv w:val="1"/>
      <w:marLeft w:val="0"/>
      <w:marRight w:val="0"/>
      <w:marTop w:val="0"/>
      <w:marBottom w:val="0"/>
      <w:divBdr>
        <w:top w:val="none" w:sz="0" w:space="0" w:color="auto"/>
        <w:left w:val="none" w:sz="0" w:space="0" w:color="auto"/>
        <w:bottom w:val="none" w:sz="0" w:space="0" w:color="auto"/>
        <w:right w:val="none" w:sz="0" w:space="0" w:color="auto"/>
      </w:divBdr>
    </w:div>
    <w:div w:id="1653481774">
      <w:bodyDiv w:val="1"/>
      <w:marLeft w:val="0"/>
      <w:marRight w:val="0"/>
      <w:marTop w:val="0"/>
      <w:marBottom w:val="0"/>
      <w:divBdr>
        <w:top w:val="none" w:sz="0" w:space="0" w:color="auto"/>
        <w:left w:val="none" w:sz="0" w:space="0" w:color="auto"/>
        <w:bottom w:val="none" w:sz="0" w:space="0" w:color="auto"/>
        <w:right w:val="none" w:sz="0" w:space="0" w:color="auto"/>
      </w:divBdr>
    </w:div>
    <w:div w:id="1820421771">
      <w:bodyDiv w:val="1"/>
      <w:marLeft w:val="0"/>
      <w:marRight w:val="0"/>
      <w:marTop w:val="0"/>
      <w:marBottom w:val="0"/>
      <w:divBdr>
        <w:top w:val="none" w:sz="0" w:space="0" w:color="auto"/>
        <w:left w:val="none" w:sz="0" w:space="0" w:color="auto"/>
        <w:bottom w:val="none" w:sz="0" w:space="0" w:color="auto"/>
        <w:right w:val="none" w:sz="0" w:space="0" w:color="auto"/>
      </w:divBdr>
      <w:divsChild>
        <w:div w:id="1694266365">
          <w:marLeft w:val="0"/>
          <w:marRight w:val="0"/>
          <w:marTop w:val="0"/>
          <w:marBottom w:val="0"/>
          <w:divBdr>
            <w:top w:val="none" w:sz="0" w:space="0" w:color="auto"/>
            <w:left w:val="none" w:sz="0" w:space="0" w:color="auto"/>
            <w:bottom w:val="none" w:sz="0" w:space="0" w:color="auto"/>
            <w:right w:val="none" w:sz="0" w:space="0" w:color="auto"/>
          </w:divBdr>
          <w:divsChild>
            <w:div w:id="928659446">
              <w:marLeft w:val="0"/>
              <w:marRight w:val="0"/>
              <w:marTop w:val="0"/>
              <w:marBottom w:val="0"/>
              <w:divBdr>
                <w:top w:val="none" w:sz="0" w:space="0" w:color="auto"/>
                <w:left w:val="none" w:sz="0" w:space="0" w:color="auto"/>
                <w:bottom w:val="none" w:sz="0" w:space="0" w:color="auto"/>
                <w:right w:val="none" w:sz="0" w:space="0" w:color="auto"/>
              </w:divBdr>
              <w:divsChild>
                <w:div w:id="385494507">
                  <w:marLeft w:val="0"/>
                  <w:marRight w:val="0"/>
                  <w:marTop w:val="0"/>
                  <w:marBottom w:val="0"/>
                  <w:divBdr>
                    <w:top w:val="none" w:sz="0" w:space="0" w:color="auto"/>
                    <w:left w:val="none" w:sz="0" w:space="0" w:color="auto"/>
                    <w:bottom w:val="none" w:sz="0" w:space="0" w:color="auto"/>
                    <w:right w:val="none" w:sz="0" w:space="0" w:color="auto"/>
                  </w:divBdr>
                  <w:divsChild>
                    <w:div w:id="119642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775675">
      <w:bodyDiv w:val="1"/>
      <w:marLeft w:val="0"/>
      <w:marRight w:val="0"/>
      <w:marTop w:val="0"/>
      <w:marBottom w:val="0"/>
      <w:divBdr>
        <w:top w:val="none" w:sz="0" w:space="0" w:color="auto"/>
        <w:left w:val="none" w:sz="0" w:space="0" w:color="auto"/>
        <w:bottom w:val="none" w:sz="0" w:space="0" w:color="auto"/>
        <w:right w:val="none" w:sz="0" w:space="0" w:color="auto"/>
      </w:divBdr>
      <w:divsChild>
        <w:div w:id="584261625">
          <w:marLeft w:val="0"/>
          <w:marRight w:val="0"/>
          <w:marTop w:val="0"/>
          <w:marBottom w:val="0"/>
          <w:divBdr>
            <w:top w:val="none" w:sz="0" w:space="0" w:color="auto"/>
            <w:left w:val="none" w:sz="0" w:space="0" w:color="auto"/>
            <w:bottom w:val="none" w:sz="0" w:space="0" w:color="auto"/>
            <w:right w:val="none" w:sz="0" w:space="0" w:color="auto"/>
          </w:divBdr>
          <w:divsChild>
            <w:div w:id="1861968090">
              <w:marLeft w:val="0"/>
              <w:marRight w:val="0"/>
              <w:marTop w:val="0"/>
              <w:marBottom w:val="0"/>
              <w:divBdr>
                <w:top w:val="none" w:sz="0" w:space="0" w:color="auto"/>
                <w:left w:val="none" w:sz="0" w:space="0" w:color="auto"/>
                <w:bottom w:val="none" w:sz="0" w:space="0" w:color="auto"/>
                <w:right w:val="none" w:sz="0" w:space="0" w:color="auto"/>
              </w:divBdr>
              <w:divsChild>
                <w:div w:id="12296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545585">
          <w:marLeft w:val="0"/>
          <w:marRight w:val="0"/>
          <w:marTop w:val="0"/>
          <w:marBottom w:val="0"/>
          <w:divBdr>
            <w:top w:val="none" w:sz="0" w:space="0" w:color="auto"/>
            <w:left w:val="none" w:sz="0" w:space="0" w:color="auto"/>
            <w:bottom w:val="none" w:sz="0" w:space="0" w:color="auto"/>
            <w:right w:val="none" w:sz="0" w:space="0" w:color="auto"/>
          </w:divBdr>
        </w:div>
      </w:divsChild>
    </w:div>
    <w:div w:id="1988047579">
      <w:bodyDiv w:val="1"/>
      <w:marLeft w:val="0"/>
      <w:marRight w:val="0"/>
      <w:marTop w:val="0"/>
      <w:marBottom w:val="0"/>
      <w:divBdr>
        <w:top w:val="none" w:sz="0" w:space="0" w:color="auto"/>
        <w:left w:val="none" w:sz="0" w:space="0" w:color="auto"/>
        <w:bottom w:val="none" w:sz="0" w:space="0" w:color="auto"/>
        <w:right w:val="none" w:sz="0" w:space="0" w:color="auto"/>
      </w:divBdr>
      <w:divsChild>
        <w:div w:id="896472879">
          <w:marLeft w:val="0"/>
          <w:marRight w:val="0"/>
          <w:marTop w:val="0"/>
          <w:marBottom w:val="0"/>
          <w:divBdr>
            <w:top w:val="none" w:sz="0" w:space="0" w:color="auto"/>
            <w:left w:val="none" w:sz="0" w:space="0" w:color="auto"/>
            <w:bottom w:val="none" w:sz="0" w:space="0" w:color="auto"/>
            <w:right w:val="none" w:sz="0" w:space="0" w:color="auto"/>
          </w:divBdr>
        </w:div>
      </w:divsChild>
    </w:div>
    <w:div w:id="2077707578">
      <w:bodyDiv w:val="1"/>
      <w:marLeft w:val="0"/>
      <w:marRight w:val="0"/>
      <w:marTop w:val="0"/>
      <w:marBottom w:val="0"/>
      <w:divBdr>
        <w:top w:val="none" w:sz="0" w:space="0" w:color="auto"/>
        <w:left w:val="none" w:sz="0" w:space="0" w:color="auto"/>
        <w:bottom w:val="none" w:sz="0" w:space="0" w:color="auto"/>
        <w:right w:val="none" w:sz="0" w:space="0" w:color="auto"/>
      </w:divBdr>
    </w:div>
    <w:div w:id="211046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yadda.icm.edu.pl/yadda/element/bwmeta1.element.ekon-element-573a4f46-4dfe-354e-a22c-da0e5fff52e1"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yadda.icm.edu.pl/yadda/element/bwmeta1.element.ekon-element-d6c42c85-b656-30fd-af46-d6ae72157d2d"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yadda.icm.edu.pl/yadda/element/bwmeta1.element.ekon-element-2e4a901d-7a71-39c3-b7db-2a3546018605" TargetMode="External"/><Relationship Id="rId5" Type="http://schemas.openxmlformats.org/officeDocument/2006/relationships/settings" Target="settings.xml"/><Relationship Id="rId15" Type="http://schemas.openxmlformats.org/officeDocument/2006/relationships/hyperlink" Target="https://econpapers.repec.org/article/eeecorfin/" TargetMode="External"/><Relationship Id="rId10" Type="http://schemas.openxmlformats.org/officeDocument/2006/relationships/hyperlink" Target="http://yadda.icm.edu.pl/yadda/element/bwmeta1.element.ekon-element-issn-0459-9586"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yperlink" Target="https://ssrn.com/abstract=2519"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yadda.icm.edu.pl/yadda/element/bwmeta1.element.ekon-element-issn-0459-9586" TargetMode="External"/><Relationship Id="rId2" Type="http://schemas.openxmlformats.org/officeDocument/2006/relationships/hyperlink" Target="https://ssrn.com/abstract=2519" TargetMode="External"/><Relationship Id="rId1" Type="http://schemas.openxmlformats.org/officeDocument/2006/relationships/hyperlink" Target="https://econpapers.repec.org/article/eeecorfin/" TargetMode="External"/><Relationship Id="rId6" Type="http://schemas.openxmlformats.org/officeDocument/2006/relationships/hyperlink" Target="http://yadda.icm.edu.pl/yadda/element/bwmeta1.element.ekon-element-573a4f46-4dfe-354e-a22c-da0e5fff52e1" TargetMode="External"/><Relationship Id="rId5" Type="http://schemas.openxmlformats.org/officeDocument/2006/relationships/hyperlink" Target="http://yadda.icm.edu.pl/yadda/element/bwmeta1.element.ekon-element-d6c42c85-b656-30fd-af46-d6ae72157d2d" TargetMode="External"/><Relationship Id="rId4" Type="http://schemas.openxmlformats.org/officeDocument/2006/relationships/hyperlink" Target="http://yadda.icm.edu.pl/yadda/element/bwmeta1.element.ekon-element-2e4a901d-7a71-39c3-b7db-2a3546018605"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DOMINATOR\Documents\Publikacje\publikacje\2013\UNDERPROCING\IPO%20GPW%20S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DOMINATOR\Documents\Publikacje\publikacje\2019\IP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lineChart>
        <c:grouping val="standard"/>
        <c:varyColors val="0"/>
        <c:ser>
          <c:idx val="1"/>
          <c:order val="1"/>
          <c:tx>
            <c:strRef>
              <c:f>Arkusz1!$D$44</c:f>
              <c:strCache>
                <c:ptCount val="1"/>
                <c:pt idx="0">
                  <c:v>Liczba</c:v>
                </c:pt>
              </c:strCache>
            </c:strRef>
          </c:tx>
          <c:marker>
            <c:symbol val="none"/>
          </c:marker>
          <c:cat>
            <c:numRef>
              <c:f>Arkusz1!$E$42:$W$42</c:f>
              <c:numCache>
                <c:formatCode>General</c:formatCode>
                <c:ptCount val="19"/>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numCache>
            </c:numRef>
          </c:cat>
          <c:val>
            <c:numRef>
              <c:f>Arkusz1!$E$44:$W$44</c:f>
              <c:numCache>
                <c:formatCode>General</c:formatCode>
                <c:ptCount val="19"/>
                <c:pt idx="0">
                  <c:v>13</c:v>
                </c:pt>
                <c:pt idx="1">
                  <c:v>9</c:v>
                </c:pt>
                <c:pt idx="2">
                  <c:v>5</c:v>
                </c:pt>
                <c:pt idx="3">
                  <c:v>6</c:v>
                </c:pt>
                <c:pt idx="4">
                  <c:v>36</c:v>
                </c:pt>
                <c:pt idx="5">
                  <c:v>35</c:v>
                </c:pt>
                <c:pt idx="6">
                  <c:v>38</c:v>
                </c:pt>
                <c:pt idx="7">
                  <c:v>81</c:v>
                </c:pt>
                <c:pt idx="8">
                  <c:v>33</c:v>
                </c:pt>
                <c:pt idx="9">
                  <c:v>13</c:v>
                </c:pt>
                <c:pt idx="10">
                  <c:v>34</c:v>
                </c:pt>
                <c:pt idx="11">
                  <c:v>38</c:v>
                </c:pt>
                <c:pt idx="12">
                  <c:v>19</c:v>
                </c:pt>
                <c:pt idx="13">
                  <c:v>23</c:v>
                </c:pt>
                <c:pt idx="14">
                  <c:v>12</c:v>
                </c:pt>
                <c:pt idx="15">
                  <c:v>30</c:v>
                </c:pt>
                <c:pt idx="16">
                  <c:v>19</c:v>
                </c:pt>
                <c:pt idx="17">
                  <c:v>15</c:v>
                </c:pt>
                <c:pt idx="18">
                  <c:v>7</c:v>
                </c:pt>
              </c:numCache>
            </c:numRef>
          </c:val>
          <c:smooth val="0"/>
        </c:ser>
        <c:dLbls>
          <c:showLegendKey val="0"/>
          <c:showVal val="0"/>
          <c:showCatName val="0"/>
          <c:showSerName val="0"/>
          <c:showPercent val="0"/>
          <c:showBubbleSize val="0"/>
        </c:dLbls>
        <c:marker val="1"/>
        <c:smooth val="0"/>
        <c:axId val="253634432"/>
        <c:axId val="253635968"/>
      </c:lineChart>
      <c:lineChart>
        <c:grouping val="standard"/>
        <c:varyColors val="0"/>
        <c:ser>
          <c:idx val="0"/>
          <c:order val="0"/>
          <c:tx>
            <c:strRef>
              <c:f>Arkusz1!$D$43</c:f>
              <c:strCache>
                <c:ptCount val="1"/>
                <c:pt idx="0">
                  <c:v>Wartość</c:v>
                </c:pt>
              </c:strCache>
            </c:strRef>
          </c:tx>
          <c:marker>
            <c:symbol val="none"/>
          </c:marker>
          <c:cat>
            <c:numRef>
              <c:f>Arkusz1!$E$42:$W$42</c:f>
              <c:numCache>
                <c:formatCode>General</c:formatCode>
                <c:ptCount val="19"/>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numCache>
            </c:numRef>
          </c:cat>
          <c:val>
            <c:numRef>
              <c:f>Arkusz1!$E$43:$W$43</c:f>
              <c:numCache>
                <c:formatCode>General</c:formatCode>
                <c:ptCount val="19"/>
                <c:pt idx="0">
                  <c:v>3.8</c:v>
                </c:pt>
                <c:pt idx="1">
                  <c:v>2.91</c:v>
                </c:pt>
                <c:pt idx="2">
                  <c:v>0.5</c:v>
                </c:pt>
                <c:pt idx="3">
                  <c:v>1.47</c:v>
                </c:pt>
                <c:pt idx="4">
                  <c:v>3.6</c:v>
                </c:pt>
                <c:pt idx="5">
                  <c:v>6.98</c:v>
                </c:pt>
                <c:pt idx="6">
                  <c:v>14.6</c:v>
                </c:pt>
                <c:pt idx="7">
                  <c:v>18.260000000000002</c:v>
                </c:pt>
                <c:pt idx="8">
                  <c:v>3.67</c:v>
                </c:pt>
                <c:pt idx="9">
                  <c:v>6.92</c:v>
                </c:pt>
                <c:pt idx="10">
                  <c:v>1.28</c:v>
                </c:pt>
                <c:pt idx="11">
                  <c:v>1.24</c:v>
                </c:pt>
                <c:pt idx="12">
                  <c:v>1.19</c:v>
                </c:pt>
                <c:pt idx="13">
                  <c:v>0.65</c:v>
                </c:pt>
                <c:pt idx="14">
                  <c:v>0.4</c:v>
                </c:pt>
                <c:pt idx="15">
                  <c:v>1.1399999999999999</c:v>
                </c:pt>
                <c:pt idx="16">
                  <c:v>0.55000000000000004</c:v>
                </c:pt>
                <c:pt idx="17">
                  <c:v>0.76</c:v>
                </c:pt>
                <c:pt idx="18">
                  <c:v>0.12</c:v>
                </c:pt>
              </c:numCache>
            </c:numRef>
          </c:val>
          <c:smooth val="0"/>
        </c:ser>
        <c:dLbls>
          <c:showLegendKey val="0"/>
          <c:showVal val="0"/>
          <c:showCatName val="0"/>
          <c:showSerName val="0"/>
          <c:showPercent val="0"/>
          <c:showBubbleSize val="0"/>
        </c:dLbls>
        <c:marker val="1"/>
        <c:smooth val="0"/>
        <c:axId val="253684352"/>
        <c:axId val="253682816"/>
      </c:lineChart>
      <c:catAx>
        <c:axId val="253634432"/>
        <c:scaling>
          <c:orientation val="minMax"/>
        </c:scaling>
        <c:delete val="0"/>
        <c:axPos val="b"/>
        <c:numFmt formatCode="General" sourceLinked="1"/>
        <c:majorTickMark val="out"/>
        <c:minorTickMark val="none"/>
        <c:tickLblPos val="nextTo"/>
        <c:crossAx val="253635968"/>
        <c:crosses val="autoZero"/>
        <c:auto val="1"/>
        <c:lblAlgn val="ctr"/>
        <c:lblOffset val="100"/>
        <c:noMultiLvlLbl val="0"/>
      </c:catAx>
      <c:valAx>
        <c:axId val="253635968"/>
        <c:scaling>
          <c:orientation val="minMax"/>
        </c:scaling>
        <c:delete val="0"/>
        <c:axPos val="l"/>
        <c:majorGridlines/>
        <c:numFmt formatCode="General" sourceLinked="1"/>
        <c:majorTickMark val="out"/>
        <c:minorTickMark val="none"/>
        <c:tickLblPos val="nextTo"/>
        <c:crossAx val="253634432"/>
        <c:crosses val="autoZero"/>
        <c:crossBetween val="between"/>
      </c:valAx>
      <c:valAx>
        <c:axId val="253682816"/>
        <c:scaling>
          <c:orientation val="minMax"/>
        </c:scaling>
        <c:delete val="0"/>
        <c:axPos val="r"/>
        <c:numFmt formatCode="General" sourceLinked="1"/>
        <c:majorTickMark val="out"/>
        <c:minorTickMark val="none"/>
        <c:tickLblPos val="nextTo"/>
        <c:crossAx val="253684352"/>
        <c:crosses val="max"/>
        <c:crossBetween val="between"/>
      </c:valAx>
      <c:catAx>
        <c:axId val="253684352"/>
        <c:scaling>
          <c:orientation val="minMax"/>
        </c:scaling>
        <c:delete val="1"/>
        <c:axPos val="b"/>
        <c:numFmt formatCode="General" sourceLinked="1"/>
        <c:majorTickMark val="out"/>
        <c:minorTickMark val="none"/>
        <c:tickLblPos val="nextTo"/>
        <c:crossAx val="253682816"/>
        <c:crosses val="autoZero"/>
        <c:auto val="1"/>
        <c:lblAlgn val="ctr"/>
        <c:lblOffset val="100"/>
        <c:noMultiLvlLbl val="0"/>
      </c:cat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lineChart>
        <c:grouping val="stacked"/>
        <c:varyColors val="0"/>
        <c:ser>
          <c:idx val="1"/>
          <c:order val="1"/>
          <c:tx>
            <c:strRef>
              <c:f>Arkusz3!$A$3</c:f>
              <c:strCache>
                <c:ptCount val="1"/>
                <c:pt idx="0">
                  <c:v>Number of IPO</c:v>
                </c:pt>
              </c:strCache>
            </c:strRef>
          </c:tx>
          <c:marker>
            <c:symbol val="none"/>
          </c:marker>
          <c:cat>
            <c:numRef>
              <c:f>Arkusz3!$B$1:$T$1</c:f>
              <c:numCache>
                <c:formatCode>General</c:formatCode>
                <c:ptCount val="19"/>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numCache>
            </c:numRef>
          </c:cat>
          <c:val>
            <c:numRef>
              <c:f>Arkusz3!$B$3:$T$3</c:f>
              <c:numCache>
                <c:formatCode>General</c:formatCode>
                <c:ptCount val="19"/>
                <c:pt idx="0">
                  <c:v>13</c:v>
                </c:pt>
                <c:pt idx="1">
                  <c:v>9</c:v>
                </c:pt>
                <c:pt idx="2">
                  <c:v>5</c:v>
                </c:pt>
                <c:pt idx="3">
                  <c:v>6</c:v>
                </c:pt>
                <c:pt idx="4">
                  <c:v>36</c:v>
                </c:pt>
                <c:pt idx="5">
                  <c:v>35</c:v>
                </c:pt>
                <c:pt idx="6">
                  <c:v>38</c:v>
                </c:pt>
                <c:pt idx="7">
                  <c:v>81</c:v>
                </c:pt>
                <c:pt idx="8">
                  <c:v>33</c:v>
                </c:pt>
                <c:pt idx="9">
                  <c:v>13</c:v>
                </c:pt>
                <c:pt idx="10">
                  <c:v>34</c:v>
                </c:pt>
                <c:pt idx="11">
                  <c:v>38</c:v>
                </c:pt>
                <c:pt idx="12">
                  <c:v>19</c:v>
                </c:pt>
                <c:pt idx="13">
                  <c:v>23</c:v>
                </c:pt>
                <c:pt idx="14">
                  <c:v>12</c:v>
                </c:pt>
                <c:pt idx="15">
                  <c:v>30</c:v>
                </c:pt>
                <c:pt idx="16">
                  <c:v>19</c:v>
                </c:pt>
                <c:pt idx="17">
                  <c:v>15</c:v>
                </c:pt>
                <c:pt idx="18">
                  <c:v>7</c:v>
                </c:pt>
              </c:numCache>
            </c:numRef>
          </c:val>
          <c:smooth val="0"/>
        </c:ser>
        <c:dLbls>
          <c:showLegendKey val="0"/>
          <c:showVal val="0"/>
          <c:showCatName val="0"/>
          <c:showSerName val="0"/>
          <c:showPercent val="0"/>
          <c:showBubbleSize val="0"/>
        </c:dLbls>
        <c:marker val="1"/>
        <c:smooth val="0"/>
        <c:axId val="255123840"/>
        <c:axId val="255125376"/>
      </c:lineChart>
      <c:lineChart>
        <c:grouping val="stacked"/>
        <c:varyColors val="0"/>
        <c:ser>
          <c:idx val="0"/>
          <c:order val="0"/>
          <c:tx>
            <c:strRef>
              <c:f>Arkusz3!$A$2</c:f>
              <c:strCache>
                <c:ptCount val="1"/>
                <c:pt idx="0">
                  <c:v>Valu of IPO</c:v>
                </c:pt>
              </c:strCache>
            </c:strRef>
          </c:tx>
          <c:marker>
            <c:symbol val="none"/>
          </c:marker>
          <c:cat>
            <c:numRef>
              <c:f>Arkusz3!$B$1:$T$1</c:f>
              <c:numCache>
                <c:formatCode>General</c:formatCode>
                <c:ptCount val="19"/>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numCache>
            </c:numRef>
          </c:cat>
          <c:val>
            <c:numRef>
              <c:f>Arkusz3!$B$2:$T$2</c:f>
              <c:numCache>
                <c:formatCode>General</c:formatCode>
                <c:ptCount val="19"/>
                <c:pt idx="0">
                  <c:v>3.8</c:v>
                </c:pt>
                <c:pt idx="1">
                  <c:v>2.91</c:v>
                </c:pt>
                <c:pt idx="2">
                  <c:v>0.5</c:v>
                </c:pt>
                <c:pt idx="3">
                  <c:v>1.47</c:v>
                </c:pt>
                <c:pt idx="4">
                  <c:v>3.6</c:v>
                </c:pt>
                <c:pt idx="5">
                  <c:v>6.98</c:v>
                </c:pt>
                <c:pt idx="6">
                  <c:v>14.6</c:v>
                </c:pt>
                <c:pt idx="7">
                  <c:v>18.260000000000002</c:v>
                </c:pt>
                <c:pt idx="8">
                  <c:v>3.67</c:v>
                </c:pt>
                <c:pt idx="9">
                  <c:v>6.92</c:v>
                </c:pt>
                <c:pt idx="10">
                  <c:v>1.28</c:v>
                </c:pt>
                <c:pt idx="11">
                  <c:v>1.24</c:v>
                </c:pt>
                <c:pt idx="12">
                  <c:v>1.19</c:v>
                </c:pt>
                <c:pt idx="13">
                  <c:v>0.65</c:v>
                </c:pt>
                <c:pt idx="14">
                  <c:v>0.4</c:v>
                </c:pt>
                <c:pt idx="15">
                  <c:v>1.1399999999999999</c:v>
                </c:pt>
                <c:pt idx="16">
                  <c:v>0.55000000000000004</c:v>
                </c:pt>
                <c:pt idx="17">
                  <c:v>0.76</c:v>
                </c:pt>
                <c:pt idx="18">
                  <c:v>0.12</c:v>
                </c:pt>
              </c:numCache>
            </c:numRef>
          </c:val>
          <c:smooth val="0"/>
        </c:ser>
        <c:dLbls>
          <c:showLegendKey val="0"/>
          <c:showVal val="0"/>
          <c:showCatName val="0"/>
          <c:showSerName val="0"/>
          <c:showPercent val="0"/>
          <c:showBubbleSize val="0"/>
        </c:dLbls>
        <c:marker val="1"/>
        <c:smooth val="0"/>
        <c:axId val="255698048"/>
        <c:axId val="255126912"/>
      </c:lineChart>
      <c:catAx>
        <c:axId val="255123840"/>
        <c:scaling>
          <c:orientation val="minMax"/>
        </c:scaling>
        <c:delete val="0"/>
        <c:axPos val="b"/>
        <c:numFmt formatCode="General" sourceLinked="1"/>
        <c:majorTickMark val="none"/>
        <c:minorTickMark val="none"/>
        <c:tickLblPos val="nextTo"/>
        <c:crossAx val="255125376"/>
        <c:crosses val="autoZero"/>
        <c:auto val="1"/>
        <c:lblAlgn val="ctr"/>
        <c:lblOffset val="100"/>
        <c:noMultiLvlLbl val="0"/>
      </c:catAx>
      <c:valAx>
        <c:axId val="255125376"/>
        <c:scaling>
          <c:orientation val="minMax"/>
        </c:scaling>
        <c:delete val="0"/>
        <c:axPos val="l"/>
        <c:numFmt formatCode="General" sourceLinked="1"/>
        <c:majorTickMark val="none"/>
        <c:minorTickMark val="none"/>
        <c:tickLblPos val="nextTo"/>
        <c:crossAx val="255123840"/>
        <c:crosses val="autoZero"/>
        <c:crossBetween val="between"/>
      </c:valAx>
      <c:valAx>
        <c:axId val="255126912"/>
        <c:scaling>
          <c:orientation val="minMax"/>
        </c:scaling>
        <c:delete val="0"/>
        <c:axPos val="r"/>
        <c:numFmt formatCode="General" sourceLinked="1"/>
        <c:majorTickMark val="out"/>
        <c:minorTickMark val="none"/>
        <c:tickLblPos val="nextTo"/>
        <c:crossAx val="255698048"/>
        <c:crosses val="max"/>
        <c:crossBetween val="between"/>
      </c:valAx>
      <c:catAx>
        <c:axId val="255698048"/>
        <c:scaling>
          <c:orientation val="minMax"/>
        </c:scaling>
        <c:delete val="1"/>
        <c:axPos val="b"/>
        <c:numFmt formatCode="General" sourceLinked="1"/>
        <c:majorTickMark val="out"/>
        <c:minorTickMark val="none"/>
        <c:tickLblPos val="nextTo"/>
        <c:crossAx val="255126912"/>
        <c:crosses val="autoZero"/>
        <c:auto val="1"/>
        <c:lblAlgn val="ctr"/>
        <c:lblOffset val="100"/>
        <c:noMultiLvlLbl val="0"/>
      </c:catAx>
    </c:plotArea>
    <c:legend>
      <c:legendPos val="b"/>
      <c:overlay val="0"/>
    </c:legend>
    <c:plotVisOnly val="1"/>
    <c:dispBlanksAs val="zero"/>
    <c:showDLblsOverMax val="0"/>
  </c:chart>
  <c:externalData r:id="rId1">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686F7-F583-4730-99E7-357693852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2839</TotalTime>
  <Pages>21</Pages>
  <Words>7095</Words>
  <Characters>40443</Characters>
  <Application>Microsoft Office Word</Application>
  <DocSecurity>0</DocSecurity>
  <Lines>337</Lines>
  <Paragraphs>94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Zajkowski</dc:creator>
  <cp:lastModifiedBy>DOMINATOR</cp:lastModifiedBy>
  <cp:revision>38</cp:revision>
  <cp:lastPrinted>2019-01-23T08:27:00Z</cp:lastPrinted>
  <dcterms:created xsi:type="dcterms:W3CDTF">2019-05-06T19:52:00Z</dcterms:created>
  <dcterms:modified xsi:type="dcterms:W3CDTF">2019-08-10T06:49:00Z</dcterms:modified>
</cp:coreProperties>
</file>