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75F9" w:rsidRPr="007D14F3" w:rsidRDefault="0097799B" w:rsidP="009C7202">
      <w:pPr>
        <w:spacing w:before="120" w:after="120" w:line="240" w:lineRule="auto"/>
        <w:rPr>
          <w:rFonts w:ascii="Times New Roman" w:hAnsi="Times New Roman" w:cs="Times New Roman"/>
          <w:sz w:val="24"/>
          <w:szCs w:val="24"/>
        </w:rPr>
      </w:pPr>
      <w:bookmarkStart w:id="0" w:name="_Hlk508180546"/>
      <w:r w:rsidRPr="007D14F3">
        <w:rPr>
          <w:rFonts w:ascii="Times New Roman" w:hAnsi="Times New Roman" w:cs="Times New Roman"/>
          <w:sz w:val="24"/>
          <w:szCs w:val="24"/>
        </w:rPr>
        <w:t xml:space="preserve">Author: </w:t>
      </w:r>
      <w:r w:rsidR="005A17A3" w:rsidRPr="007D14F3">
        <w:rPr>
          <w:rFonts w:ascii="Times New Roman" w:hAnsi="Times New Roman" w:cs="Times New Roman"/>
          <w:sz w:val="24"/>
          <w:szCs w:val="24"/>
        </w:rPr>
        <w:t>Aleksandra Chadam</w:t>
      </w:r>
    </w:p>
    <w:p w:rsidR="0097799B" w:rsidRPr="007D14F3" w:rsidRDefault="0097799B" w:rsidP="009C7202">
      <w:pPr>
        <w:spacing w:before="120" w:after="120" w:line="240" w:lineRule="auto"/>
        <w:rPr>
          <w:rFonts w:ascii="Times New Roman" w:hAnsi="Times New Roman" w:cs="Times New Roman"/>
          <w:sz w:val="24"/>
          <w:szCs w:val="24"/>
        </w:rPr>
      </w:pPr>
      <w:r w:rsidRPr="007D14F3">
        <w:rPr>
          <w:rFonts w:ascii="Times New Roman" w:hAnsi="Times New Roman" w:cs="Times New Roman"/>
          <w:sz w:val="24"/>
          <w:szCs w:val="24"/>
        </w:rPr>
        <w:t xml:space="preserve">Financial Analyst, </w:t>
      </w:r>
      <w:proofErr w:type="spellStart"/>
      <w:r w:rsidRPr="007D14F3">
        <w:rPr>
          <w:rFonts w:ascii="Times New Roman" w:hAnsi="Times New Roman" w:cs="Times New Roman"/>
          <w:sz w:val="24"/>
          <w:szCs w:val="24"/>
        </w:rPr>
        <w:t>Duff&amp;Phepls</w:t>
      </w:r>
      <w:proofErr w:type="spellEnd"/>
      <w:r w:rsidRPr="007D14F3">
        <w:rPr>
          <w:rFonts w:ascii="Times New Roman" w:hAnsi="Times New Roman" w:cs="Times New Roman"/>
          <w:sz w:val="24"/>
          <w:szCs w:val="24"/>
        </w:rPr>
        <w:t>, Amsterdam, the Netherlands</w:t>
      </w:r>
    </w:p>
    <w:p w:rsidR="0097799B" w:rsidRPr="007D14F3" w:rsidRDefault="0097799B" w:rsidP="009C7202">
      <w:pPr>
        <w:spacing w:before="120" w:after="120" w:line="240" w:lineRule="auto"/>
        <w:rPr>
          <w:rFonts w:ascii="Times New Roman" w:hAnsi="Times New Roman" w:cs="Times New Roman"/>
          <w:sz w:val="24"/>
          <w:szCs w:val="24"/>
        </w:rPr>
      </w:pPr>
      <w:r w:rsidRPr="007D14F3">
        <w:rPr>
          <w:rFonts w:ascii="Times New Roman" w:hAnsi="Times New Roman" w:cs="Times New Roman"/>
          <w:sz w:val="24"/>
          <w:szCs w:val="24"/>
        </w:rPr>
        <w:br w:type="page"/>
      </w:r>
    </w:p>
    <w:p w:rsidR="00492D97" w:rsidRPr="007D14F3" w:rsidRDefault="00590C22" w:rsidP="009C7202">
      <w:pPr>
        <w:spacing w:before="120" w:after="120" w:line="240" w:lineRule="auto"/>
        <w:jc w:val="center"/>
        <w:rPr>
          <w:rFonts w:ascii="Times New Roman" w:hAnsi="Times New Roman" w:cs="Times New Roman"/>
          <w:b/>
          <w:sz w:val="24"/>
          <w:szCs w:val="24"/>
        </w:rPr>
      </w:pPr>
      <w:r w:rsidRPr="007D14F3">
        <w:rPr>
          <w:rFonts w:ascii="Times New Roman" w:hAnsi="Times New Roman" w:cs="Times New Roman"/>
          <w:b/>
          <w:sz w:val="24"/>
          <w:szCs w:val="24"/>
        </w:rPr>
        <w:lastRenderedPageBreak/>
        <w:t>Does the structure of the board of directors improve M&amp;A performance?</w:t>
      </w:r>
    </w:p>
    <w:p w:rsidR="0097799B" w:rsidRPr="007D14F3" w:rsidRDefault="0097799B" w:rsidP="009C7202">
      <w:pPr>
        <w:spacing w:before="120" w:after="120" w:line="240" w:lineRule="auto"/>
        <w:jc w:val="center"/>
        <w:rPr>
          <w:rFonts w:ascii="Times New Roman" w:hAnsi="Times New Roman" w:cs="Times New Roman"/>
          <w:b/>
          <w:sz w:val="24"/>
          <w:szCs w:val="24"/>
        </w:rPr>
      </w:pPr>
    </w:p>
    <w:p w:rsidR="007C01FD" w:rsidRPr="007D14F3" w:rsidRDefault="00177541" w:rsidP="009C7202">
      <w:pPr>
        <w:pStyle w:val="Heading1"/>
        <w:jc w:val="center"/>
        <w:rPr>
          <w:rFonts w:cs="Times New Roman"/>
          <w:sz w:val="24"/>
          <w:szCs w:val="24"/>
        </w:rPr>
      </w:pPr>
      <w:bookmarkStart w:id="1" w:name="_Toc516128921"/>
      <w:r w:rsidRPr="007D14F3">
        <w:rPr>
          <w:rFonts w:cs="Times New Roman"/>
          <w:sz w:val="24"/>
          <w:szCs w:val="24"/>
        </w:rPr>
        <w:t>Abstract</w:t>
      </w:r>
      <w:bookmarkEnd w:id="1"/>
    </w:p>
    <w:p w:rsidR="00A375E0" w:rsidRPr="007D14F3" w:rsidRDefault="00D549FF" w:rsidP="009C7202">
      <w:pPr>
        <w:spacing w:before="120" w:after="120" w:line="240" w:lineRule="auto"/>
        <w:jc w:val="both"/>
        <w:rPr>
          <w:rFonts w:ascii="Times New Roman" w:hAnsi="Times New Roman" w:cs="Times New Roman"/>
          <w:i/>
          <w:sz w:val="24"/>
          <w:szCs w:val="24"/>
        </w:rPr>
      </w:pPr>
      <w:r w:rsidRPr="007D14F3">
        <w:rPr>
          <w:rFonts w:ascii="Times New Roman" w:hAnsi="Times New Roman" w:cs="Times New Roman"/>
          <w:i/>
          <w:sz w:val="24"/>
          <w:szCs w:val="24"/>
        </w:rPr>
        <w:t xml:space="preserve">a. </w:t>
      </w:r>
      <w:r w:rsidRPr="007D14F3">
        <w:rPr>
          <w:rFonts w:ascii="Times New Roman" w:hAnsi="Times New Roman" w:cs="Times New Roman"/>
          <w:b/>
          <w:i/>
          <w:sz w:val="24"/>
          <w:szCs w:val="24"/>
        </w:rPr>
        <w:t>Purpose</w:t>
      </w:r>
      <w:r w:rsidRPr="007D14F3">
        <w:rPr>
          <w:rFonts w:ascii="Times New Roman" w:hAnsi="Times New Roman" w:cs="Times New Roman"/>
          <w:i/>
          <w:sz w:val="24"/>
          <w:szCs w:val="24"/>
        </w:rPr>
        <w:t xml:space="preserve"> </w:t>
      </w:r>
      <w:r w:rsidR="0081677E" w:rsidRPr="007D14F3">
        <w:rPr>
          <w:rFonts w:ascii="Times New Roman" w:hAnsi="Times New Roman" w:cs="Times New Roman"/>
          <w:i/>
          <w:sz w:val="24"/>
          <w:szCs w:val="24"/>
        </w:rPr>
        <w:t>–</w:t>
      </w:r>
      <w:r w:rsidR="006D2529" w:rsidRPr="007D14F3">
        <w:rPr>
          <w:rFonts w:ascii="Times New Roman" w:hAnsi="Times New Roman" w:cs="Times New Roman"/>
          <w:i/>
          <w:sz w:val="24"/>
          <w:szCs w:val="24"/>
        </w:rPr>
        <w:t xml:space="preserve"> </w:t>
      </w:r>
      <w:r w:rsidR="005131CC" w:rsidRPr="007D14F3">
        <w:rPr>
          <w:rFonts w:ascii="Times New Roman" w:hAnsi="Times New Roman" w:cs="Times New Roman"/>
          <w:i/>
          <w:sz w:val="24"/>
          <w:szCs w:val="24"/>
        </w:rPr>
        <w:t xml:space="preserve">The research focuses on examining which characteristics can raise or diminish board effectiveness in the context of M&amp;A activities of companies. </w:t>
      </w:r>
    </w:p>
    <w:p w:rsidR="00A375E0" w:rsidRPr="007D14F3" w:rsidRDefault="00A375E0" w:rsidP="009C7202">
      <w:pPr>
        <w:spacing w:before="120" w:after="120" w:line="240" w:lineRule="auto"/>
        <w:jc w:val="both"/>
        <w:rPr>
          <w:rFonts w:ascii="Times New Roman" w:hAnsi="Times New Roman" w:cs="Times New Roman"/>
          <w:i/>
          <w:sz w:val="24"/>
          <w:szCs w:val="24"/>
        </w:rPr>
      </w:pPr>
      <w:r w:rsidRPr="007D14F3">
        <w:rPr>
          <w:rFonts w:ascii="Times New Roman" w:hAnsi="Times New Roman" w:cs="Times New Roman"/>
          <w:i/>
          <w:sz w:val="24"/>
          <w:szCs w:val="24"/>
        </w:rPr>
        <w:t xml:space="preserve">b. </w:t>
      </w:r>
      <w:r w:rsidRPr="007D14F3">
        <w:rPr>
          <w:rFonts w:ascii="Times New Roman" w:hAnsi="Times New Roman" w:cs="Times New Roman"/>
          <w:b/>
          <w:i/>
          <w:sz w:val="24"/>
          <w:szCs w:val="24"/>
        </w:rPr>
        <w:t>Design/methodology/approach</w:t>
      </w:r>
      <w:r w:rsidR="00D549FF" w:rsidRPr="007D14F3">
        <w:rPr>
          <w:rFonts w:ascii="Times New Roman" w:hAnsi="Times New Roman" w:cs="Times New Roman"/>
          <w:i/>
          <w:sz w:val="24"/>
          <w:szCs w:val="24"/>
        </w:rPr>
        <w:t xml:space="preserve"> </w:t>
      </w:r>
      <w:r w:rsidR="00E6205B" w:rsidRPr="007D14F3">
        <w:rPr>
          <w:rFonts w:ascii="Times New Roman" w:hAnsi="Times New Roman" w:cs="Times New Roman"/>
          <w:i/>
          <w:sz w:val="24"/>
          <w:szCs w:val="24"/>
        </w:rPr>
        <w:t>–</w:t>
      </w:r>
      <w:r w:rsidR="006D2529" w:rsidRPr="007D14F3">
        <w:t xml:space="preserve"> </w:t>
      </w:r>
      <w:r w:rsidR="00E6205B" w:rsidRPr="007D14F3">
        <w:rPr>
          <w:rFonts w:ascii="Times New Roman" w:hAnsi="Times New Roman" w:cs="Times New Roman"/>
          <w:i/>
          <w:sz w:val="24"/>
          <w:szCs w:val="24"/>
        </w:rPr>
        <w:t xml:space="preserve">The </w:t>
      </w:r>
      <w:r w:rsidR="0051422C" w:rsidRPr="007D14F3">
        <w:rPr>
          <w:rFonts w:ascii="Times New Roman" w:hAnsi="Times New Roman" w:cs="Times New Roman"/>
          <w:i/>
          <w:sz w:val="24"/>
          <w:szCs w:val="24"/>
        </w:rPr>
        <w:t xml:space="preserve">nature of the </w:t>
      </w:r>
      <w:r w:rsidR="00343990" w:rsidRPr="007D14F3">
        <w:rPr>
          <w:rFonts w:ascii="Times New Roman" w:hAnsi="Times New Roman" w:cs="Times New Roman"/>
          <w:i/>
          <w:sz w:val="24"/>
          <w:szCs w:val="24"/>
        </w:rPr>
        <w:t>research</w:t>
      </w:r>
      <w:r w:rsidR="00E6205B" w:rsidRPr="007D14F3">
        <w:rPr>
          <w:rFonts w:ascii="Times New Roman" w:hAnsi="Times New Roman" w:cs="Times New Roman"/>
          <w:i/>
          <w:sz w:val="24"/>
          <w:szCs w:val="24"/>
        </w:rPr>
        <w:t xml:space="preserve"> </w:t>
      </w:r>
      <w:r w:rsidR="0051422C" w:rsidRPr="007D14F3">
        <w:rPr>
          <w:rFonts w:ascii="Times New Roman" w:hAnsi="Times New Roman" w:cs="Times New Roman"/>
          <w:i/>
          <w:sz w:val="24"/>
          <w:szCs w:val="24"/>
        </w:rPr>
        <w:t xml:space="preserve">was </w:t>
      </w:r>
      <w:r w:rsidR="00343990" w:rsidRPr="007D14F3">
        <w:rPr>
          <w:rFonts w:ascii="Times New Roman" w:hAnsi="Times New Roman" w:cs="Times New Roman"/>
          <w:i/>
          <w:sz w:val="24"/>
          <w:szCs w:val="24"/>
        </w:rPr>
        <w:t>quantitative, and the s</w:t>
      </w:r>
      <w:r w:rsidR="0051422C" w:rsidRPr="007D14F3">
        <w:rPr>
          <w:rFonts w:ascii="Times New Roman" w:hAnsi="Times New Roman" w:cs="Times New Roman"/>
          <w:i/>
          <w:sz w:val="24"/>
          <w:szCs w:val="24"/>
        </w:rPr>
        <w:t>a</w:t>
      </w:r>
      <w:r w:rsidR="00343990" w:rsidRPr="007D14F3">
        <w:rPr>
          <w:rFonts w:ascii="Times New Roman" w:hAnsi="Times New Roman" w:cs="Times New Roman"/>
          <w:i/>
          <w:sz w:val="24"/>
          <w:szCs w:val="24"/>
        </w:rPr>
        <w:t>mp</w:t>
      </w:r>
      <w:r w:rsidR="0051422C" w:rsidRPr="007D14F3">
        <w:rPr>
          <w:rFonts w:ascii="Times New Roman" w:hAnsi="Times New Roman" w:cs="Times New Roman"/>
          <w:i/>
          <w:sz w:val="24"/>
          <w:szCs w:val="24"/>
        </w:rPr>
        <w:t xml:space="preserve">le was selected purposefully. The data was </w:t>
      </w:r>
      <w:r w:rsidR="00343990" w:rsidRPr="007D14F3">
        <w:rPr>
          <w:rFonts w:ascii="Times New Roman" w:hAnsi="Times New Roman" w:cs="Times New Roman"/>
          <w:i/>
          <w:sz w:val="24"/>
          <w:szCs w:val="24"/>
        </w:rPr>
        <w:t>retrieved</w:t>
      </w:r>
      <w:r w:rsidR="0051422C" w:rsidRPr="007D14F3">
        <w:rPr>
          <w:rFonts w:ascii="Times New Roman" w:hAnsi="Times New Roman" w:cs="Times New Roman"/>
          <w:i/>
          <w:sz w:val="24"/>
          <w:szCs w:val="24"/>
        </w:rPr>
        <w:t xml:space="preserve"> from four </w:t>
      </w:r>
      <w:r w:rsidR="00343990" w:rsidRPr="007D14F3">
        <w:rPr>
          <w:rFonts w:ascii="Times New Roman" w:hAnsi="Times New Roman" w:cs="Times New Roman"/>
          <w:i/>
          <w:sz w:val="24"/>
          <w:szCs w:val="24"/>
        </w:rPr>
        <w:t>databases</w:t>
      </w:r>
      <w:r w:rsidR="0051422C" w:rsidRPr="007D14F3">
        <w:rPr>
          <w:rFonts w:ascii="Times New Roman" w:hAnsi="Times New Roman" w:cs="Times New Roman"/>
          <w:i/>
          <w:sz w:val="24"/>
          <w:szCs w:val="24"/>
        </w:rPr>
        <w:t xml:space="preserve">: ThomsonOne, Eventus, Institutional Shareholder Platform (ISS) and Compustat. The final sample consisted of 2613 mergers and acquisitions and was selected by applying the following </w:t>
      </w:r>
      <w:r w:rsidR="00343990" w:rsidRPr="007D14F3">
        <w:rPr>
          <w:rFonts w:ascii="Times New Roman" w:hAnsi="Times New Roman" w:cs="Times New Roman"/>
          <w:i/>
          <w:sz w:val="24"/>
          <w:szCs w:val="24"/>
        </w:rPr>
        <w:t>criteria</w:t>
      </w:r>
      <w:r w:rsidR="0051422C" w:rsidRPr="007D14F3">
        <w:rPr>
          <w:rFonts w:ascii="Times New Roman" w:hAnsi="Times New Roman" w:cs="Times New Roman"/>
          <w:i/>
          <w:sz w:val="24"/>
          <w:szCs w:val="24"/>
        </w:rPr>
        <w:t>: both the bidder and the target are US-based companie</w:t>
      </w:r>
      <w:r w:rsidR="00343990" w:rsidRPr="007D14F3">
        <w:rPr>
          <w:rFonts w:ascii="Times New Roman" w:hAnsi="Times New Roman" w:cs="Times New Roman"/>
          <w:i/>
          <w:sz w:val="24"/>
          <w:szCs w:val="24"/>
        </w:rPr>
        <w:t>s</w:t>
      </w:r>
      <w:r w:rsidR="0051422C" w:rsidRPr="007D14F3">
        <w:rPr>
          <w:rFonts w:ascii="Times New Roman" w:hAnsi="Times New Roman" w:cs="Times New Roman"/>
          <w:i/>
          <w:sz w:val="24"/>
          <w:szCs w:val="24"/>
        </w:rPr>
        <w:t>, t</w:t>
      </w:r>
      <w:r w:rsidR="00715AFD" w:rsidRPr="007D14F3">
        <w:rPr>
          <w:rFonts w:ascii="Times New Roman" w:hAnsi="Times New Roman" w:cs="Times New Roman"/>
          <w:i/>
          <w:sz w:val="24"/>
          <w:szCs w:val="24"/>
        </w:rPr>
        <w:t>he acquirer was</w:t>
      </w:r>
      <w:r w:rsidR="0051422C" w:rsidRPr="007D14F3">
        <w:rPr>
          <w:rFonts w:ascii="Times New Roman" w:hAnsi="Times New Roman" w:cs="Times New Roman"/>
          <w:i/>
          <w:sz w:val="24"/>
          <w:szCs w:val="24"/>
        </w:rPr>
        <w:t xml:space="preserve"> a listed company, the acquisition announcement took place over the period 2008 – 2017, the deal value exceeded USD 1 million, the transaction resulted in a control gain</w:t>
      </w:r>
      <w:r w:rsidR="00343990" w:rsidRPr="007D14F3">
        <w:rPr>
          <w:rFonts w:ascii="Times New Roman" w:hAnsi="Times New Roman" w:cs="Times New Roman"/>
          <w:i/>
          <w:sz w:val="24"/>
          <w:szCs w:val="24"/>
        </w:rPr>
        <w:t xml:space="preserve"> over the target company. M&amp;A performance was assessed using cumulative abnormal return (CAR) method, while the board influence was examined using ordinary least square (OLS) regression. Five hypotheses regarding </w:t>
      </w:r>
      <w:r w:rsidR="00060F9F">
        <w:rPr>
          <w:rFonts w:ascii="Times New Roman" w:hAnsi="Times New Roman" w:cs="Times New Roman"/>
          <w:i/>
          <w:sz w:val="24"/>
          <w:szCs w:val="24"/>
        </w:rPr>
        <w:t xml:space="preserve">the </w:t>
      </w:r>
      <w:r w:rsidR="00343990" w:rsidRPr="00060F9F">
        <w:rPr>
          <w:rFonts w:ascii="Times New Roman" w:hAnsi="Times New Roman" w:cs="Times New Roman"/>
          <w:i/>
          <w:noProof/>
          <w:sz w:val="24"/>
          <w:szCs w:val="24"/>
        </w:rPr>
        <w:t>influence</w:t>
      </w:r>
      <w:r w:rsidR="00343990" w:rsidRPr="007D14F3">
        <w:rPr>
          <w:rFonts w:ascii="Times New Roman" w:hAnsi="Times New Roman" w:cs="Times New Roman"/>
          <w:i/>
          <w:sz w:val="24"/>
          <w:szCs w:val="24"/>
        </w:rPr>
        <w:t xml:space="preserve"> of </w:t>
      </w:r>
      <w:bookmarkStart w:id="2" w:name="_Hlk530307365"/>
      <w:r w:rsidR="00343990" w:rsidRPr="007D14F3">
        <w:rPr>
          <w:rFonts w:ascii="Times New Roman" w:hAnsi="Times New Roman" w:cs="Times New Roman"/>
          <w:i/>
          <w:sz w:val="24"/>
          <w:szCs w:val="24"/>
        </w:rPr>
        <w:t xml:space="preserve">board </w:t>
      </w:r>
      <w:r w:rsidR="006D2529" w:rsidRPr="007D14F3">
        <w:rPr>
          <w:rFonts w:ascii="Times New Roman" w:hAnsi="Times New Roman" w:cs="Times New Roman"/>
          <w:i/>
          <w:sz w:val="24"/>
          <w:szCs w:val="24"/>
        </w:rPr>
        <w:t>independence, gender diversity, size, CE</w:t>
      </w:r>
      <w:r w:rsidR="00343990" w:rsidRPr="007D14F3">
        <w:rPr>
          <w:rFonts w:ascii="Times New Roman" w:hAnsi="Times New Roman" w:cs="Times New Roman"/>
          <w:i/>
          <w:sz w:val="24"/>
          <w:szCs w:val="24"/>
        </w:rPr>
        <w:t xml:space="preserve">O duality </w:t>
      </w:r>
      <w:bookmarkEnd w:id="2"/>
      <w:r w:rsidR="00343990" w:rsidRPr="007D14F3">
        <w:rPr>
          <w:rFonts w:ascii="Times New Roman" w:hAnsi="Times New Roman" w:cs="Times New Roman"/>
          <w:i/>
          <w:sz w:val="24"/>
          <w:szCs w:val="24"/>
        </w:rPr>
        <w:t>and type of elections were tested in the research.</w:t>
      </w:r>
    </w:p>
    <w:p w:rsidR="00A375E0" w:rsidRPr="007D14F3" w:rsidRDefault="00D549FF" w:rsidP="009C7202">
      <w:pPr>
        <w:spacing w:before="120" w:after="120" w:line="240" w:lineRule="auto"/>
        <w:jc w:val="both"/>
        <w:rPr>
          <w:rFonts w:ascii="Times New Roman" w:hAnsi="Times New Roman" w:cs="Times New Roman"/>
          <w:i/>
          <w:sz w:val="24"/>
          <w:szCs w:val="24"/>
        </w:rPr>
      </w:pPr>
      <w:r w:rsidRPr="007D14F3">
        <w:rPr>
          <w:rFonts w:ascii="Times New Roman" w:hAnsi="Times New Roman" w:cs="Times New Roman"/>
          <w:i/>
          <w:sz w:val="24"/>
          <w:szCs w:val="24"/>
        </w:rPr>
        <w:t xml:space="preserve">c. </w:t>
      </w:r>
      <w:r w:rsidRPr="007D14F3">
        <w:rPr>
          <w:rFonts w:ascii="Times New Roman" w:hAnsi="Times New Roman" w:cs="Times New Roman"/>
          <w:b/>
          <w:i/>
          <w:sz w:val="24"/>
          <w:szCs w:val="24"/>
        </w:rPr>
        <w:t>Findings</w:t>
      </w:r>
      <w:r w:rsidRPr="007D14F3">
        <w:rPr>
          <w:rFonts w:ascii="Times New Roman" w:hAnsi="Times New Roman" w:cs="Times New Roman"/>
          <w:i/>
          <w:sz w:val="24"/>
          <w:szCs w:val="24"/>
        </w:rPr>
        <w:t xml:space="preserve"> </w:t>
      </w:r>
      <w:r w:rsidR="00860B24" w:rsidRPr="007D14F3">
        <w:rPr>
          <w:rFonts w:ascii="Times New Roman" w:hAnsi="Times New Roman" w:cs="Times New Roman"/>
          <w:i/>
          <w:sz w:val="24"/>
          <w:szCs w:val="24"/>
        </w:rPr>
        <w:t xml:space="preserve">– </w:t>
      </w:r>
      <w:r w:rsidR="00343990" w:rsidRPr="007D14F3">
        <w:rPr>
          <w:rFonts w:ascii="Times New Roman" w:hAnsi="Times New Roman" w:cs="Times New Roman"/>
          <w:i/>
          <w:sz w:val="24"/>
          <w:szCs w:val="24"/>
        </w:rPr>
        <w:t xml:space="preserve">Two out of five hypotheses were confirmed in the study. </w:t>
      </w:r>
      <w:r w:rsidR="00AB58D4" w:rsidRPr="007D14F3">
        <w:rPr>
          <w:rFonts w:ascii="Times New Roman" w:hAnsi="Times New Roman" w:cs="Times New Roman"/>
          <w:i/>
          <w:sz w:val="24"/>
          <w:szCs w:val="24"/>
        </w:rPr>
        <w:t xml:space="preserve">Board independence </w:t>
      </w:r>
      <w:r w:rsidR="00343990" w:rsidRPr="007D14F3">
        <w:rPr>
          <w:rFonts w:ascii="Times New Roman" w:hAnsi="Times New Roman" w:cs="Times New Roman"/>
          <w:i/>
          <w:sz w:val="24"/>
          <w:szCs w:val="24"/>
        </w:rPr>
        <w:t xml:space="preserve">and board classification </w:t>
      </w:r>
      <w:r w:rsidR="00AB58D4" w:rsidRPr="007D14F3">
        <w:rPr>
          <w:rFonts w:ascii="Times New Roman" w:hAnsi="Times New Roman" w:cs="Times New Roman"/>
          <w:i/>
          <w:sz w:val="24"/>
          <w:szCs w:val="24"/>
        </w:rPr>
        <w:t>increase</w:t>
      </w:r>
      <w:r w:rsidR="00343990" w:rsidRPr="007D14F3">
        <w:rPr>
          <w:rFonts w:ascii="Times New Roman" w:hAnsi="Times New Roman" w:cs="Times New Roman"/>
          <w:i/>
          <w:sz w:val="24"/>
          <w:szCs w:val="24"/>
        </w:rPr>
        <w:t xml:space="preserve"> bidders’ CARs</w:t>
      </w:r>
      <w:r w:rsidR="0008730C" w:rsidRPr="007D14F3">
        <w:rPr>
          <w:rFonts w:ascii="Times New Roman" w:hAnsi="Times New Roman" w:cs="Times New Roman"/>
          <w:i/>
          <w:sz w:val="24"/>
          <w:szCs w:val="24"/>
        </w:rPr>
        <w:t xml:space="preserve"> over the deal announcement period.</w:t>
      </w:r>
    </w:p>
    <w:p w:rsidR="005747A7" w:rsidRPr="007D14F3" w:rsidRDefault="00A375E0" w:rsidP="009C7202">
      <w:pPr>
        <w:spacing w:before="120" w:after="120" w:line="240" w:lineRule="auto"/>
        <w:jc w:val="both"/>
        <w:rPr>
          <w:rFonts w:ascii="Times New Roman" w:hAnsi="Times New Roman" w:cs="Times New Roman"/>
          <w:i/>
          <w:sz w:val="24"/>
          <w:szCs w:val="24"/>
        </w:rPr>
      </w:pPr>
      <w:r w:rsidRPr="007D14F3">
        <w:rPr>
          <w:rFonts w:ascii="Times New Roman" w:hAnsi="Times New Roman" w:cs="Times New Roman"/>
          <w:i/>
          <w:sz w:val="24"/>
          <w:szCs w:val="24"/>
        </w:rPr>
        <w:t xml:space="preserve">d. </w:t>
      </w:r>
      <w:r w:rsidRPr="007D14F3">
        <w:rPr>
          <w:rFonts w:ascii="Times New Roman" w:hAnsi="Times New Roman" w:cs="Times New Roman"/>
          <w:b/>
          <w:i/>
          <w:sz w:val="24"/>
          <w:szCs w:val="24"/>
        </w:rPr>
        <w:t>Research limitations/implications</w:t>
      </w:r>
      <w:r w:rsidR="00D549FF" w:rsidRPr="007D14F3">
        <w:rPr>
          <w:rFonts w:ascii="Times New Roman" w:hAnsi="Times New Roman" w:cs="Times New Roman"/>
          <w:b/>
          <w:i/>
          <w:sz w:val="24"/>
          <w:szCs w:val="24"/>
        </w:rPr>
        <w:t xml:space="preserve">: </w:t>
      </w:r>
      <w:r w:rsidR="00D549FF" w:rsidRPr="007D14F3">
        <w:rPr>
          <w:rFonts w:ascii="Times New Roman" w:hAnsi="Times New Roman" w:cs="Times New Roman"/>
          <w:i/>
          <w:sz w:val="24"/>
          <w:szCs w:val="24"/>
        </w:rPr>
        <w:t xml:space="preserve">The main limitation is related to the </w:t>
      </w:r>
      <w:r w:rsidR="00343990" w:rsidRPr="007D14F3">
        <w:rPr>
          <w:rFonts w:ascii="Times New Roman" w:hAnsi="Times New Roman" w:cs="Times New Roman"/>
          <w:i/>
          <w:sz w:val="24"/>
          <w:szCs w:val="24"/>
        </w:rPr>
        <w:t>measurement of M&amp;A performance, which is very difficult to quantify</w:t>
      </w:r>
      <w:r w:rsidR="00F07152" w:rsidRPr="007D14F3">
        <w:rPr>
          <w:rFonts w:ascii="Times New Roman" w:hAnsi="Times New Roman" w:cs="Times New Roman"/>
          <w:i/>
          <w:sz w:val="24"/>
          <w:szCs w:val="24"/>
        </w:rPr>
        <w:t>.</w:t>
      </w:r>
      <w:r w:rsidR="00343990" w:rsidRPr="007D14F3">
        <w:rPr>
          <w:rFonts w:ascii="Times New Roman" w:hAnsi="Times New Roman" w:cs="Times New Roman"/>
          <w:i/>
          <w:sz w:val="24"/>
          <w:szCs w:val="24"/>
        </w:rPr>
        <w:t xml:space="preserve"> </w:t>
      </w:r>
      <w:r w:rsidR="00F07152" w:rsidRPr="007D14F3">
        <w:rPr>
          <w:rFonts w:ascii="Times New Roman" w:hAnsi="Times New Roman" w:cs="Times New Roman"/>
          <w:i/>
          <w:sz w:val="24"/>
          <w:szCs w:val="24"/>
        </w:rPr>
        <w:t>Moreover</w:t>
      </w:r>
      <w:r w:rsidR="005747A7" w:rsidRPr="007D14F3">
        <w:rPr>
          <w:rFonts w:ascii="Times New Roman" w:hAnsi="Times New Roman" w:cs="Times New Roman"/>
          <w:i/>
          <w:sz w:val="24"/>
          <w:szCs w:val="24"/>
        </w:rPr>
        <w:t xml:space="preserve">, the method of selection of </w:t>
      </w:r>
      <w:r w:rsidR="00343990" w:rsidRPr="007D14F3">
        <w:rPr>
          <w:rFonts w:ascii="Times New Roman" w:hAnsi="Times New Roman" w:cs="Times New Roman"/>
          <w:i/>
          <w:sz w:val="24"/>
          <w:szCs w:val="24"/>
        </w:rPr>
        <w:t>the</w:t>
      </w:r>
      <w:r w:rsidR="005747A7" w:rsidRPr="007D14F3">
        <w:rPr>
          <w:rFonts w:ascii="Times New Roman" w:hAnsi="Times New Roman" w:cs="Times New Roman"/>
          <w:i/>
          <w:sz w:val="24"/>
          <w:szCs w:val="24"/>
        </w:rPr>
        <w:t xml:space="preserve"> sample, especially </w:t>
      </w:r>
      <w:r w:rsidR="00060F9F">
        <w:rPr>
          <w:rFonts w:ascii="Times New Roman" w:hAnsi="Times New Roman" w:cs="Times New Roman"/>
          <w:i/>
          <w:sz w:val="24"/>
          <w:szCs w:val="24"/>
        </w:rPr>
        <w:t xml:space="preserve">a </w:t>
      </w:r>
      <w:r w:rsidR="005747A7" w:rsidRPr="00060F9F">
        <w:rPr>
          <w:rFonts w:ascii="Times New Roman" w:hAnsi="Times New Roman" w:cs="Times New Roman"/>
          <w:i/>
          <w:noProof/>
          <w:sz w:val="24"/>
          <w:szCs w:val="24"/>
        </w:rPr>
        <w:t>higher</w:t>
      </w:r>
      <w:r w:rsidR="005747A7" w:rsidRPr="007D14F3">
        <w:rPr>
          <w:rFonts w:ascii="Times New Roman" w:hAnsi="Times New Roman" w:cs="Times New Roman"/>
          <w:i/>
          <w:sz w:val="24"/>
          <w:szCs w:val="24"/>
        </w:rPr>
        <w:t xml:space="preserve"> proportion of companies from certain indu</w:t>
      </w:r>
      <w:r w:rsidR="00F07152" w:rsidRPr="007D14F3">
        <w:rPr>
          <w:rFonts w:ascii="Times New Roman" w:hAnsi="Times New Roman" w:cs="Times New Roman"/>
          <w:i/>
          <w:sz w:val="24"/>
          <w:szCs w:val="24"/>
        </w:rPr>
        <w:t xml:space="preserve">stries could affect the outcomes and underestimate </w:t>
      </w:r>
      <w:r w:rsidR="00060F9F">
        <w:rPr>
          <w:rFonts w:ascii="Times New Roman" w:hAnsi="Times New Roman" w:cs="Times New Roman"/>
          <w:i/>
          <w:sz w:val="24"/>
          <w:szCs w:val="24"/>
        </w:rPr>
        <w:t xml:space="preserve">the </w:t>
      </w:r>
      <w:r w:rsidR="00F07152" w:rsidRPr="00060F9F">
        <w:rPr>
          <w:rFonts w:ascii="Times New Roman" w:hAnsi="Times New Roman" w:cs="Times New Roman"/>
          <w:i/>
          <w:noProof/>
          <w:sz w:val="24"/>
          <w:szCs w:val="24"/>
        </w:rPr>
        <w:t>impact</w:t>
      </w:r>
      <w:r w:rsidR="00F07152" w:rsidRPr="007D14F3">
        <w:rPr>
          <w:rFonts w:ascii="Times New Roman" w:hAnsi="Times New Roman" w:cs="Times New Roman"/>
          <w:i/>
          <w:sz w:val="24"/>
          <w:szCs w:val="24"/>
        </w:rPr>
        <w:t xml:space="preserve"> of</w:t>
      </w:r>
      <w:r w:rsidR="005747A7" w:rsidRPr="007D14F3">
        <w:rPr>
          <w:rFonts w:ascii="Times New Roman" w:hAnsi="Times New Roman" w:cs="Times New Roman"/>
          <w:i/>
          <w:sz w:val="24"/>
          <w:szCs w:val="24"/>
        </w:rPr>
        <w:t xml:space="preserve"> gender diversity</w:t>
      </w:r>
      <w:r w:rsidR="00F07152" w:rsidRPr="007D14F3">
        <w:rPr>
          <w:rFonts w:ascii="Times New Roman" w:hAnsi="Times New Roman" w:cs="Times New Roman"/>
          <w:i/>
          <w:sz w:val="24"/>
          <w:szCs w:val="24"/>
        </w:rPr>
        <w:t>.</w:t>
      </w:r>
      <w:r w:rsidR="005747A7" w:rsidRPr="007D14F3">
        <w:rPr>
          <w:rFonts w:ascii="Times New Roman" w:hAnsi="Times New Roman" w:cs="Times New Roman"/>
          <w:i/>
          <w:sz w:val="24"/>
          <w:szCs w:val="24"/>
        </w:rPr>
        <w:t xml:space="preserve"> </w:t>
      </w:r>
      <w:r w:rsidR="00D549FF" w:rsidRPr="007D14F3">
        <w:rPr>
          <w:rFonts w:ascii="Times New Roman" w:hAnsi="Times New Roman" w:cs="Times New Roman"/>
          <w:i/>
          <w:sz w:val="24"/>
          <w:szCs w:val="24"/>
        </w:rPr>
        <w:t xml:space="preserve">Further </w:t>
      </w:r>
      <w:r w:rsidR="00022757" w:rsidRPr="007D14F3">
        <w:rPr>
          <w:rFonts w:ascii="Times New Roman" w:hAnsi="Times New Roman" w:cs="Times New Roman"/>
          <w:i/>
          <w:sz w:val="24"/>
          <w:szCs w:val="24"/>
        </w:rPr>
        <w:t>research</w:t>
      </w:r>
      <w:r w:rsidR="00D549FF" w:rsidRPr="007D14F3">
        <w:rPr>
          <w:rFonts w:ascii="Times New Roman" w:hAnsi="Times New Roman" w:cs="Times New Roman"/>
          <w:i/>
          <w:sz w:val="24"/>
          <w:szCs w:val="24"/>
        </w:rPr>
        <w:t xml:space="preserve"> could investigate the deals in the long-term perspective</w:t>
      </w:r>
      <w:r w:rsidR="005747A7" w:rsidRPr="007D14F3">
        <w:rPr>
          <w:rFonts w:ascii="Times New Roman" w:hAnsi="Times New Roman" w:cs="Times New Roman"/>
          <w:i/>
          <w:sz w:val="24"/>
          <w:szCs w:val="24"/>
        </w:rPr>
        <w:t xml:space="preserve"> and apply different criteria in the sample selection process.</w:t>
      </w:r>
    </w:p>
    <w:p w:rsidR="00A375E0" w:rsidRPr="007D14F3" w:rsidRDefault="00A375E0" w:rsidP="009C7202">
      <w:pPr>
        <w:spacing w:before="120" w:after="120" w:line="240" w:lineRule="auto"/>
        <w:jc w:val="both"/>
        <w:rPr>
          <w:rFonts w:ascii="Times New Roman" w:hAnsi="Times New Roman" w:cs="Times New Roman"/>
          <w:i/>
          <w:sz w:val="24"/>
          <w:szCs w:val="24"/>
          <w:highlight w:val="yellow"/>
        </w:rPr>
      </w:pPr>
      <w:r w:rsidRPr="007D14F3">
        <w:rPr>
          <w:rFonts w:ascii="Times New Roman" w:hAnsi="Times New Roman" w:cs="Times New Roman"/>
          <w:i/>
          <w:sz w:val="24"/>
          <w:szCs w:val="24"/>
        </w:rPr>
        <w:t xml:space="preserve">e. </w:t>
      </w:r>
      <w:r w:rsidRPr="007D14F3">
        <w:rPr>
          <w:rFonts w:ascii="Times New Roman" w:hAnsi="Times New Roman" w:cs="Times New Roman"/>
          <w:b/>
          <w:i/>
          <w:sz w:val="24"/>
          <w:szCs w:val="24"/>
        </w:rPr>
        <w:t>Practi</w:t>
      </w:r>
      <w:r w:rsidR="00E94204" w:rsidRPr="007D14F3">
        <w:rPr>
          <w:rFonts w:ascii="Times New Roman" w:hAnsi="Times New Roman" w:cs="Times New Roman"/>
          <w:b/>
          <w:i/>
          <w:sz w:val="24"/>
          <w:szCs w:val="24"/>
        </w:rPr>
        <w:t>cal implications:</w:t>
      </w:r>
      <w:r w:rsidRPr="007D14F3">
        <w:rPr>
          <w:rFonts w:ascii="Times New Roman" w:hAnsi="Times New Roman" w:cs="Times New Roman"/>
          <w:i/>
          <w:sz w:val="24"/>
          <w:szCs w:val="24"/>
        </w:rPr>
        <w:t xml:space="preserve"> </w:t>
      </w:r>
      <w:r w:rsidR="00E94204" w:rsidRPr="007D14F3">
        <w:rPr>
          <w:rFonts w:ascii="Times New Roman" w:hAnsi="Times New Roman" w:cs="Times New Roman"/>
          <w:i/>
          <w:sz w:val="24"/>
          <w:szCs w:val="24"/>
        </w:rPr>
        <w:t xml:space="preserve">The outcome of this study is of importance to acquisitive and non-acquisitive companies by aiding them in finding an optimal board structure, which can effectively monitor and motivate the CEO, leading to profitable decisions concerning not only </w:t>
      </w:r>
      <w:r w:rsidR="00E94204" w:rsidRPr="00060F9F">
        <w:rPr>
          <w:rFonts w:ascii="Times New Roman" w:hAnsi="Times New Roman" w:cs="Times New Roman"/>
          <w:i/>
          <w:noProof/>
          <w:sz w:val="24"/>
          <w:szCs w:val="24"/>
        </w:rPr>
        <w:t>M&amp;A</w:t>
      </w:r>
      <w:r w:rsidR="00E94204" w:rsidRPr="007D14F3">
        <w:rPr>
          <w:rFonts w:ascii="Times New Roman" w:hAnsi="Times New Roman" w:cs="Times New Roman"/>
          <w:i/>
          <w:sz w:val="24"/>
          <w:szCs w:val="24"/>
        </w:rPr>
        <w:t xml:space="preserve"> but all major investments.</w:t>
      </w:r>
    </w:p>
    <w:p w:rsidR="00E339D4" w:rsidRPr="007D14F3" w:rsidRDefault="00A375E0" w:rsidP="009C7202">
      <w:pPr>
        <w:spacing w:before="120" w:after="120" w:line="240" w:lineRule="auto"/>
        <w:jc w:val="both"/>
        <w:rPr>
          <w:rFonts w:ascii="Times New Roman" w:hAnsi="Times New Roman" w:cs="Times New Roman"/>
          <w:sz w:val="24"/>
          <w:szCs w:val="24"/>
        </w:rPr>
      </w:pPr>
      <w:r w:rsidRPr="007D14F3">
        <w:rPr>
          <w:rFonts w:ascii="Times New Roman" w:hAnsi="Times New Roman" w:cs="Times New Roman"/>
          <w:i/>
          <w:sz w:val="24"/>
          <w:szCs w:val="24"/>
        </w:rPr>
        <w:t>g</w:t>
      </w:r>
      <w:r w:rsidR="00E94204" w:rsidRPr="007D14F3">
        <w:rPr>
          <w:rFonts w:ascii="Times New Roman" w:hAnsi="Times New Roman" w:cs="Times New Roman"/>
          <w:i/>
          <w:sz w:val="24"/>
          <w:szCs w:val="24"/>
        </w:rPr>
        <w:t xml:space="preserve">. </w:t>
      </w:r>
      <w:r w:rsidR="00E94204" w:rsidRPr="007D14F3">
        <w:rPr>
          <w:rFonts w:ascii="Times New Roman" w:hAnsi="Times New Roman" w:cs="Times New Roman"/>
          <w:b/>
          <w:i/>
          <w:sz w:val="24"/>
          <w:szCs w:val="24"/>
        </w:rPr>
        <w:t>Originality/value:</w:t>
      </w:r>
      <w:r w:rsidR="00E94204" w:rsidRPr="007D14F3">
        <w:rPr>
          <w:rFonts w:ascii="Times New Roman" w:hAnsi="Times New Roman" w:cs="Times New Roman"/>
          <w:i/>
          <w:sz w:val="24"/>
          <w:szCs w:val="24"/>
        </w:rPr>
        <w:t xml:space="preserve"> </w:t>
      </w:r>
      <w:r w:rsidR="00F07152" w:rsidRPr="007D14F3">
        <w:rPr>
          <w:rFonts w:ascii="Times New Roman" w:hAnsi="Times New Roman" w:cs="Times New Roman"/>
          <w:i/>
          <w:sz w:val="24"/>
          <w:szCs w:val="24"/>
        </w:rPr>
        <w:t>The study investigates the topic of board effectiveness in the M&amp;A context, which t</w:t>
      </w:r>
      <w:r w:rsidR="005747A7" w:rsidRPr="007D14F3">
        <w:rPr>
          <w:rFonts w:ascii="Times New Roman" w:hAnsi="Times New Roman" w:cs="Times New Roman"/>
          <w:i/>
          <w:sz w:val="24"/>
          <w:szCs w:val="24"/>
        </w:rPr>
        <w:t>he research</w:t>
      </w:r>
      <w:r w:rsidR="0008730C" w:rsidRPr="007D14F3">
        <w:rPr>
          <w:rFonts w:ascii="Times New Roman" w:hAnsi="Times New Roman" w:cs="Times New Roman"/>
          <w:i/>
          <w:sz w:val="24"/>
          <w:szCs w:val="24"/>
        </w:rPr>
        <w:t xml:space="preserve"> coverage</w:t>
      </w:r>
      <w:r w:rsidR="00F07152" w:rsidRPr="007D14F3">
        <w:rPr>
          <w:rFonts w:ascii="Times New Roman" w:hAnsi="Times New Roman" w:cs="Times New Roman"/>
          <w:i/>
          <w:sz w:val="24"/>
          <w:szCs w:val="24"/>
        </w:rPr>
        <w:t xml:space="preserve"> is still</w:t>
      </w:r>
      <w:r w:rsidR="005747A7" w:rsidRPr="007D14F3">
        <w:rPr>
          <w:rFonts w:ascii="Times New Roman" w:hAnsi="Times New Roman" w:cs="Times New Roman"/>
          <w:i/>
          <w:sz w:val="24"/>
          <w:szCs w:val="24"/>
        </w:rPr>
        <w:t xml:space="preserve"> very limited. T</w:t>
      </w:r>
      <w:r w:rsidR="00F07152" w:rsidRPr="007D14F3">
        <w:rPr>
          <w:rFonts w:ascii="Times New Roman" w:hAnsi="Times New Roman" w:cs="Times New Roman"/>
          <w:i/>
          <w:sz w:val="24"/>
          <w:szCs w:val="24"/>
        </w:rPr>
        <w:t xml:space="preserve">he study </w:t>
      </w:r>
      <w:r w:rsidR="00E94204" w:rsidRPr="007D14F3">
        <w:rPr>
          <w:rFonts w:ascii="Times New Roman" w:hAnsi="Times New Roman" w:cs="Times New Roman"/>
          <w:i/>
          <w:sz w:val="24"/>
          <w:szCs w:val="24"/>
        </w:rPr>
        <w:t xml:space="preserve">covers five </w:t>
      </w:r>
      <w:r w:rsidR="005747A7" w:rsidRPr="007D14F3">
        <w:rPr>
          <w:rFonts w:ascii="Times New Roman" w:hAnsi="Times New Roman" w:cs="Times New Roman"/>
          <w:i/>
          <w:sz w:val="24"/>
          <w:szCs w:val="24"/>
        </w:rPr>
        <w:t xml:space="preserve">board </w:t>
      </w:r>
      <w:r w:rsidR="00F07152" w:rsidRPr="007D14F3">
        <w:rPr>
          <w:rFonts w:ascii="Times New Roman" w:hAnsi="Times New Roman" w:cs="Times New Roman"/>
          <w:i/>
          <w:sz w:val="24"/>
          <w:szCs w:val="24"/>
        </w:rPr>
        <w:t>characteristics</w:t>
      </w:r>
      <w:r w:rsidR="005747A7" w:rsidRPr="007D14F3">
        <w:rPr>
          <w:rFonts w:ascii="Times New Roman" w:hAnsi="Times New Roman" w:cs="Times New Roman"/>
          <w:i/>
          <w:sz w:val="24"/>
          <w:szCs w:val="24"/>
        </w:rPr>
        <w:t xml:space="preserve"> and several control variables </w:t>
      </w:r>
      <w:r w:rsidR="00E94204" w:rsidRPr="007D14F3">
        <w:rPr>
          <w:rFonts w:ascii="Times New Roman" w:hAnsi="Times New Roman" w:cs="Times New Roman"/>
          <w:i/>
          <w:sz w:val="24"/>
          <w:szCs w:val="24"/>
        </w:rPr>
        <w:t xml:space="preserve">to increase the </w:t>
      </w:r>
      <w:r w:rsidR="00E94204" w:rsidRPr="007D14F3">
        <w:rPr>
          <w:rFonts w:ascii="Times New Roman" w:hAnsi="Times New Roman" w:cs="Times New Roman"/>
          <w:i/>
          <w:noProof/>
          <w:sz w:val="24"/>
          <w:szCs w:val="24"/>
        </w:rPr>
        <w:t>robustness</w:t>
      </w:r>
      <w:r w:rsidR="00E94204" w:rsidRPr="007D14F3">
        <w:rPr>
          <w:rFonts w:ascii="Times New Roman" w:hAnsi="Times New Roman" w:cs="Times New Roman"/>
          <w:i/>
          <w:sz w:val="24"/>
          <w:szCs w:val="24"/>
        </w:rPr>
        <w:t xml:space="preserve"> of the results and ensure</w:t>
      </w:r>
      <w:r w:rsidR="005F0F5A" w:rsidRPr="007D14F3">
        <w:rPr>
          <w:rFonts w:ascii="Times New Roman" w:hAnsi="Times New Roman" w:cs="Times New Roman"/>
          <w:i/>
          <w:sz w:val="24"/>
          <w:szCs w:val="24"/>
        </w:rPr>
        <w:t xml:space="preserve"> their correct interpretation. Finally</w:t>
      </w:r>
      <w:r w:rsidR="00E94204" w:rsidRPr="007D14F3">
        <w:rPr>
          <w:rFonts w:ascii="Times New Roman" w:hAnsi="Times New Roman" w:cs="Times New Roman"/>
          <w:i/>
          <w:sz w:val="24"/>
          <w:szCs w:val="24"/>
        </w:rPr>
        <w:t>, the sample consists of the most recent data, which enables to draw up-to-date conclusions that consider constantly developing corporate governance law and trends regarding the board structure and composition.</w:t>
      </w:r>
    </w:p>
    <w:p w:rsidR="00E339D4" w:rsidRPr="007D14F3" w:rsidRDefault="00E339D4" w:rsidP="009C7202">
      <w:pPr>
        <w:spacing w:before="120" w:after="120" w:line="240" w:lineRule="auto"/>
        <w:jc w:val="both"/>
        <w:rPr>
          <w:rFonts w:ascii="Times New Roman" w:hAnsi="Times New Roman" w:cs="Times New Roman"/>
          <w:sz w:val="24"/>
          <w:szCs w:val="24"/>
        </w:rPr>
      </w:pPr>
    </w:p>
    <w:p w:rsidR="00CE1CA5" w:rsidRPr="007D14F3" w:rsidRDefault="00E339D4" w:rsidP="009C7202">
      <w:pPr>
        <w:spacing w:before="120" w:after="120" w:line="240" w:lineRule="auto"/>
        <w:jc w:val="both"/>
        <w:rPr>
          <w:rFonts w:ascii="Times New Roman" w:hAnsi="Times New Roman" w:cs="Times New Roman"/>
          <w:i/>
          <w:sz w:val="24"/>
          <w:szCs w:val="24"/>
        </w:rPr>
      </w:pPr>
      <w:r w:rsidRPr="007D14F3">
        <w:rPr>
          <w:rFonts w:ascii="Times New Roman" w:hAnsi="Times New Roman" w:cs="Times New Roman"/>
          <w:b/>
          <w:i/>
          <w:sz w:val="24"/>
          <w:szCs w:val="24"/>
        </w:rPr>
        <w:t>Keywords:</w:t>
      </w:r>
      <w:r w:rsidRPr="007D14F3">
        <w:rPr>
          <w:rFonts w:ascii="Times New Roman" w:hAnsi="Times New Roman" w:cs="Times New Roman"/>
          <w:sz w:val="24"/>
          <w:szCs w:val="24"/>
        </w:rPr>
        <w:t xml:space="preserve"> </w:t>
      </w:r>
      <w:r w:rsidRPr="007D14F3">
        <w:rPr>
          <w:rFonts w:ascii="Times New Roman" w:hAnsi="Times New Roman" w:cs="Times New Roman"/>
          <w:i/>
          <w:sz w:val="24"/>
          <w:szCs w:val="24"/>
        </w:rPr>
        <w:t>M&amp;A, M&amp;A performance, board effectiveness,</w:t>
      </w:r>
      <w:r w:rsidRPr="007D14F3">
        <w:rPr>
          <w:rFonts w:ascii="Times New Roman" w:hAnsi="Times New Roman" w:cs="Times New Roman"/>
          <w:sz w:val="24"/>
          <w:szCs w:val="24"/>
        </w:rPr>
        <w:t xml:space="preserve"> </w:t>
      </w:r>
      <w:r w:rsidRPr="007D14F3">
        <w:rPr>
          <w:rFonts w:ascii="Times New Roman" w:hAnsi="Times New Roman" w:cs="Times New Roman"/>
          <w:i/>
          <w:sz w:val="24"/>
          <w:szCs w:val="24"/>
        </w:rPr>
        <w:t xml:space="preserve">board independence, gender diversity, </w:t>
      </w:r>
      <w:r w:rsidR="009C7202">
        <w:rPr>
          <w:rFonts w:ascii="Times New Roman" w:hAnsi="Times New Roman" w:cs="Times New Roman"/>
          <w:i/>
          <w:sz w:val="24"/>
          <w:szCs w:val="24"/>
        </w:rPr>
        <w:t xml:space="preserve">board </w:t>
      </w:r>
      <w:r w:rsidRPr="007D14F3">
        <w:rPr>
          <w:rFonts w:ascii="Times New Roman" w:hAnsi="Times New Roman" w:cs="Times New Roman"/>
          <w:i/>
          <w:sz w:val="24"/>
          <w:szCs w:val="24"/>
        </w:rPr>
        <w:t xml:space="preserve">size, CEO duality, </w:t>
      </w:r>
      <w:r w:rsidRPr="00060F9F">
        <w:rPr>
          <w:rFonts w:ascii="Times New Roman" w:hAnsi="Times New Roman" w:cs="Times New Roman"/>
          <w:i/>
          <w:noProof/>
          <w:sz w:val="24"/>
          <w:szCs w:val="24"/>
        </w:rPr>
        <w:t>classified</w:t>
      </w:r>
      <w:r w:rsidRPr="007D14F3">
        <w:rPr>
          <w:rFonts w:ascii="Times New Roman" w:hAnsi="Times New Roman" w:cs="Times New Roman"/>
          <w:i/>
          <w:sz w:val="24"/>
          <w:szCs w:val="24"/>
        </w:rPr>
        <w:t xml:space="preserve"> board</w:t>
      </w:r>
    </w:p>
    <w:p w:rsidR="0097799B" w:rsidRPr="007D14F3" w:rsidRDefault="0097799B" w:rsidP="009C7202">
      <w:pPr>
        <w:spacing w:before="120" w:after="120" w:line="240" w:lineRule="auto"/>
        <w:jc w:val="both"/>
        <w:rPr>
          <w:rFonts w:ascii="Times New Roman" w:hAnsi="Times New Roman" w:cs="Times New Roman"/>
          <w:i/>
          <w:sz w:val="24"/>
          <w:szCs w:val="24"/>
        </w:rPr>
      </w:pPr>
      <w:r w:rsidRPr="007D14F3">
        <w:rPr>
          <w:rFonts w:ascii="Times New Roman" w:hAnsi="Times New Roman" w:cs="Times New Roman"/>
          <w:b/>
          <w:i/>
          <w:sz w:val="24"/>
          <w:szCs w:val="24"/>
        </w:rPr>
        <w:t>Category:</w:t>
      </w:r>
      <w:r w:rsidRPr="007D14F3">
        <w:rPr>
          <w:rFonts w:ascii="Times New Roman" w:hAnsi="Times New Roman" w:cs="Times New Roman"/>
          <w:i/>
          <w:sz w:val="24"/>
          <w:szCs w:val="24"/>
        </w:rPr>
        <w:t xml:space="preserve">  Research paper</w:t>
      </w:r>
    </w:p>
    <w:p w:rsidR="0097799B" w:rsidRPr="007D14F3" w:rsidRDefault="0097799B" w:rsidP="009C7202">
      <w:pPr>
        <w:spacing w:before="120" w:after="120" w:line="240" w:lineRule="auto"/>
        <w:jc w:val="both"/>
        <w:rPr>
          <w:rFonts w:ascii="Times New Roman" w:hAnsi="Times New Roman" w:cs="Times New Roman"/>
          <w:i/>
          <w:sz w:val="24"/>
          <w:szCs w:val="24"/>
        </w:rPr>
      </w:pPr>
    </w:p>
    <w:p w:rsidR="00A82836" w:rsidRPr="007D14F3" w:rsidRDefault="00A82836" w:rsidP="009C7202">
      <w:pPr>
        <w:pStyle w:val="Heading1"/>
        <w:numPr>
          <w:ilvl w:val="0"/>
          <w:numId w:val="3"/>
        </w:numPr>
        <w:rPr>
          <w:rFonts w:cs="Times New Roman"/>
          <w:sz w:val="24"/>
          <w:szCs w:val="24"/>
        </w:rPr>
      </w:pPr>
      <w:bookmarkStart w:id="3" w:name="_Toc516128923"/>
      <w:bookmarkEnd w:id="0"/>
      <w:r w:rsidRPr="007D14F3">
        <w:rPr>
          <w:rFonts w:cs="Times New Roman"/>
          <w:sz w:val="24"/>
          <w:szCs w:val="24"/>
        </w:rPr>
        <w:t>Introduction</w:t>
      </w:r>
      <w:bookmarkEnd w:id="3"/>
    </w:p>
    <w:p w:rsidR="005B6807" w:rsidRPr="007D14F3" w:rsidRDefault="005B6807" w:rsidP="009C7202">
      <w:pPr>
        <w:spacing w:before="120" w:after="120" w:line="240" w:lineRule="auto"/>
        <w:jc w:val="both"/>
        <w:rPr>
          <w:rFonts w:ascii="Times New Roman" w:hAnsi="Times New Roman" w:cs="Times New Roman"/>
          <w:sz w:val="24"/>
          <w:szCs w:val="24"/>
        </w:rPr>
      </w:pPr>
      <w:r w:rsidRPr="007D14F3">
        <w:rPr>
          <w:rFonts w:ascii="Times New Roman" w:hAnsi="Times New Roman" w:cs="Times New Roman"/>
          <w:sz w:val="24"/>
          <w:szCs w:val="24"/>
        </w:rPr>
        <w:t xml:space="preserve">The primary purpose of business is value creation for the owners of the company. Mergers and acquisitions are a common path for managers to rapidly expand the </w:t>
      </w:r>
      <w:r w:rsidRPr="007D14F3">
        <w:rPr>
          <w:rFonts w:ascii="Times New Roman" w:hAnsi="Times New Roman" w:cs="Times New Roman"/>
          <w:noProof/>
          <w:sz w:val="24"/>
          <w:szCs w:val="24"/>
        </w:rPr>
        <w:t>business</w:t>
      </w:r>
      <w:r w:rsidRPr="007D14F3">
        <w:rPr>
          <w:rFonts w:ascii="Times New Roman" w:hAnsi="Times New Roman" w:cs="Times New Roman"/>
          <w:sz w:val="24"/>
          <w:szCs w:val="24"/>
        </w:rPr>
        <w:t xml:space="preserve">, profit from synergy </w:t>
      </w:r>
      <w:r w:rsidRPr="007D14F3">
        <w:rPr>
          <w:rFonts w:ascii="Times New Roman" w:hAnsi="Times New Roman" w:cs="Times New Roman"/>
          <w:sz w:val="24"/>
          <w:szCs w:val="24"/>
        </w:rPr>
        <w:lastRenderedPageBreak/>
        <w:t xml:space="preserve">effects and, as a result, improve </w:t>
      </w:r>
      <w:r w:rsidR="00060F9F">
        <w:rPr>
          <w:rFonts w:ascii="Times New Roman" w:hAnsi="Times New Roman" w:cs="Times New Roman"/>
          <w:sz w:val="24"/>
          <w:szCs w:val="24"/>
        </w:rPr>
        <w:t xml:space="preserve">the </w:t>
      </w:r>
      <w:r w:rsidRPr="00060F9F">
        <w:rPr>
          <w:rFonts w:ascii="Times New Roman" w:hAnsi="Times New Roman" w:cs="Times New Roman"/>
          <w:noProof/>
          <w:sz w:val="24"/>
          <w:szCs w:val="24"/>
        </w:rPr>
        <w:t>firm’s</w:t>
      </w:r>
      <w:r w:rsidRPr="007D14F3">
        <w:rPr>
          <w:rFonts w:ascii="Times New Roman" w:hAnsi="Times New Roman" w:cs="Times New Roman"/>
          <w:sz w:val="24"/>
          <w:szCs w:val="24"/>
        </w:rPr>
        <w:t xml:space="preserve"> performance and increase its value. However, research shows the average dollar change in the bidder shareholders’ wealth when the acquisition announcement is made is negative, which represents a negative net present value of the merger (Malatesta, 1983), (Moeller et al., 2004). Destruction of company value as a result of M&amp;A investments might be assigned to unreasonably elevated expectations of synergy effects and thus inflated valuations, an </w:t>
      </w:r>
      <w:r w:rsidRPr="007D14F3">
        <w:rPr>
          <w:rFonts w:ascii="Times New Roman" w:hAnsi="Times New Roman" w:cs="Times New Roman"/>
          <w:noProof/>
          <w:sz w:val="24"/>
          <w:szCs w:val="24"/>
        </w:rPr>
        <w:t>insufficient</w:t>
      </w:r>
      <w:r w:rsidRPr="007D14F3">
        <w:rPr>
          <w:rFonts w:ascii="Times New Roman" w:hAnsi="Times New Roman" w:cs="Times New Roman"/>
          <w:sz w:val="24"/>
          <w:szCs w:val="24"/>
        </w:rPr>
        <w:t xml:space="preserve"> due diligence of the target company or undervaluation of potential obstacles in the post-acquisition integration process (Bruner, 2004). </w:t>
      </w:r>
      <w:r w:rsidR="00E17FFC" w:rsidRPr="007D14F3">
        <w:rPr>
          <w:rFonts w:ascii="Times New Roman" w:hAnsi="Times New Roman" w:cs="Times New Roman"/>
          <w:sz w:val="24"/>
          <w:szCs w:val="24"/>
        </w:rPr>
        <w:t>Such</w:t>
      </w:r>
      <w:r w:rsidRPr="007D14F3">
        <w:rPr>
          <w:rFonts w:ascii="Times New Roman" w:hAnsi="Times New Roman" w:cs="Times New Roman"/>
          <w:sz w:val="24"/>
          <w:szCs w:val="24"/>
        </w:rPr>
        <w:t xml:space="preserve"> mistakes may arise due to the </w:t>
      </w:r>
      <w:r w:rsidRPr="007D14F3">
        <w:rPr>
          <w:rFonts w:ascii="Times New Roman" w:hAnsi="Times New Roman" w:cs="Times New Roman"/>
          <w:noProof/>
          <w:sz w:val="24"/>
          <w:szCs w:val="24"/>
        </w:rPr>
        <w:t>agency</w:t>
      </w:r>
      <w:r w:rsidRPr="007D14F3">
        <w:rPr>
          <w:rFonts w:ascii="Times New Roman" w:hAnsi="Times New Roman" w:cs="Times New Roman"/>
          <w:sz w:val="24"/>
          <w:szCs w:val="24"/>
        </w:rPr>
        <w:t xml:space="preserve"> and </w:t>
      </w:r>
      <w:r w:rsidRPr="00060F9F">
        <w:rPr>
          <w:rFonts w:ascii="Times New Roman" w:hAnsi="Times New Roman" w:cs="Times New Roman"/>
          <w:noProof/>
          <w:sz w:val="24"/>
          <w:szCs w:val="24"/>
        </w:rPr>
        <w:t>behavio</w:t>
      </w:r>
      <w:r w:rsidR="00060F9F">
        <w:rPr>
          <w:rFonts w:ascii="Times New Roman" w:hAnsi="Times New Roman" w:cs="Times New Roman"/>
          <w:noProof/>
          <w:sz w:val="24"/>
          <w:szCs w:val="24"/>
        </w:rPr>
        <w:t>u</w:t>
      </w:r>
      <w:r w:rsidRPr="00060F9F">
        <w:rPr>
          <w:rFonts w:ascii="Times New Roman" w:hAnsi="Times New Roman" w:cs="Times New Roman"/>
          <w:noProof/>
          <w:sz w:val="24"/>
          <w:szCs w:val="24"/>
        </w:rPr>
        <w:t>ral</w:t>
      </w:r>
      <w:r w:rsidRPr="007D14F3">
        <w:rPr>
          <w:rFonts w:ascii="Times New Roman" w:hAnsi="Times New Roman" w:cs="Times New Roman"/>
          <w:sz w:val="24"/>
          <w:szCs w:val="24"/>
        </w:rPr>
        <w:t xml:space="preserve"> prob</w:t>
      </w:r>
      <w:r w:rsidR="00807081" w:rsidRPr="007D14F3">
        <w:rPr>
          <w:rFonts w:ascii="Times New Roman" w:hAnsi="Times New Roman" w:cs="Times New Roman"/>
          <w:sz w:val="24"/>
          <w:szCs w:val="24"/>
        </w:rPr>
        <w:t>lems in the acquiring company: empire-building desir</w:t>
      </w:r>
      <w:r w:rsidR="00123E93" w:rsidRPr="007D14F3">
        <w:rPr>
          <w:rFonts w:ascii="Times New Roman" w:hAnsi="Times New Roman" w:cs="Times New Roman"/>
          <w:sz w:val="24"/>
          <w:szCs w:val="24"/>
        </w:rPr>
        <w:t xml:space="preserve">es or overconfidence of the CEO (Jensen and </w:t>
      </w:r>
      <w:proofErr w:type="spellStart"/>
      <w:r w:rsidR="00123E93" w:rsidRPr="007D14F3">
        <w:rPr>
          <w:rFonts w:ascii="Times New Roman" w:hAnsi="Times New Roman" w:cs="Times New Roman"/>
          <w:sz w:val="24"/>
          <w:szCs w:val="24"/>
        </w:rPr>
        <w:t>Meckling</w:t>
      </w:r>
      <w:proofErr w:type="spellEnd"/>
      <w:r w:rsidR="00123E93" w:rsidRPr="007D14F3">
        <w:rPr>
          <w:rFonts w:ascii="Times New Roman" w:hAnsi="Times New Roman" w:cs="Times New Roman"/>
          <w:sz w:val="24"/>
          <w:szCs w:val="24"/>
        </w:rPr>
        <w:t>, 1976),</w:t>
      </w:r>
      <w:r w:rsidRPr="007D14F3">
        <w:rPr>
          <w:rFonts w:ascii="Times New Roman" w:hAnsi="Times New Roman" w:cs="Times New Roman"/>
          <w:sz w:val="24"/>
          <w:szCs w:val="24"/>
        </w:rPr>
        <w:t xml:space="preserve"> (Jensen, 1986)</w:t>
      </w:r>
      <w:r w:rsidR="00533957" w:rsidRPr="007D14F3">
        <w:rPr>
          <w:rFonts w:ascii="Times New Roman" w:hAnsi="Times New Roman" w:cs="Times New Roman"/>
          <w:sz w:val="24"/>
          <w:szCs w:val="24"/>
        </w:rPr>
        <w:t>, (</w:t>
      </w:r>
      <w:proofErr w:type="spellStart"/>
      <w:r w:rsidR="00E17FFC" w:rsidRPr="007D14F3">
        <w:rPr>
          <w:rFonts w:ascii="Times New Roman" w:hAnsi="Times New Roman" w:cs="Times New Roman"/>
          <w:sz w:val="24"/>
          <w:szCs w:val="24"/>
        </w:rPr>
        <w:t>Malmendier</w:t>
      </w:r>
      <w:proofErr w:type="spellEnd"/>
      <w:r w:rsidR="00533957" w:rsidRPr="007D14F3">
        <w:rPr>
          <w:rFonts w:ascii="Times New Roman" w:hAnsi="Times New Roman" w:cs="Times New Roman"/>
          <w:sz w:val="24"/>
          <w:szCs w:val="24"/>
        </w:rPr>
        <w:t xml:space="preserve"> and Tate, 2008)</w:t>
      </w:r>
      <w:r w:rsidRPr="007D14F3">
        <w:rPr>
          <w:rFonts w:ascii="Times New Roman" w:hAnsi="Times New Roman" w:cs="Times New Roman"/>
          <w:sz w:val="24"/>
          <w:szCs w:val="24"/>
        </w:rPr>
        <w:t xml:space="preserve">. </w:t>
      </w:r>
      <w:r w:rsidR="00533957" w:rsidRPr="007D14F3">
        <w:rPr>
          <w:rFonts w:ascii="Times New Roman" w:hAnsi="Times New Roman" w:cs="Times New Roman"/>
          <w:sz w:val="24"/>
          <w:szCs w:val="24"/>
        </w:rPr>
        <w:t xml:space="preserve">In business practice, corporate governance mechanisms work as a tool to limit agency and </w:t>
      </w:r>
      <w:proofErr w:type="spellStart"/>
      <w:r w:rsidR="00533957" w:rsidRPr="007D14F3">
        <w:rPr>
          <w:rFonts w:ascii="Times New Roman" w:hAnsi="Times New Roman" w:cs="Times New Roman"/>
          <w:sz w:val="24"/>
          <w:szCs w:val="24"/>
        </w:rPr>
        <w:t>behavioural</w:t>
      </w:r>
      <w:proofErr w:type="spellEnd"/>
      <w:r w:rsidR="00533957" w:rsidRPr="007D14F3">
        <w:rPr>
          <w:rFonts w:ascii="Times New Roman" w:hAnsi="Times New Roman" w:cs="Times New Roman"/>
          <w:sz w:val="24"/>
          <w:szCs w:val="24"/>
        </w:rPr>
        <w:t xml:space="preserve"> problems and to prevent </w:t>
      </w:r>
      <w:r w:rsidR="00533957" w:rsidRPr="00060F9F">
        <w:rPr>
          <w:rFonts w:ascii="Times New Roman" w:hAnsi="Times New Roman" w:cs="Times New Roman"/>
          <w:noProof/>
          <w:sz w:val="24"/>
          <w:szCs w:val="24"/>
        </w:rPr>
        <w:t>value</w:t>
      </w:r>
      <w:r w:rsidR="00060F9F">
        <w:rPr>
          <w:rFonts w:ascii="Times New Roman" w:hAnsi="Times New Roman" w:cs="Times New Roman"/>
          <w:noProof/>
          <w:sz w:val="24"/>
          <w:szCs w:val="24"/>
        </w:rPr>
        <w:t>-</w:t>
      </w:r>
      <w:r w:rsidR="00533957" w:rsidRPr="00060F9F">
        <w:rPr>
          <w:rFonts w:ascii="Times New Roman" w:hAnsi="Times New Roman" w:cs="Times New Roman"/>
          <w:noProof/>
          <w:sz w:val="24"/>
          <w:szCs w:val="24"/>
        </w:rPr>
        <w:t>destroying</w:t>
      </w:r>
      <w:r w:rsidR="00533957" w:rsidRPr="007D14F3">
        <w:rPr>
          <w:rFonts w:ascii="Times New Roman" w:hAnsi="Times New Roman" w:cs="Times New Roman"/>
          <w:sz w:val="24"/>
          <w:szCs w:val="24"/>
        </w:rPr>
        <w:t xml:space="preserve"> acquisitions.</w:t>
      </w:r>
      <w:r w:rsidR="00471B89" w:rsidRPr="007D14F3">
        <w:rPr>
          <w:rFonts w:ascii="Times New Roman" w:hAnsi="Times New Roman" w:cs="Times New Roman"/>
          <w:sz w:val="24"/>
          <w:szCs w:val="24"/>
        </w:rPr>
        <w:t xml:space="preserve"> </w:t>
      </w:r>
      <w:r w:rsidR="00D479DA" w:rsidRPr="007D14F3">
        <w:rPr>
          <w:rFonts w:ascii="Times New Roman" w:hAnsi="Times New Roman" w:cs="Times New Roman"/>
          <w:sz w:val="24"/>
          <w:szCs w:val="24"/>
        </w:rPr>
        <w:t xml:space="preserve">One of them is </w:t>
      </w:r>
      <w:r w:rsidRPr="007D14F3">
        <w:rPr>
          <w:rFonts w:ascii="Times New Roman" w:hAnsi="Times New Roman" w:cs="Times New Roman"/>
          <w:sz w:val="24"/>
          <w:szCs w:val="24"/>
        </w:rPr>
        <w:t xml:space="preserve">a board of directors, which carries monitor management and vote on major decisions including entering mergers and acquisitions. </w:t>
      </w:r>
    </w:p>
    <w:p w:rsidR="00C549FE" w:rsidRPr="007D14F3" w:rsidRDefault="00C549FE" w:rsidP="009C7202">
      <w:pPr>
        <w:spacing w:before="120" w:after="120" w:line="240" w:lineRule="auto"/>
        <w:jc w:val="both"/>
        <w:rPr>
          <w:rFonts w:ascii="Times New Roman" w:hAnsi="Times New Roman" w:cs="Times New Roman"/>
          <w:sz w:val="24"/>
          <w:szCs w:val="24"/>
        </w:rPr>
      </w:pPr>
      <w:r w:rsidRPr="007D14F3">
        <w:rPr>
          <w:rFonts w:ascii="Times New Roman" w:hAnsi="Times New Roman" w:cs="Times New Roman"/>
          <w:sz w:val="24"/>
          <w:szCs w:val="24"/>
        </w:rPr>
        <w:t xml:space="preserve">Numerous studies find evidence that some features of the board: independence, board size, gender diversity, CEO duality and the types of elections, can raise the board’s control effectiveness. An effective board will not authorize value-destroying acquisitions arising from non-economic reasons. Thus, </w:t>
      </w:r>
      <w:r w:rsidR="00060F9F">
        <w:rPr>
          <w:rFonts w:ascii="Times New Roman" w:hAnsi="Times New Roman" w:cs="Times New Roman"/>
          <w:noProof/>
          <w:sz w:val="24"/>
          <w:szCs w:val="24"/>
        </w:rPr>
        <w:t>the</w:t>
      </w:r>
      <w:r w:rsidRPr="00060F9F">
        <w:rPr>
          <w:rFonts w:ascii="Times New Roman" w:hAnsi="Times New Roman" w:cs="Times New Roman"/>
          <w:noProof/>
          <w:sz w:val="24"/>
          <w:szCs w:val="24"/>
        </w:rPr>
        <w:t xml:space="preserve"> presence</w:t>
      </w:r>
      <w:r w:rsidRPr="007D14F3">
        <w:rPr>
          <w:rFonts w:ascii="Times New Roman" w:hAnsi="Times New Roman" w:cs="Times New Roman"/>
          <w:sz w:val="24"/>
          <w:szCs w:val="24"/>
        </w:rPr>
        <w:t xml:space="preserve"> of an effective board should positively affect M&amp;A performance.</w:t>
      </w:r>
    </w:p>
    <w:p w:rsidR="00C549FE" w:rsidRPr="007D14F3" w:rsidRDefault="005B6807" w:rsidP="009C7202">
      <w:pPr>
        <w:spacing w:before="120" w:after="120" w:line="240" w:lineRule="auto"/>
        <w:jc w:val="both"/>
        <w:rPr>
          <w:rFonts w:ascii="Times New Roman" w:hAnsi="Times New Roman" w:cs="Times New Roman"/>
          <w:sz w:val="24"/>
          <w:szCs w:val="24"/>
        </w:rPr>
      </w:pPr>
      <w:r w:rsidRPr="007D14F3">
        <w:rPr>
          <w:rFonts w:ascii="Times New Roman" w:hAnsi="Times New Roman" w:cs="Times New Roman"/>
          <w:sz w:val="24"/>
          <w:szCs w:val="24"/>
        </w:rPr>
        <w:t xml:space="preserve">The study attempts </w:t>
      </w:r>
      <w:r w:rsidR="00C549FE" w:rsidRPr="007D14F3">
        <w:rPr>
          <w:rFonts w:ascii="Times New Roman" w:hAnsi="Times New Roman" w:cs="Times New Roman"/>
          <w:sz w:val="24"/>
          <w:szCs w:val="24"/>
        </w:rPr>
        <w:t>to identify board characteristics that affect M&amp;A performance measured as a market response (abnormal returns</w:t>
      </w:r>
      <w:r w:rsidR="00EB7C52" w:rsidRPr="007D14F3">
        <w:rPr>
          <w:rFonts w:ascii="Times New Roman" w:hAnsi="Times New Roman" w:cs="Times New Roman"/>
          <w:sz w:val="24"/>
          <w:szCs w:val="24"/>
        </w:rPr>
        <w:t xml:space="preserve">) over the announcement period and is based on </w:t>
      </w:r>
      <w:r w:rsidR="00C549FE" w:rsidRPr="007D14F3">
        <w:rPr>
          <w:rFonts w:ascii="Times New Roman" w:hAnsi="Times New Roman" w:cs="Times New Roman"/>
          <w:sz w:val="24"/>
          <w:szCs w:val="24"/>
        </w:rPr>
        <w:t>a sample of 2613 deals. Since the unitary board enables for more freedom in designing the board structure and thus larger variety among the companies (for instance duality of CEO), the research covers US companies and their boards.</w:t>
      </w:r>
    </w:p>
    <w:p w:rsidR="005B6807" w:rsidRPr="007D14F3" w:rsidRDefault="005B6807" w:rsidP="009C7202">
      <w:pPr>
        <w:spacing w:before="120" w:after="120" w:line="240" w:lineRule="auto"/>
        <w:jc w:val="both"/>
        <w:rPr>
          <w:rFonts w:ascii="Times New Roman" w:hAnsi="Times New Roman" w:cs="Times New Roman"/>
          <w:sz w:val="24"/>
          <w:szCs w:val="24"/>
        </w:rPr>
      </w:pPr>
      <w:r w:rsidRPr="007D14F3">
        <w:rPr>
          <w:rFonts w:ascii="Times New Roman" w:hAnsi="Times New Roman" w:cs="Times New Roman"/>
          <w:sz w:val="24"/>
          <w:szCs w:val="24"/>
        </w:rPr>
        <w:t>The research shows board independence has a significant and positive influence on the acquirer abnormal returns during the announcement period. The results are consistent with the theory that more independent boards monitor managers better, decrease managerial entrenchment and limit pursuing value-destroying acquisitions. Further, a classified board significantly and positively influences bidders CAR. This is consistent with the theory that</w:t>
      </w:r>
      <w:r w:rsidRPr="007D14F3">
        <w:rPr>
          <w:sz w:val="24"/>
          <w:szCs w:val="24"/>
        </w:rPr>
        <w:t xml:space="preserve"> </w:t>
      </w:r>
      <w:r w:rsidRPr="007D14F3">
        <w:rPr>
          <w:rFonts w:ascii="Times New Roman" w:hAnsi="Times New Roman" w:cs="Times New Roman"/>
          <w:sz w:val="24"/>
          <w:szCs w:val="24"/>
        </w:rPr>
        <w:t xml:space="preserve">a classified board reduces a takeover pressure and encourage managers to pursue deals that create </w:t>
      </w:r>
      <w:r w:rsidR="0031526D" w:rsidRPr="007D14F3">
        <w:rPr>
          <w:rFonts w:ascii="Times New Roman" w:hAnsi="Times New Roman" w:cs="Times New Roman"/>
          <w:sz w:val="24"/>
          <w:szCs w:val="24"/>
        </w:rPr>
        <w:t xml:space="preserve">value in </w:t>
      </w:r>
      <w:r w:rsidR="00060F9F">
        <w:rPr>
          <w:rFonts w:ascii="Times New Roman" w:hAnsi="Times New Roman" w:cs="Times New Roman"/>
          <w:sz w:val="24"/>
          <w:szCs w:val="24"/>
        </w:rPr>
        <w:t xml:space="preserve">a </w:t>
      </w:r>
      <w:r w:rsidR="0031526D" w:rsidRPr="00060F9F">
        <w:rPr>
          <w:rFonts w:ascii="Times New Roman" w:hAnsi="Times New Roman" w:cs="Times New Roman"/>
          <w:noProof/>
          <w:sz w:val="24"/>
          <w:szCs w:val="24"/>
        </w:rPr>
        <w:t>long-term</w:t>
      </w:r>
      <w:r w:rsidR="0031526D" w:rsidRPr="007D14F3">
        <w:rPr>
          <w:rFonts w:ascii="Times New Roman" w:hAnsi="Times New Roman" w:cs="Times New Roman"/>
          <w:sz w:val="24"/>
          <w:szCs w:val="24"/>
        </w:rPr>
        <w:t xml:space="preserve"> perspective. N</w:t>
      </w:r>
      <w:r w:rsidRPr="007D14F3">
        <w:rPr>
          <w:rFonts w:ascii="Times New Roman" w:hAnsi="Times New Roman" w:cs="Times New Roman"/>
          <w:sz w:val="24"/>
          <w:szCs w:val="24"/>
        </w:rPr>
        <w:t>o evidence for a statistically significant impact of gender diversity, board size and</w:t>
      </w:r>
      <w:r w:rsidR="0031526D" w:rsidRPr="007D14F3">
        <w:rPr>
          <w:rFonts w:ascii="Times New Roman" w:hAnsi="Times New Roman" w:cs="Times New Roman"/>
          <w:sz w:val="24"/>
          <w:szCs w:val="24"/>
        </w:rPr>
        <w:t xml:space="preserve"> CEO duality on M&amp;A performance </w:t>
      </w:r>
      <w:r w:rsidR="0031526D" w:rsidRPr="00060F9F">
        <w:rPr>
          <w:rFonts w:ascii="Times New Roman" w:hAnsi="Times New Roman" w:cs="Times New Roman"/>
          <w:noProof/>
          <w:sz w:val="24"/>
          <w:szCs w:val="24"/>
        </w:rPr>
        <w:t>is</w:t>
      </w:r>
      <w:r w:rsidR="0031526D" w:rsidRPr="007D14F3">
        <w:rPr>
          <w:rFonts w:ascii="Times New Roman" w:hAnsi="Times New Roman" w:cs="Times New Roman"/>
          <w:sz w:val="24"/>
          <w:szCs w:val="24"/>
        </w:rPr>
        <w:t xml:space="preserve"> found.</w:t>
      </w:r>
    </w:p>
    <w:p w:rsidR="00DE1B7E" w:rsidRPr="007D14F3" w:rsidRDefault="00DE1B7E" w:rsidP="009C7202">
      <w:pPr>
        <w:spacing w:before="120" w:after="120" w:line="240" w:lineRule="auto"/>
        <w:jc w:val="both"/>
        <w:rPr>
          <w:rFonts w:ascii="Times New Roman" w:hAnsi="Times New Roman" w:cs="Times New Roman"/>
          <w:sz w:val="24"/>
          <w:szCs w:val="24"/>
        </w:rPr>
      </w:pPr>
    </w:p>
    <w:p w:rsidR="0050008B" w:rsidRPr="007D14F3" w:rsidRDefault="00177541" w:rsidP="009C7202">
      <w:pPr>
        <w:pStyle w:val="Heading1"/>
        <w:numPr>
          <w:ilvl w:val="0"/>
          <w:numId w:val="3"/>
        </w:numPr>
        <w:rPr>
          <w:rFonts w:cs="Times New Roman"/>
          <w:sz w:val="24"/>
          <w:szCs w:val="24"/>
        </w:rPr>
      </w:pPr>
      <w:bookmarkStart w:id="4" w:name="_Toc516128924"/>
      <w:r w:rsidRPr="007D14F3">
        <w:rPr>
          <w:rFonts w:cs="Times New Roman"/>
          <w:sz w:val="24"/>
          <w:szCs w:val="24"/>
        </w:rPr>
        <w:t>Literature Review</w:t>
      </w:r>
      <w:bookmarkEnd w:id="4"/>
      <w:r w:rsidRPr="007D14F3">
        <w:rPr>
          <w:rFonts w:cs="Times New Roman"/>
          <w:sz w:val="24"/>
          <w:szCs w:val="24"/>
        </w:rPr>
        <w:t xml:space="preserve"> </w:t>
      </w:r>
    </w:p>
    <w:p w:rsidR="00361D08" w:rsidRPr="007D14F3" w:rsidRDefault="00C10BE0" w:rsidP="009C7202">
      <w:pPr>
        <w:pStyle w:val="Heading2"/>
        <w:numPr>
          <w:ilvl w:val="1"/>
          <w:numId w:val="3"/>
        </w:numPr>
        <w:spacing w:before="120" w:after="120" w:line="240" w:lineRule="auto"/>
        <w:rPr>
          <w:rFonts w:cs="Times New Roman"/>
          <w:szCs w:val="24"/>
        </w:rPr>
      </w:pPr>
      <w:bookmarkStart w:id="5" w:name="_Toc516128925"/>
      <w:r w:rsidRPr="007D14F3">
        <w:rPr>
          <w:rFonts w:cs="Times New Roman"/>
          <w:szCs w:val="24"/>
        </w:rPr>
        <w:t>Motives behind</w:t>
      </w:r>
      <w:r w:rsidR="0002529B" w:rsidRPr="007D14F3">
        <w:rPr>
          <w:rFonts w:cs="Times New Roman"/>
          <w:szCs w:val="24"/>
        </w:rPr>
        <w:t xml:space="preserve"> M&amp;A</w:t>
      </w:r>
      <w:r w:rsidRPr="007D14F3">
        <w:rPr>
          <w:rFonts w:cs="Times New Roman"/>
          <w:szCs w:val="24"/>
        </w:rPr>
        <w:t xml:space="preserve"> transactions</w:t>
      </w:r>
      <w:bookmarkEnd w:id="5"/>
    </w:p>
    <w:p w:rsidR="0002529B" w:rsidRPr="007D14F3" w:rsidRDefault="00350345" w:rsidP="009C7202">
      <w:pPr>
        <w:spacing w:before="120" w:after="120" w:line="240" w:lineRule="auto"/>
        <w:jc w:val="both"/>
        <w:rPr>
          <w:rFonts w:ascii="Times New Roman" w:hAnsi="Times New Roman" w:cs="Times New Roman"/>
          <w:sz w:val="24"/>
          <w:szCs w:val="24"/>
        </w:rPr>
      </w:pPr>
      <w:r w:rsidRPr="007D14F3">
        <w:rPr>
          <w:rFonts w:ascii="Times New Roman" w:hAnsi="Times New Roman" w:cs="Times New Roman"/>
          <w:sz w:val="24"/>
          <w:szCs w:val="24"/>
        </w:rPr>
        <w:t>Mergers and acquisitions may create a value. However,</w:t>
      </w:r>
      <w:r w:rsidR="00D479DA" w:rsidRPr="007D14F3">
        <w:rPr>
          <w:rFonts w:ascii="Times New Roman" w:hAnsi="Times New Roman" w:cs="Times New Roman"/>
          <w:sz w:val="24"/>
          <w:szCs w:val="24"/>
        </w:rPr>
        <w:t xml:space="preserve"> the reasons behind pursuing </w:t>
      </w:r>
      <w:r w:rsidRPr="007D14F3">
        <w:rPr>
          <w:rFonts w:ascii="Times New Roman" w:hAnsi="Times New Roman" w:cs="Times New Roman"/>
          <w:sz w:val="24"/>
          <w:szCs w:val="24"/>
        </w:rPr>
        <w:t xml:space="preserve">a deal </w:t>
      </w:r>
      <w:proofErr w:type="gramStart"/>
      <w:r w:rsidRPr="007D14F3">
        <w:rPr>
          <w:rFonts w:ascii="Times New Roman" w:hAnsi="Times New Roman" w:cs="Times New Roman"/>
          <w:sz w:val="24"/>
          <w:szCs w:val="24"/>
        </w:rPr>
        <w:t>have to</w:t>
      </w:r>
      <w:proofErr w:type="gramEnd"/>
      <w:r w:rsidRPr="007D14F3">
        <w:rPr>
          <w:rFonts w:ascii="Times New Roman" w:hAnsi="Times New Roman" w:cs="Times New Roman"/>
          <w:sz w:val="24"/>
          <w:szCs w:val="24"/>
        </w:rPr>
        <w:t xml:space="preserve"> be rational and economic: </w:t>
      </w:r>
      <w:r w:rsidR="00EB7C52" w:rsidRPr="007D14F3">
        <w:rPr>
          <w:rFonts w:ascii="Times New Roman" w:hAnsi="Times New Roman" w:cs="Times New Roman"/>
          <w:sz w:val="24"/>
          <w:szCs w:val="24"/>
        </w:rPr>
        <w:t>potential</w:t>
      </w:r>
      <w:r w:rsidRPr="007D14F3">
        <w:rPr>
          <w:rFonts w:ascii="Times New Roman" w:hAnsi="Times New Roman" w:cs="Times New Roman"/>
          <w:sz w:val="24"/>
          <w:szCs w:val="24"/>
        </w:rPr>
        <w:t xml:space="preserve"> synergy effects, profiting from </w:t>
      </w:r>
      <w:r w:rsidR="00EB7C52" w:rsidRPr="007D14F3">
        <w:rPr>
          <w:rFonts w:ascii="Times New Roman" w:hAnsi="Times New Roman" w:cs="Times New Roman"/>
          <w:sz w:val="24"/>
          <w:szCs w:val="24"/>
        </w:rPr>
        <w:t>intellectual</w:t>
      </w:r>
      <w:r w:rsidRPr="007D14F3">
        <w:rPr>
          <w:rFonts w:ascii="Times New Roman" w:hAnsi="Times New Roman" w:cs="Times New Roman"/>
          <w:sz w:val="24"/>
          <w:szCs w:val="24"/>
        </w:rPr>
        <w:t xml:space="preserve"> capital o</w:t>
      </w:r>
      <w:r w:rsidR="00EB7C52" w:rsidRPr="007D14F3">
        <w:rPr>
          <w:rFonts w:ascii="Times New Roman" w:hAnsi="Times New Roman" w:cs="Times New Roman"/>
          <w:sz w:val="24"/>
          <w:szCs w:val="24"/>
        </w:rPr>
        <w:t>r</w:t>
      </w:r>
      <w:r w:rsidRPr="007D14F3">
        <w:rPr>
          <w:rFonts w:ascii="Times New Roman" w:hAnsi="Times New Roman" w:cs="Times New Roman"/>
          <w:sz w:val="24"/>
          <w:szCs w:val="24"/>
        </w:rPr>
        <w:t xml:space="preserve"> diversification. However, in business reality deals are motivated by agency issues and </w:t>
      </w:r>
      <w:proofErr w:type="spellStart"/>
      <w:r w:rsidRPr="007D14F3">
        <w:rPr>
          <w:rFonts w:ascii="Times New Roman" w:hAnsi="Times New Roman" w:cs="Times New Roman"/>
          <w:sz w:val="24"/>
          <w:szCs w:val="24"/>
        </w:rPr>
        <w:t>behavioural</w:t>
      </w:r>
      <w:proofErr w:type="spellEnd"/>
      <w:r w:rsidRPr="007D14F3">
        <w:rPr>
          <w:rFonts w:ascii="Times New Roman" w:hAnsi="Times New Roman" w:cs="Times New Roman"/>
          <w:sz w:val="24"/>
          <w:szCs w:val="24"/>
        </w:rPr>
        <w:t xml:space="preserve"> biases. </w:t>
      </w:r>
      <w:r w:rsidR="00643554" w:rsidRPr="007D14F3">
        <w:rPr>
          <w:rFonts w:ascii="Times New Roman" w:hAnsi="Times New Roman" w:cs="Times New Roman"/>
          <w:sz w:val="24"/>
          <w:szCs w:val="24"/>
        </w:rPr>
        <w:t xml:space="preserve">According to agency theory, managers have personal </w:t>
      </w:r>
      <w:r w:rsidRPr="007D14F3">
        <w:rPr>
          <w:rFonts w:ascii="Times New Roman" w:hAnsi="Times New Roman" w:cs="Times New Roman"/>
          <w:sz w:val="24"/>
          <w:szCs w:val="24"/>
        </w:rPr>
        <w:t xml:space="preserve">incentives </w:t>
      </w:r>
      <w:r w:rsidR="00D12974" w:rsidRPr="007D14F3">
        <w:rPr>
          <w:rFonts w:ascii="Times New Roman" w:hAnsi="Times New Roman" w:cs="Times New Roman"/>
          <w:sz w:val="24"/>
          <w:szCs w:val="24"/>
        </w:rPr>
        <w:t>to increas</w:t>
      </w:r>
      <w:r w:rsidRPr="007D14F3">
        <w:rPr>
          <w:rFonts w:ascii="Times New Roman" w:hAnsi="Times New Roman" w:cs="Times New Roman"/>
          <w:sz w:val="24"/>
          <w:szCs w:val="24"/>
        </w:rPr>
        <w:t xml:space="preserve">e their power and compensation and they </w:t>
      </w:r>
      <w:r w:rsidR="00D12974" w:rsidRPr="007D14F3">
        <w:rPr>
          <w:rFonts w:ascii="Times New Roman" w:hAnsi="Times New Roman" w:cs="Times New Roman"/>
          <w:sz w:val="24"/>
          <w:szCs w:val="24"/>
        </w:rPr>
        <w:t>may grow</w:t>
      </w:r>
      <w:r w:rsidR="0002529B" w:rsidRPr="007D14F3">
        <w:rPr>
          <w:rFonts w:ascii="Times New Roman" w:hAnsi="Times New Roman" w:cs="Times New Roman"/>
          <w:sz w:val="24"/>
          <w:szCs w:val="24"/>
        </w:rPr>
        <w:t xml:space="preserve"> the company beyond the optimal size</w:t>
      </w:r>
      <w:r w:rsidR="00643554" w:rsidRPr="007D14F3">
        <w:rPr>
          <w:rFonts w:ascii="Times New Roman" w:hAnsi="Times New Roman" w:cs="Times New Roman"/>
          <w:sz w:val="24"/>
          <w:szCs w:val="24"/>
        </w:rPr>
        <w:t xml:space="preserve"> </w:t>
      </w:r>
      <w:r w:rsidR="00D12974" w:rsidRPr="007D14F3">
        <w:rPr>
          <w:rFonts w:ascii="Times New Roman" w:hAnsi="Times New Roman" w:cs="Times New Roman"/>
          <w:sz w:val="24"/>
          <w:szCs w:val="24"/>
        </w:rPr>
        <w:t xml:space="preserve">(Jensen, 1986). </w:t>
      </w:r>
      <w:r w:rsidR="00626CDD" w:rsidRPr="007D14F3">
        <w:rPr>
          <w:rFonts w:ascii="Times New Roman" w:hAnsi="Times New Roman" w:cs="Times New Roman"/>
          <w:sz w:val="24"/>
          <w:szCs w:val="24"/>
        </w:rPr>
        <w:t>Since mergers and acquisitions are a fast way to expand a business in comparison to internal growth, the</w:t>
      </w:r>
      <w:r w:rsidR="00456621" w:rsidRPr="007D14F3">
        <w:rPr>
          <w:rFonts w:ascii="Times New Roman" w:hAnsi="Times New Roman" w:cs="Times New Roman"/>
          <w:sz w:val="24"/>
          <w:szCs w:val="24"/>
        </w:rPr>
        <w:t>y</w:t>
      </w:r>
      <w:r w:rsidR="00626CDD" w:rsidRPr="007D14F3">
        <w:rPr>
          <w:rFonts w:ascii="Times New Roman" w:hAnsi="Times New Roman" w:cs="Times New Roman"/>
          <w:sz w:val="24"/>
          <w:szCs w:val="24"/>
        </w:rPr>
        <w:t xml:space="preserve"> might </w:t>
      </w:r>
      <w:r w:rsidR="00456621" w:rsidRPr="007D14F3">
        <w:rPr>
          <w:rFonts w:ascii="Times New Roman" w:hAnsi="Times New Roman" w:cs="Times New Roman"/>
          <w:sz w:val="24"/>
          <w:szCs w:val="24"/>
        </w:rPr>
        <w:t>serve</w:t>
      </w:r>
      <w:r w:rsidR="00626CDD" w:rsidRPr="007D14F3">
        <w:rPr>
          <w:rFonts w:ascii="Times New Roman" w:hAnsi="Times New Roman" w:cs="Times New Roman"/>
          <w:sz w:val="24"/>
          <w:szCs w:val="24"/>
        </w:rPr>
        <w:t xml:space="preserve"> as a tool to ‘</w:t>
      </w:r>
      <w:r w:rsidR="006C3455" w:rsidRPr="007D14F3">
        <w:rPr>
          <w:rFonts w:ascii="Times New Roman" w:hAnsi="Times New Roman" w:cs="Times New Roman"/>
          <w:sz w:val="24"/>
          <w:szCs w:val="24"/>
        </w:rPr>
        <w:t>build an empire</w:t>
      </w:r>
      <w:r w:rsidR="00626CDD" w:rsidRPr="007D14F3">
        <w:rPr>
          <w:rFonts w:ascii="Times New Roman" w:hAnsi="Times New Roman" w:cs="Times New Roman"/>
          <w:sz w:val="24"/>
          <w:szCs w:val="24"/>
        </w:rPr>
        <w:t>’</w:t>
      </w:r>
      <w:r w:rsidR="006C3455" w:rsidRPr="007D14F3">
        <w:rPr>
          <w:rFonts w:ascii="Times New Roman" w:hAnsi="Times New Roman" w:cs="Times New Roman"/>
          <w:sz w:val="24"/>
          <w:szCs w:val="24"/>
        </w:rPr>
        <w:t xml:space="preserve">. Moreover, managers </w:t>
      </w:r>
      <w:r w:rsidR="006E4BFD" w:rsidRPr="007D14F3">
        <w:rPr>
          <w:rFonts w:ascii="Times New Roman" w:hAnsi="Times New Roman" w:cs="Times New Roman"/>
          <w:sz w:val="24"/>
          <w:szCs w:val="24"/>
        </w:rPr>
        <w:t>may be</w:t>
      </w:r>
      <w:r w:rsidR="006C3455" w:rsidRPr="007D14F3">
        <w:rPr>
          <w:rFonts w:ascii="Times New Roman" w:hAnsi="Times New Roman" w:cs="Times New Roman"/>
          <w:sz w:val="24"/>
          <w:szCs w:val="24"/>
        </w:rPr>
        <w:t xml:space="preserve"> </w:t>
      </w:r>
      <w:proofErr w:type="spellStart"/>
      <w:r w:rsidR="006C3455" w:rsidRPr="007D14F3">
        <w:rPr>
          <w:rFonts w:ascii="Times New Roman" w:hAnsi="Times New Roman" w:cs="Times New Roman"/>
          <w:sz w:val="24"/>
          <w:szCs w:val="24"/>
        </w:rPr>
        <w:t>incentivised</w:t>
      </w:r>
      <w:proofErr w:type="spellEnd"/>
      <w:r w:rsidR="006C3455" w:rsidRPr="007D14F3">
        <w:rPr>
          <w:rFonts w:ascii="Times New Roman" w:hAnsi="Times New Roman" w:cs="Times New Roman"/>
          <w:sz w:val="24"/>
          <w:szCs w:val="24"/>
        </w:rPr>
        <w:t xml:space="preserve"> </w:t>
      </w:r>
      <w:r w:rsidR="006E4BFD" w:rsidRPr="007D14F3">
        <w:rPr>
          <w:rFonts w:ascii="Times New Roman" w:hAnsi="Times New Roman" w:cs="Times New Roman"/>
          <w:sz w:val="24"/>
          <w:szCs w:val="24"/>
        </w:rPr>
        <w:t xml:space="preserve">to undertake risky acquisitions </w:t>
      </w:r>
      <w:r w:rsidR="006C3455" w:rsidRPr="007D14F3">
        <w:rPr>
          <w:rFonts w:ascii="Times New Roman" w:hAnsi="Times New Roman" w:cs="Times New Roman"/>
          <w:sz w:val="24"/>
          <w:szCs w:val="24"/>
        </w:rPr>
        <w:t xml:space="preserve">by a convex </w:t>
      </w:r>
      <w:r w:rsidR="006C3455" w:rsidRPr="00060F9F">
        <w:rPr>
          <w:rFonts w:ascii="Times New Roman" w:hAnsi="Times New Roman" w:cs="Times New Roman"/>
          <w:noProof/>
          <w:sz w:val="24"/>
          <w:szCs w:val="24"/>
        </w:rPr>
        <w:t>payoff</w:t>
      </w:r>
      <w:r w:rsidR="006C3455" w:rsidRPr="007D14F3">
        <w:rPr>
          <w:rFonts w:ascii="Times New Roman" w:hAnsi="Times New Roman" w:cs="Times New Roman"/>
          <w:sz w:val="24"/>
          <w:szCs w:val="24"/>
        </w:rPr>
        <w:t xml:space="preserve"> </w:t>
      </w:r>
      <w:r w:rsidR="006C3455" w:rsidRPr="007D14F3">
        <w:rPr>
          <w:rFonts w:ascii="Times New Roman" w:hAnsi="Times New Roman" w:cs="Times New Roman"/>
          <w:noProof/>
          <w:sz w:val="24"/>
          <w:szCs w:val="24"/>
        </w:rPr>
        <w:t>structure</w:t>
      </w:r>
      <w:r w:rsidR="006C3455" w:rsidRPr="007D14F3">
        <w:rPr>
          <w:rFonts w:ascii="Times New Roman" w:hAnsi="Times New Roman" w:cs="Times New Roman"/>
          <w:sz w:val="24"/>
          <w:szCs w:val="24"/>
        </w:rPr>
        <w:t xml:space="preserve"> of their </w:t>
      </w:r>
      <w:r w:rsidR="00626CDD" w:rsidRPr="007D14F3">
        <w:rPr>
          <w:rFonts w:ascii="Times New Roman" w:hAnsi="Times New Roman" w:cs="Times New Roman"/>
          <w:sz w:val="24"/>
          <w:szCs w:val="24"/>
        </w:rPr>
        <w:t>c</w:t>
      </w:r>
      <w:r w:rsidR="006C3455" w:rsidRPr="007D14F3">
        <w:rPr>
          <w:rFonts w:ascii="Times New Roman" w:hAnsi="Times New Roman" w:cs="Times New Roman"/>
          <w:sz w:val="24"/>
          <w:szCs w:val="24"/>
        </w:rPr>
        <w:t xml:space="preserve">ompensation package and bonuses following </w:t>
      </w:r>
      <w:r w:rsidR="00DF0908" w:rsidRPr="007D14F3">
        <w:rPr>
          <w:rFonts w:ascii="Times New Roman" w:hAnsi="Times New Roman" w:cs="Times New Roman"/>
          <w:sz w:val="24"/>
          <w:szCs w:val="24"/>
        </w:rPr>
        <w:t xml:space="preserve">the </w:t>
      </w:r>
      <w:r w:rsidR="006C3455" w:rsidRPr="007D14F3">
        <w:rPr>
          <w:rFonts w:ascii="Times New Roman" w:hAnsi="Times New Roman" w:cs="Times New Roman"/>
          <w:noProof/>
          <w:sz w:val="24"/>
          <w:szCs w:val="24"/>
        </w:rPr>
        <w:t>transaction</w:t>
      </w:r>
      <w:r w:rsidR="006C3455" w:rsidRPr="007D14F3">
        <w:rPr>
          <w:rFonts w:ascii="Times New Roman" w:hAnsi="Times New Roman" w:cs="Times New Roman"/>
          <w:sz w:val="24"/>
          <w:szCs w:val="24"/>
        </w:rPr>
        <w:t>.</w:t>
      </w:r>
      <w:r w:rsidRPr="007D14F3">
        <w:rPr>
          <w:rFonts w:ascii="Times New Roman" w:hAnsi="Times New Roman" w:cs="Times New Roman"/>
          <w:sz w:val="24"/>
          <w:szCs w:val="24"/>
        </w:rPr>
        <w:t xml:space="preserve"> </w:t>
      </w:r>
      <w:r w:rsidR="005713FD" w:rsidRPr="007D14F3">
        <w:rPr>
          <w:rFonts w:ascii="Times New Roman" w:hAnsi="Times New Roman" w:cs="Times New Roman"/>
          <w:sz w:val="24"/>
          <w:szCs w:val="24"/>
        </w:rPr>
        <w:t xml:space="preserve">According to hubris theory of Roll (1986) managers </w:t>
      </w:r>
      <w:r w:rsidR="006C166B" w:rsidRPr="007D14F3">
        <w:rPr>
          <w:rFonts w:ascii="Times New Roman" w:hAnsi="Times New Roman" w:cs="Times New Roman"/>
          <w:sz w:val="24"/>
          <w:szCs w:val="24"/>
        </w:rPr>
        <w:t xml:space="preserve">acquire companies, because they believe that they possess superior managerial </w:t>
      </w:r>
      <w:r w:rsidR="006C166B" w:rsidRPr="00060F9F">
        <w:rPr>
          <w:rFonts w:ascii="Times New Roman" w:hAnsi="Times New Roman" w:cs="Times New Roman"/>
          <w:noProof/>
          <w:sz w:val="24"/>
          <w:szCs w:val="24"/>
        </w:rPr>
        <w:t>skills</w:t>
      </w:r>
      <w:r w:rsidR="006C166B" w:rsidRPr="007D14F3">
        <w:rPr>
          <w:rFonts w:ascii="Times New Roman" w:hAnsi="Times New Roman" w:cs="Times New Roman"/>
          <w:sz w:val="24"/>
          <w:szCs w:val="24"/>
        </w:rPr>
        <w:t xml:space="preserve"> and that the target </w:t>
      </w:r>
      <w:r w:rsidR="006C166B" w:rsidRPr="007D14F3">
        <w:rPr>
          <w:rFonts w:ascii="Times New Roman" w:hAnsi="Times New Roman" w:cs="Times New Roman"/>
          <w:sz w:val="24"/>
          <w:szCs w:val="24"/>
        </w:rPr>
        <w:lastRenderedPageBreak/>
        <w:t>company will be worth more under the</w:t>
      </w:r>
      <w:r w:rsidR="002A5034" w:rsidRPr="007D14F3">
        <w:rPr>
          <w:rFonts w:ascii="Times New Roman" w:hAnsi="Times New Roman" w:cs="Times New Roman"/>
          <w:sz w:val="24"/>
          <w:szCs w:val="24"/>
        </w:rPr>
        <w:t>ir</w:t>
      </w:r>
      <w:r w:rsidR="006C166B" w:rsidRPr="007D14F3">
        <w:rPr>
          <w:rFonts w:ascii="Times New Roman" w:hAnsi="Times New Roman" w:cs="Times New Roman"/>
          <w:sz w:val="24"/>
          <w:szCs w:val="24"/>
        </w:rPr>
        <w:t xml:space="preserve"> control. As a result, they pay too high premiums in the observed samples.</w:t>
      </w:r>
      <w:r w:rsidR="009C0AA6" w:rsidRPr="007D14F3">
        <w:rPr>
          <w:rFonts w:ascii="Times New Roman" w:hAnsi="Times New Roman" w:cs="Times New Roman"/>
          <w:sz w:val="24"/>
          <w:szCs w:val="24"/>
        </w:rPr>
        <w:t xml:space="preserve"> </w:t>
      </w:r>
      <w:proofErr w:type="spellStart"/>
      <w:r w:rsidR="00E17FFC" w:rsidRPr="007D14F3">
        <w:rPr>
          <w:rFonts w:ascii="Times New Roman" w:hAnsi="Times New Roman" w:cs="Times New Roman"/>
          <w:sz w:val="24"/>
          <w:szCs w:val="24"/>
        </w:rPr>
        <w:t>Malmendier</w:t>
      </w:r>
      <w:proofErr w:type="spellEnd"/>
      <w:r w:rsidR="00EE12EF" w:rsidRPr="007D14F3">
        <w:rPr>
          <w:rFonts w:ascii="Times New Roman" w:hAnsi="Times New Roman" w:cs="Times New Roman"/>
          <w:sz w:val="24"/>
          <w:szCs w:val="24"/>
        </w:rPr>
        <w:t xml:space="preserve"> and Tate (2008) find an </w:t>
      </w:r>
      <w:r w:rsidR="009C0AA6" w:rsidRPr="007D14F3">
        <w:rPr>
          <w:rFonts w:ascii="Times New Roman" w:hAnsi="Times New Roman" w:cs="Times New Roman"/>
          <w:sz w:val="24"/>
          <w:szCs w:val="24"/>
        </w:rPr>
        <w:t xml:space="preserve">evidence that </w:t>
      </w:r>
      <w:r w:rsidR="00AE16BA" w:rsidRPr="007D14F3">
        <w:rPr>
          <w:rFonts w:ascii="Times New Roman" w:hAnsi="Times New Roman" w:cs="Times New Roman"/>
          <w:sz w:val="24"/>
          <w:szCs w:val="24"/>
        </w:rPr>
        <w:t>overconfident</w:t>
      </w:r>
      <w:r w:rsidR="006C166B" w:rsidRPr="007D14F3">
        <w:rPr>
          <w:rFonts w:ascii="Times New Roman" w:hAnsi="Times New Roman" w:cs="Times New Roman"/>
          <w:sz w:val="24"/>
          <w:szCs w:val="24"/>
        </w:rPr>
        <w:t xml:space="preserve"> investors </w:t>
      </w:r>
      <w:r w:rsidR="00D2309A" w:rsidRPr="007D14F3">
        <w:rPr>
          <w:rFonts w:ascii="Times New Roman" w:hAnsi="Times New Roman" w:cs="Times New Roman"/>
          <w:sz w:val="24"/>
          <w:szCs w:val="24"/>
        </w:rPr>
        <w:t>tend to make</w:t>
      </w:r>
      <w:r w:rsidR="00D2309A" w:rsidRPr="007D14F3">
        <w:rPr>
          <w:rFonts w:ascii="Times New Roman" w:hAnsi="Times New Roman" w:cs="Times New Roman"/>
          <w:noProof/>
          <w:sz w:val="24"/>
          <w:szCs w:val="24"/>
        </w:rPr>
        <w:t xml:space="preserve"> lower-quality </w:t>
      </w:r>
      <w:r w:rsidR="00AE16BA" w:rsidRPr="007D14F3">
        <w:rPr>
          <w:rFonts w:ascii="Times New Roman" w:hAnsi="Times New Roman" w:cs="Times New Roman"/>
          <w:noProof/>
          <w:sz w:val="24"/>
          <w:szCs w:val="24"/>
        </w:rPr>
        <w:t>acquisitions</w:t>
      </w:r>
      <w:r w:rsidR="009C0AA6" w:rsidRPr="007D14F3">
        <w:rPr>
          <w:rFonts w:ascii="Times New Roman" w:hAnsi="Times New Roman" w:cs="Times New Roman"/>
          <w:sz w:val="24"/>
          <w:szCs w:val="24"/>
        </w:rPr>
        <w:t xml:space="preserve"> when the company ha</w:t>
      </w:r>
      <w:r w:rsidR="006E4BFD" w:rsidRPr="007D14F3">
        <w:rPr>
          <w:rFonts w:ascii="Times New Roman" w:hAnsi="Times New Roman" w:cs="Times New Roman"/>
          <w:sz w:val="24"/>
          <w:szCs w:val="24"/>
        </w:rPr>
        <w:t>s</w:t>
      </w:r>
      <w:r w:rsidR="009C0AA6" w:rsidRPr="007D14F3">
        <w:rPr>
          <w:rFonts w:ascii="Times New Roman" w:hAnsi="Times New Roman" w:cs="Times New Roman"/>
          <w:sz w:val="24"/>
          <w:szCs w:val="24"/>
        </w:rPr>
        <w:t xml:space="preserve"> sufficient internal resources.</w:t>
      </w:r>
    </w:p>
    <w:p w:rsidR="00167A74" w:rsidRPr="007D14F3" w:rsidRDefault="006E4BFD" w:rsidP="009C7202">
      <w:pPr>
        <w:spacing w:before="120" w:after="120" w:line="240" w:lineRule="auto"/>
        <w:jc w:val="both"/>
        <w:rPr>
          <w:rFonts w:ascii="Times New Roman" w:hAnsi="Times New Roman" w:cs="Times New Roman"/>
          <w:sz w:val="24"/>
          <w:szCs w:val="24"/>
        </w:rPr>
      </w:pPr>
      <w:r w:rsidRPr="007D14F3">
        <w:rPr>
          <w:rFonts w:ascii="Times New Roman" w:hAnsi="Times New Roman" w:cs="Times New Roman"/>
          <w:sz w:val="24"/>
          <w:szCs w:val="24"/>
        </w:rPr>
        <w:t>Acquisitions</w:t>
      </w:r>
      <w:r w:rsidR="00BD43C5" w:rsidRPr="007D14F3">
        <w:rPr>
          <w:rFonts w:ascii="Times New Roman" w:hAnsi="Times New Roman" w:cs="Times New Roman"/>
          <w:sz w:val="24"/>
          <w:szCs w:val="24"/>
        </w:rPr>
        <w:t xml:space="preserve"> or mergers</w:t>
      </w:r>
      <w:r w:rsidRPr="007D14F3">
        <w:rPr>
          <w:rFonts w:ascii="Times New Roman" w:hAnsi="Times New Roman" w:cs="Times New Roman"/>
          <w:sz w:val="24"/>
          <w:szCs w:val="24"/>
        </w:rPr>
        <w:t xml:space="preserve"> made for non-economic reasons may particularly result in a deal failure and value destruction. </w:t>
      </w:r>
      <w:proofErr w:type="gramStart"/>
      <w:r w:rsidR="0089455E" w:rsidRPr="007D14F3">
        <w:rPr>
          <w:rFonts w:ascii="Times New Roman" w:hAnsi="Times New Roman" w:cs="Times New Roman"/>
          <w:sz w:val="24"/>
          <w:szCs w:val="24"/>
        </w:rPr>
        <w:t>In order to</w:t>
      </w:r>
      <w:proofErr w:type="gramEnd"/>
      <w:r w:rsidR="0089455E" w:rsidRPr="007D14F3">
        <w:rPr>
          <w:rFonts w:ascii="Times New Roman" w:hAnsi="Times New Roman" w:cs="Times New Roman"/>
          <w:sz w:val="24"/>
          <w:szCs w:val="24"/>
        </w:rPr>
        <w:t xml:space="preserve"> decrease </w:t>
      </w:r>
      <w:proofErr w:type="spellStart"/>
      <w:r w:rsidR="0089455E" w:rsidRPr="007D14F3">
        <w:rPr>
          <w:rFonts w:ascii="Times New Roman" w:hAnsi="Times New Roman" w:cs="Times New Roman"/>
          <w:sz w:val="24"/>
          <w:szCs w:val="24"/>
        </w:rPr>
        <w:t>behavioural</w:t>
      </w:r>
      <w:proofErr w:type="spellEnd"/>
      <w:r w:rsidR="0089455E" w:rsidRPr="007D14F3">
        <w:rPr>
          <w:rFonts w:ascii="Times New Roman" w:hAnsi="Times New Roman" w:cs="Times New Roman"/>
          <w:sz w:val="24"/>
          <w:szCs w:val="24"/>
        </w:rPr>
        <w:t xml:space="preserve"> costs and agency costs, </w:t>
      </w:r>
      <w:r w:rsidR="0089455E" w:rsidRPr="00060F9F">
        <w:rPr>
          <w:rFonts w:ascii="Times New Roman" w:hAnsi="Times New Roman" w:cs="Times New Roman"/>
          <w:noProof/>
          <w:sz w:val="24"/>
          <w:szCs w:val="24"/>
        </w:rPr>
        <w:t>manage</w:t>
      </w:r>
      <w:r w:rsidR="00060F9F">
        <w:rPr>
          <w:rFonts w:ascii="Times New Roman" w:hAnsi="Times New Roman" w:cs="Times New Roman"/>
          <w:noProof/>
          <w:sz w:val="24"/>
          <w:szCs w:val="24"/>
        </w:rPr>
        <w:t>r</w:t>
      </w:r>
      <w:r w:rsidR="0089455E" w:rsidRPr="00060F9F">
        <w:rPr>
          <w:rFonts w:ascii="Times New Roman" w:hAnsi="Times New Roman" w:cs="Times New Roman"/>
          <w:noProof/>
          <w:sz w:val="24"/>
          <w:szCs w:val="24"/>
        </w:rPr>
        <w:t>s</w:t>
      </w:r>
      <w:r w:rsidR="0089455E" w:rsidRPr="007D14F3">
        <w:rPr>
          <w:rFonts w:ascii="Times New Roman" w:hAnsi="Times New Roman" w:cs="Times New Roman"/>
          <w:sz w:val="24"/>
          <w:szCs w:val="24"/>
        </w:rPr>
        <w:t xml:space="preserve"> are disciplined by various </w:t>
      </w:r>
      <w:r w:rsidR="00885F19" w:rsidRPr="007D14F3">
        <w:rPr>
          <w:rFonts w:ascii="Times New Roman" w:hAnsi="Times New Roman" w:cs="Times New Roman"/>
          <w:sz w:val="24"/>
          <w:szCs w:val="24"/>
        </w:rPr>
        <w:t>corporate governance mechanisms – above all a</w:t>
      </w:r>
      <w:r w:rsidR="00350345" w:rsidRPr="007D14F3">
        <w:rPr>
          <w:rFonts w:ascii="Times New Roman" w:hAnsi="Times New Roman" w:cs="Times New Roman"/>
          <w:sz w:val="24"/>
          <w:szCs w:val="24"/>
        </w:rPr>
        <w:t xml:space="preserve"> board of directors</w:t>
      </w:r>
      <w:r w:rsidR="00885F19" w:rsidRPr="007D14F3">
        <w:rPr>
          <w:rFonts w:ascii="Times New Roman" w:hAnsi="Times New Roman" w:cs="Times New Roman"/>
          <w:sz w:val="24"/>
          <w:szCs w:val="24"/>
        </w:rPr>
        <w:t xml:space="preserve"> (</w:t>
      </w:r>
      <w:proofErr w:type="spellStart"/>
      <w:r w:rsidR="00885F19" w:rsidRPr="007D14F3">
        <w:rPr>
          <w:rFonts w:ascii="Times New Roman" w:hAnsi="Times New Roman" w:cs="Times New Roman"/>
          <w:sz w:val="24"/>
          <w:szCs w:val="24"/>
        </w:rPr>
        <w:t>Fama</w:t>
      </w:r>
      <w:proofErr w:type="spellEnd"/>
      <w:r w:rsidR="00885F19" w:rsidRPr="007D14F3">
        <w:rPr>
          <w:rFonts w:ascii="Times New Roman" w:hAnsi="Times New Roman" w:cs="Times New Roman"/>
          <w:sz w:val="24"/>
          <w:szCs w:val="24"/>
        </w:rPr>
        <w:t xml:space="preserve"> and Jensen, </w:t>
      </w:r>
      <w:r w:rsidR="00F33F7B" w:rsidRPr="007D14F3">
        <w:rPr>
          <w:rFonts w:ascii="Times New Roman" w:hAnsi="Times New Roman" w:cs="Times New Roman"/>
          <w:sz w:val="24"/>
          <w:szCs w:val="24"/>
        </w:rPr>
        <w:t>1983</w:t>
      </w:r>
      <w:r w:rsidR="00885F19" w:rsidRPr="007D14F3">
        <w:rPr>
          <w:rFonts w:ascii="Times New Roman" w:hAnsi="Times New Roman" w:cs="Times New Roman"/>
          <w:sz w:val="24"/>
          <w:szCs w:val="24"/>
        </w:rPr>
        <w:t>).</w:t>
      </w:r>
      <w:r w:rsidR="00167A74" w:rsidRPr="007D14F3">
        <w:rPr>
          <w:rFonts w:ascii="Times New Roman" w:hAnsi="Times New Roman" w:cs="Times New Roman"/>
          <w:sz w:val="24"/>
          <w:szCs w:val="24"/>
        </w:rPr>
        <w:t xml:space="preserve"> </w:t>
      </w:r>
    </w:p>
    <w:p w:rsidR="00955FDC" w:rsidRPr="007D14F3" w:rsidRDefault="00885F19" w:rsidP="009C7202">
      <w:pPr>
        <w:spacing w:before="120" w:after="120" w:line="240" w:lineRule="auto"/>
        <w:jc w:val="both"/>
        <w:rPr>
          <w:rFonts w:ascii="Times New Roman" w:hAnsi="Times New Roman" w:cs="Times New Roman"/>
          <w:sz w:val="24"/>
          <w:szCs w:val="24"/>
        </w:rPr>
      </w:pPr>
      <w:r w:rsidRPr="007D14F3">
        <w:rPr>
          <w:rFonts w:ascii="Times New Roman" w:hAnsi="Times New Roman" w:cs="Times New Roman"/>
          <w:sz w:val="24"/>
          <w:szCs w:val="24"/>
        </w:rPr>
        <w:t>A</w:t>
      </w:r>
      <w:r w:rsidR="00955FDC" w:rsidRPr="007D14F3">
        <w:rPr>
          <w:rFonts w:ascii="Times New Roman" w:hAnsi="Times New Roman" w:cs="Times New Roman"/>
          <w:sz w:val="24"/>
          <w:szCs w:val="24"/>
        </w:rPr>
        <w:t xml:space="preserve"> preva</w:t>
      </w:r>
      <w:r w:rsidR="00B83589" w:rsidRPr="007D14F3">
        <w:rPr>
          <w:rFonts w:ascii="Times New Roman" w:hAnsi="Times New Roman" w:cs="Times New Roman"/>
          <w:sz w:val="24"/>
          <w:szCs w:val="24"/>
        </w:rPr>
        <w:t>iling board structure in the US</w:t>
      </w:r>
      <w:r w:rsidR="00955FDC" w:rsidRPr="007D14F3">
        <w:rPr>
          <w:rFonts w:ascii="Times New Roman" w:hAnsi="Times New Roman" w:cs="Times New Roman"/>
          <w:sz w:val="24"/>
          <w:szCs w:val="24"/>
        </w:rPr>
        <w:t xml:space="preserve"> is a unitary board, </w:t>
      </w:r>
      <w:proofErr w:type="spellStart"/>
      <w:r w:rsidR="00955FDC" w:rsidRPr="007D14F3">
        <w:rPr>
          <w:rFonts w:ascii="Times New Roman" w:hAnsi="Times New Roman" w:cs="Times New Roman"/>
          <w:sz w:val="24"/>
          <w:szCs w:val="24"/>
        </w:rPr>
        <w:t>characterised</w:t>
      </w:r>
      <w:proofErr w:type="spellEnd"/>
      <w:r w:rsidR="00955FDC" w:rsidRPr="007D14F3">
        <w:rPr>
          <w:rFonts w:ascii="Times New Roman" w:hAnsi="Times New Roman" w:cs="Times New Roman"/>
          <w:sz w:val="24"/>
          <w:szCs w:val="24"/>
        </w:rPr>
        <w:t xml:space="preserve"> by one board with executive and non-executive members. In contrast, a predominant structure in continental Europe is a dual board, which consists of an executive board and a supervisory board</w:t>
      </w:r>
      <w:r w:rsidR="00456621" w:rsidRPr="007D14F3">
        <w:rPr>
          <w:rFonts w:ascii="Times New Roman" w:hAnsi="Times New Roman" w:cs="Times New Roman"/>
          <w:sz w:val="24"/>
          <w:szCs w:val="24"/>
        </w:rPr>
        <w:t xml:space="preserve"> (</w:t>
      </w:r>
      <w:proofErr w:type="spellStart"/>
      <w:r w:rsidR="00456621" w:rsidRPr="007D14F3">
        <w:rPr>
          <w:rFonts w:ascii="Times New Roman" w:hAnsi="Times New Roman" w:cs="Times New Roman"/>
          <w:sz w:val="24"/>
          <w:szCs w:val="24"/>
        </w:rPr>
        <w:t>Mallin</w:t>
      </w:r>
      <w:proofErr w:type="spellEnd"/>
      <w:r w:rsidR="00456621" w:rsidRPr="007D14F3">
        <w:rPr>
          <w:rFonts w:ascii="Times New Roman" w:hAnsi="Times New Roman" w:cs="Times New Roman"/>
          <w:sz w:val="24"/>
          <w:szCs w:val="24"/>
        </w:rPr>
        <w:t>, 2004)</w:t>
      </w:r>
      <w:r w:rsidR="00955FDC" w:rsidRPr="007D14F3">
        <w:rPr>
          <w:rFonts w:ascii="Times New Roman" w:hAnsi="Times New Roman" w:cs="Times New Roman"/>
          <w:sz w:val="24"/>
          <w:szCs w:val="24"/>
        </w:rPr>
        <w:t xml:space="preserve">. A supervisory board monitors the CEO, therefore in this </w:t>
      </w:r>
      <w:r w:rsidR="00955FDC" w:rsidRPr="007D14F3">
        <w:rPr>
          <w:rFonts w:ascii="Times New Roman" w:hAnsi="Times New Roman" w:cs="Times New Roman"/>
          <w:noProof/>
          <w:sz w:val="24"/>
          <w:szCs w:val="24"/>
        </w:rPr>
        <w:t>structure</w:t>
      </w:r>
      <w:r w:rsidR="00376995" w:rsidRPr="007D14F3">
        <w:rPr>
          <w:rFonts w:ascii="Times New Roman" w:hAnsi="Times New Roman" w:cs="Times New Roman"/>
          <w:noProof/>
          <w:sz w:val="24"/>
          <w:szCs w:val="24"/>
        </w:rPr>
        <w:t>,</w:t>
      </w:r>
      <w:r w:rsidR="00955FDC" w:rsidRPr="007D14F3">
        <w:rPr>
          <w:rFonts w:ascii="Times New Roman" w:hAnsi="Times New Roman" w:cs="Times New Roman"/>
          <w:sz w:val="24"/>
          <w:szCs w:val="24"/>
        </w:rPr>
        <w:t xml:space="preserve"> there is a clear separation of management and control of decisions.</w:t>
      </w:r>
    </w:p>
    <w:p w:rsidR="00DB0862" w:rsidRPr="007D14F3" w:rsidRDefault="009B79C6" w:rsidP="009C7202">
      <w:pPr>
        <w:pStyle w:val="Heading2"/>
        <w:numPr>
          <w:ilvl w:val="1"/>
          <w:numId w:val="3"/>
        </w:numPr>
        <w:spacing w:before="120" w:after="120" w:line="240" w:lineRule="auto"/>
        <w:rPr>
          <w:rFonts w:cs="Times New Roman"/>
          <w:szCs w:val="24"/>
        </w:rPr>
      </w:pPr>
      <w:bookmarkStart w:id="6" w:name="_Toc516128927"/>
      <w:r w:rsidRPr="007D14F3">
        <w:rPr>
          <w:rFonts w:cs="Times New Roman"/>
          <w:szCs w:val="24"/>
        </w:rPr>
        <w:t>S</w:t>
      </w:r>
      <w:r w:rsidR="00911AFA" w:rsidRPr="007D14F3">
        <w:rPr>
          <w:rFonts w:cs="Times New Roman"/>
          <w:szCs w:val="24"/>
        </w:rPr>
        <w:t xml:space="preserve">upervisory </w:t>
      </w:r>
      <w:r w:rsidR="00383664" w:rsidRPr="007D14F3">
        <w:rPr>
          <w:rFonts w:cs="Times New Roman"/>
          <w:szCs w:val="24"/>
        </w:rPr>
        <w:t>board as</w:t>
      </w:r>
      <w:r w:rsidRPr="007D14F3">
        <w:rPr>
          <w:rFonts w:cs="Times New Roman"/>
          <w:szCs w:val="24"/>
        </w:rPr>
        <w:t xml:space="preserve"> a governance mechanism</w:t>
      </w:r>
      <w:bookmarkEnd w:id="6"/>
    </w:p>
    <w:p w:rsidR="00296853" w:rsidRPr="007D14F3" w:rsidRDefault="00885F19" w:rsidP="009C7202">
      <w:pPr>
        <w:spacing w:before="120" w:after="120" w:line="240" w:lineRule="auto"/>
        <w:jc w:val="both"/>
        <w:rPr>
          <w:rFonts w:ascii="Times New Roman" w:hAnsi="Times New Roman" w:cs="Times New Roman"/>
          <w:sz w:val="24"/>
          <w:szCs w:val="24"/>
        </w:rPr>
      </w:pPr>
      <w:r w:rsidRPr="007D14F3">
        <w:rPr>
          <w:rFonts w:ascii="Times New Roman" w:hAnsi="Times New Roman" w:cs="Times New Roman"/>
          <w:sz w:val="24"/>
          <w:szCs w:val="24"/>
        </w:rPr>
        <w:t>The board has the ultimate responsibility for the smooth functioning of the firm by setting b</w:t>
      </w:r>
      <w:r w:rsidRPr="007D14F3">
        <w:rPr>
          <w:rFonts w:ascii="Times New Roman" w:hAnsi="Times New Roman" w:cs="Times New Roman"/>
          <w:noProof/>
          <w:sz w:val="24"/>
          <w:szCs w:val="24"/>
        </w:rPr>
        <w:t>y</w:t>
      </w:r>
      <w:r w:rsidRPr="007D14F3">
        <w:rPr>
          <w:rFonts w:ascii="Times New Roman" w:hAnsi="Times New Roman" w:cs="Times New Roman"/>
          <w:sz w:val="24"/>
          <w:szCs w:val="24"/>
        </w:rPr>
        <w:t xml:space="preserve"> choosing, dismissing and rewarding top managers, voting on major operational and financial decisions including M&amp;A and offering expert advice </w:t>
      </w:r>
      <w:r w:rsidR="002448F6">
        <w:rPr>
          <w:rFonts w:ascii="Times New Roman" w:hAnsi="Times New Roman" w:cs="Times New Roman"/>
          <w:sz w:val="24"/>
          <w:szCs w:val="24"/>
        </w:rPr>
        <w:t>for the managers (Jensen, 1993)</w:t>
      </w:r>
      <w:r w:rsidRPr="007D14F3">
        <w:rPr>
          <w:rFonts w:ascii="Times New Roman" w:hAnsi="Times New Roman" w:cs="Times New Roman"/>
          <w:sz w:val="24"/>
          <w:szCs w:val="24"/>
        </w:rPr>
        <w:t xml:space="preserve">. </w:t>
      </w:r>
      <w:r w:rsidR="00D914AD" w:rsidRPr="007D14F3">
        <w:rPr>
          <w:rFonts w:ascii="Times New Roman" w:hAnsi="Times New Roman" w:cs="Times New Roman"/>
          <w:sz w:val="24"/>
          <w:szCs w:val="24"/>
        </w:rPr>
        <w:t xml:space="preserve">However, </w:t>
      </w:r>
      <w:r w:rsidR="00460846" w:rsidRPr="007D14F3">
        <w:rPr>
          <w:rFonts w:ascii="Times New Roman" w:hAnsi="Times New Roman" w:cs="Times New Roman"/>
          <w:sz w:val="24"/>
          <w:szCs w:val="24"/>
        </w:rPr>
        <w:t>board</w:t>
      </w:r>
      <w:r w:rsidR="00FC419F" w:rsidRPr="007D14F3">
        <w:rPr>
          <w:rFonts w:ascii="Times New Roman" w:hAnsi="Times New Roman" w:cs="Times New Roman"/>
          <w:sz w:val="24"/>
          <w:szCs w:val="24"/>
        </w:rPr>
        <w:t>s</w:t>
      </w:r>
      <w:r w:rsidR="00460846" w:rsidRPr="007D14F3">
        <w:rPr>
          <w:rFonts w:ascii="Times New Roman" w:hAnsi="Times New Roman" w:cs="Times New Roman"/>
          <w:sz w:val="24"/>
          <w:szCs w:val="24"/>
        </w:rPr>
        <w:t xml:space="preserve"> tend to fail in their effectiveness and responsiveness to problems in the companies. For instance, only</w:t>
      </w:r>
      <w:r w:rsidR="00955FDC" w:rsidRPr="007D14F3">
        <w:rPr>
          <w:rFonts w:ascii="Times New Roman" w:hAnsi="Times New Roman" w:cs="Times New Roman"/>
          <w:sz w:val="24"/>
          <w:szCs w:val="24"/>
        </w:rPr>
        <w:t xml:space="preserve"> a</w:t>
      </w:r>
      <w:r w:rsidR="00460846" w:rsidRPr="007D14F3">
        <w:rPr>
          <w:rFonts w:ascii="Times New Roman" w:hAnsi="Times New Roman" w:cs="Times New Roman"/>
          <w:sz w:val="24"/>
          <w:szCs w:val="24"/>
        </w:rPr>
        <w:t xml:space="preserve"> </w:t>
      </w:r>
      <w:r w:rsidR="00B07EE9" w:rsidRPr="007D14F3">
        <w:rPr>
          <w:rFonts w:ascii="Times New Roman" w:hAnsi="Times New Roman" w:cs="Times New Roman"/>
          <w:sz w:val="24"/>
          <w:szCs w:val="24"/>
        </w:rPr>
        <w:t>marginal</w:t>
      </w:r>
      <w:r w:rsidR="00460846" w:rsidRPr="007D14F3">
        <w:rPr>
          <w:rFonts w:ascii="Times New Roman" w:hAnsi="Times New Roman" w:cs="Times New Roman"/>
          <w:sz w:val="24"/>
          <w:szCs w:val="24"/>
        </w:rPr>
        <w:t xml:space="preserve"> part of the boards </w:t>
      </w:r>
      <w:r w:rsidR="00B07EE9" w:rsidRPr="007D14F3">
        <w:rPr>
          <w:rFonts w:ascii="Times New Roman" w:hAnsi="Times New Roman" w:cs="Times New Roman"/>
          <w:sz w:val="24"/>
          <w:szCs w:val="24"/>
        </w:rPr>
        <w:t>removes</w:t>
      </w:r>
      <w:r w:rsidR="00460846" w:rsidRPr="007D14F3">
        <w:rPr>
          <w:rFonts w:ascii="Times New Roman" w:hAnsi="Times New Roman" w:cs="Times New Roman"/>
          <w:sz w:val="24"/>
          <w:szCs w:val="24"/>
        </w:rPr>
        <w:t xml:space="preserve"> poor-perf</w:t>
      </w:r>
      <w:r w:rsidR="00305A1F" w:rsidRPr="007D14F3">
        <w:rPr>
          <w:rFonts w:ascii="Times New Roman" w:hAnsi="Times New Roman" w:cs="Times New Roman"/>
          <w:sz w:val="24"/>
          <w:szCs w:val="24"/>
        </w:rPr>
        <w:t>o</w:t>
      </w:r>
      <w:r w:rsidR="00460846" w:rsidRPr="007D14F3">
        <w:rPr>
          <w:rFonts w:ascii="Times New Roman" w:hAnsi="Times New Roman" w:cs="Times New Roman"/>
          <w:sz w:val="24"/>
          <w:szCs w:val="24"/>
        </w:rPr>
        <w:t>rming CEOs</w:t>
      </w:r>
      <w:r w:rsidR="00D914AD" w:rsidRPr="007D14F3">
        <w:rPr>
          <w:rFonts w:ascii="Times New Roman" w:hAnsi="Times New Roman" w:cs="Times New Roman"/>
          <w:sz w:val="24"/>
          <w:szCs w:val="24"/>
        </w:rPr>
        <w:t>, or if they do so, their actions are not timely</w:t>
      </w:r>
      <w:r w:rsidR="00460846" w:rsidRPr="007D14F3">
        <w:rPr>
          <w:rFonts w:ascii="Times New Roman" w:hAnsi="Times New Roman" w:cs="Times New Roman"/>
          <w:sz w:val="24"/>
          <w:szCs w:val="24"/>
        </w:rPr>
        <w:t xml:space="preserve"> (Jensen, 1993). Board failu</w:t>
      </w:r>
      <w:r w:rsidRPr="007D14F3">
        <w:rPr>
          <w:rFonts w:ascii="Times New Roman" w:hAnsi="Times New Roman" w:cs="Times New Roman"/>
          <w:sz w:val="24"/>
          <w:szCs w:val="24"/>
        </w:rPr>
        <w:t>res result from several issues.</w:t>
      </w:r>
      <w:r w:rsidR="00460846" w:rsidRPr="007D14F3">
        <w:rPr>
          <w:rFonts w:ascii="Times New Roman" w:hAnsi="Times New Roman" w:cs="Times New Roman"/>
          <w:sz w:val="24"/>
          <w:szCs w:val="24"/>
        </w:rPr>
        <w:t xml:space="preserve"> First, board members seem to be too polite</w:t>
      </w:r>
      <w:r w:rsidR="00B27BEE" w:rsidRPr="007D14F3">
        <w:rPr>
          <w:rFonts w:ascii="Times New Roman" w:hAnsi="Times New Roman" w:cs="Times New Roman"/>
          <w:sz w:val="24"/>
          <w:szCs w:val="24"/>
        </w:rPr>
        <w:t xml:space="preserve">, thus less critical and controlling. </w:t>
      </w:r>
      <w:r w:rsidR="00442C65" w:rsidRPr="007D14F3">
        <w:rPr>
          <w:rFonts w:ascii="Times New Roman" w:hAnsi="Times New Roman" w:cs="Times New Roman"/>
          <w:sz w:val="24"/>
          <w:szCs w:val="24"/>
        </w:rPr>
        <w:t xml:space="preserve">Second, the CEO decides </w:t>
      </w:r>
      <w:r w:rsidR="00AE283B" w:rsidRPr="007D14F3">
        <w:rPr>
          <w:rFonts w:ascii="Times New Roman" w:hAnsi="Times New Roman" w:cs="Times New Roman"/>
          <w:sz w:val="24"/>
          <w:szCs w:val="24"/>
        </w:rPr>
        <w:t>to what extend</w:t>
      </w:r>
      <w:r w:rsidR="00442C65" w:rsidRPr="007D14F3">
        <w:rPr>
          <w:rFonts w:ascii="Times New Roman" w:hAnsi="Times New Roman" w:cs="Times New Roman"/>
          <w:sz w:val="24"/>
          <w:szCs w:val="24"/>
        </w:rPr>
        <w:t xml:space="preserve"> inside information </w:t>
      </w:r>
      <w:r w:rsidR="00AE283B" w:rsidRPr="007D14F3">
        <w:rPr>
          <w:rFonts w:ascii="Times New Roman" w:hAnsi="Times New Roman" w:cs="Times New Roman"/>
          <w:sz w:val="24"/>
          <w:szCs w:val="24"/>
        </w:rPr>
        <w:t>will be shared</w:t>
      </w:r>
      <w:r w:rsidR="00442C65" w:rsidRPr="007D14F3">
        <w:rPr>
          <w:rFonts w:ascii="Times New Roman" w:hAnsi="Times New Roman" w:cs="Times New Roman"/>
          <w:sz w:val="24"/>
          <w:szCs w:val="24"/>
        </w:rPr>
        <w:t xml:space="preserve"> with the board</w:t>
      </w:r>
      <w:r w:rsidR="0056434D" w:rsidRPr="007D14F3">
        <w:rPr>
          <w:rFonts w:ascii="Times New Roman" w:hAnsi="Times New Roman" w:cs="Times New Roman"/>
          <w:sz w:val="24"/>
          <w:szCs w:val="24"/>
        </w:rPr>
        <w:t>. This information asymmetry</w:t>
      </w:r>
      <w:r w:rsidR="00442C65" w:rsidRPr="007D14F3">
        <w:rPr>
          <w:rFonts w:ascii="Times New Roman" w:hAnsi="Times New Roman" w:cs="Times New Roman"/>
          <w:sz w:val="24"/>
          <w:szCs w:val="24"/>
        </w:rPr>
        <w:t xml:space="preserve"> limits the board’s ability to</w:t>
      </w:r>
      <w:r w:rsidR="0056434D" w:rsidRPr="007D14F3">
        <w:rPr>
          <w:rFonts w:ascii="Times New Roman" w:hAnsi="Times New Roman" w:cs="Times New Roman"/>
          <w:sz w:val="24"/>
          <w:szCs w:val="24"/>
        </w:rPr>
        <w:t xml:space="preserve"> fully and</w:t>
      </w:r>
      <w:r w:rsidR="00442C65" w:rsidRPr="007D14F3">
        <w:rPr>
          <w:rFonts w:ascii="Times New Roman" w:hAnsi="Times New Roman" w:cs="Times New Roman"/>
          <w:sz w:val="24"/>
          <w:szCs w:val="24"/>
        </w:rPr>
        <w:t xml:space="preserve"> effectively </w:t>
      </w:r>
      <w:r w:rsidR="0056434D" w:rsidRPr="007D14F3">
        <w:rPr>
          <w:rFonts w:ascii="Times New Roman" w:hAnsi="Times New Roman" w:cs="Times New Roman"/>
          <w:sz w:val="24"/>
          <w:szCs w:val="24"/>
        </w:rPr>
        <w:t>monitor the CEO. Third, the members of the board</w:t>
      </w:r>
      <w:r w:rsidR="00D914AD" w:rsidRPr="007D14F3">
        <w:rPr>
          <w:rFonts w:ascii="Times New Roman" w:hAnsi="Times New Roman" w:cs="Times New Roman"/>
          <w:sz w:val="24"/>
          <w:szCs w:val="24"/>
        </w:rPr>
        <w:t xml:space="preserve"> often</w:t>
      </w:r>
      <w:r w:rsidR="0056434D" w:rsidRPr="007D14F3">
        <w:rPr>
          <w:rFonts w:ascii="Times New Roman" w:hAnsi="Times New Roman" w:cs="Times New Roman"/>
          <w:sz w:val="24"/>
          <w:szCs w:val="24"/>
        </w:rPr>
        <w:t xml:space="preserve"> lack financial or managerial expertise and are unable to critically evaluate CEO’s decision. Four</w:t>
      </w:r>
      <w:r w:rsidR="00955FDC" w:rsidRPr="007D14F3">
        <w:rPr>
          <w:rFonts w:ascii="Times New Roman" w:hAnsi="Times New Roman" w:cs="Times New Roman"/>
          <w:sz w:val="24"/>
          <w:szCs w:val="24"/>
        </w:rPr>
        <w:t>th</w:t>
      </w:r>
      <w:r w:rsidRPr="007D14F3">
        <w:rPr>
          <w:rFonts w:ascii="Times New Roman" w:hAnsi="Times New Roman" w:cs="Times New Roman"/>
          <w:sz w:val="24"/>
          <w:szCs w:val="24"/>
        </w:rPr>
        <w:t>,</w:t>
      </w:r>
      <w:r w:rsidR="00137748" w:rsidRPr="007D14F3">
        <w:rPr>
          <w:rFonts w:ascii="Times New Roman" w:hAnsi="Times New Roman" w:cs="Times New Roman"/>
          <w:sz w:val="24"/>
          <w:szCs w:val="24"/>
        </w:rPr>
        <w:t xml:space="preserve"> boards are </w:t>
      </w:r>
      <w:r w:rsidR="00DA3568" w:rsidRPr="007D14F3">
        <w:rPr>
          <w:rFonts w:ascii="Times New Roman" w:hAnsi="Times New Roman" w:cs="Times New Roman"/>
          <w:sz w:val="24"/>
          <w:szCs w:val="24"/>
        </w:rPr>
        <w:t xml:space="preserve">frequently </w:t>
      </w:r>
      <w:r w:rsidR="00137748" w:rsidRPr="007D14F3">
        <w:rPr>
          <w:rFonts w:ascii="Times New Roman" w:hAnsi="Times New Roman" w:cs="Times New Roman"/>
          <w:sz w:val="24"/>
          <w:szCs w:val="24"/>
        </w:rPr>
        <w:t>oversize</w:t>
      </w:r>
      <w:r w:rsidR="00DA3568" w:rsidRPr="007D14F3">
        <w:rPr>
          <w:rFonts w:ascii="Times New Roman" w:hAnsi="Times New Roman" w:cs="Times New Roman"/>
          <w:sz w:val="24"/>
          <w:szCs w:val="24"/>
        </w:rPr>
        <w:t>d</w:t>
      </w:r>
      <w:r w:rsidR="00137748" w:rsidRPr="007D14F3">
        <w:rPr>
          <w:rFonts w:ascii="Times New Roman" w:hAnsi="Times New Roman" w:cs="Times New Roman"/>
          <w:sz w:val="24"/>
          <w:szCs w:val="24"/>
        </w:rPr>
        <w:t xml:space="preserve"> thus </w:t>
      </w:r>
      <w:r w:rsidR="00AE283B" w:rsidRPr="007D14F3">
        <w:rPr>
          <w:rFonts w:ascii="Times New Roman" w:hAnsi="Times New Roman" w:cs="Times New Roman"/>
          <w:sz w:val="24"/>
          <w:szCs w:val="24"/>
        </w:rPr>
        <w:t>ineffective</w:t>
      </w:r>
      <w:r w:rsidR="00137748" w:rsidRPr="007D14F3">
        <w:rPr>
          <w:rFonts w:ascii="Times New Roman" w:hAnsi="Times New Roman" w:cs="Times New Roman"/>
          <w:sz w:val="24"/>
          <w:szCs w:val="24"/>
        </w:rPr>
        <w:t xml:space="preserve"> and </w:t>
      </w:r>
      <w:r w:rsidR="00AE283B" w:rsidRPr="007D14F3">
        <w:rPr>
          <w:rFonts w:ascii="Times New Roman" w:hAnsi="Times New Roman" w:cs="Times New Roman"/>
          <w:sz w:val="24"/>
          <w:szCs w:val="24"/>
        </w:rPr>
        <w:t>easily</w:t>
      </w:r>
      <w:r w:rsidR="00137748" w:rsidRPr="007D14F3">
        <w:rPr>
          <w:rFonts w:ascii="Times New Roman" w:hAnsi="Times New Roman" w:cs="Times New Roman"/>
          <w:sz w:val="24"/>
          <w:szCs w:val="24"/>
        </w:rPr>
        <w:t xml:space="preserve"> </w:t>
      </w:r>
      <w:r w:rsidR="00955FDC" w:rsidRPr="007D14F3">
        <w:rPr>
          <w:rFonts w:ascii="Times New Roman" w:hAnsi="Times New Roman" w:cs="Times New Roman"/>
          <w:sz w:val="24"/>
          <w:szCs w:val="24"/>
        </w:rPr>
        <w:t>influenced</w:t>
      </w:r>
      <w:r w:rsidR="00137748" w:rsidRPr="007D14F3">
        <w:rPr>
          <w:rFonts w:ascii="Times New Roman" w:hAnsi="Times New Roman" w:cs="Times New Roman"/>
          <w:sz w:val="24"/>
          <w:szCs w:val="24"/>
        </w:rPr>
        <w:t xml:space="preserve"> by the CEO. </w:t>
      </w:r>
      <w:r w:rsidRPr="007D14F3">
        <w:rPr>
          <w:rFonts w:ascii="Times New Roman" w:hAnsi="Times New Roman" w:cs="Times New Roman"/>
          <w:sz w:val="24"/>
          <w:szCs w:val="24"/>
        </w:rPr>
        <w:t>Fifth</w:t>
      </w:r>
      <w:r w:rsidR="00137748" w:rsidRPr="007D14F3">
        <w:rPr>
          <w:rFonts w:ascii="Times New Roman" w:hAnsi="Times New Roman" w:cs="Times New Roman"/>
          <w:sz w:val="24"/>
          <w:szCs w:val="24"/>
        </w:rPr>
        <w:t>, it is common that the CEO is</w:t>
      </w:r>
      <w:r w:rsidR="00376995" w:rsidRPr="007D14F3">
        <w:rPr>
          <w:rFonts w:ascii="Times New Roman" w:hAnsi="Times New Roman" w:cs="Times New Roman"/>
          <w:sz w:val="24"/>
          <w:szCs w:val="24"/>
        </w:rPr>
        <w:t xml:space="preserve"> also</w:t>
      </w:r>
      <w:r w:rsidR="00137748" w:rsidRPr="007D14F3">
        <w:rPr>
          <w:rFonts w:ascii="Times New Roman" w:hAnsi="Times New Roman" w:cs="Times New Roman"/>
          <w:sz w:val="24"/>
          <w:szCs w:val="24"/>
        </w:rPr>
        <w:t xml:space="preserve"> a chairman of the board</w:t>
      </w:r>
      <w:r w:rsidR="00AE283B" w:rsidRPr="007D14F3">
        <w:rPr>
          <w:rFonts w:ascii="Times New Roman" w:hAnsi="Times New Roman" w:cs="Times New Roman"/>
          <w:sz w:val="24"/>
          <w:szCs w:val="24"/>
        </w:rPr>
        <w:t xml:space="preserve">, which substantially decreases </w:t>
      </w:r>
      <w:r w:rsidR="00376995" w:rsidRPr="007D14F3">
        <w:rPr>
          <w:rFonts w:ascii="Times New Roman" w:hAnsi="Times New Roman" w:cs="Times New Roman"/>
          <w:sz w:val="24"/>
          <w:szCs w:val="24"/>
        </w:rPr>
        <w:t xml:space="preserve">the </w:t>
      </w:r>
      <w:r w:rsidR="00AE283B" w:rsidRPr="007D14F3">
        <w:rPr>
          <w:rFonts w:ascii="Times New Roman" w:hAnsi="Times New Roman" w:cs="Times New Roman"/>
          <w:noProof/>
          <w:sz w:val="24"/>
          <w:szCs w:val="24"/>
        </w:rPr>
        <w:t>controlling</w:t>
      </w:r>
      <w:r w:rsidR="00AE283B" w:rsidRPr="007D14F3">
        <w:rPr>
          <w:rFonts w:ascii="Times New Roman" w:hAnsi="Times New Roman" w:cs="Times New Roman"/>
          <w:sz w:val="24"/>
          <w:szCs w:val="24"/>
        </w:rPr>
        <w:t xml:space="preserve"> power of the board.</w:t>
      </w:r>
    </w:p>
    <w:p w:rsidR="006C0AD9" w:rsidRPr="007D14F3" w:rsidRDefault="0030261A" w:rsidP="009C7202">
      <w:pPr>
        <w:spacing w:before="120" w:after="120" w:line="240" w:lineRule="auto"/>
        <w:jc w:val="both"/>
        <w:rPr>
          <w:rFonts w:ascii="Times New Roman" w:hAnsi="Times New Roman" w:cs="Times New Roman"/>
          <w:sz w:val="24"/>
          <w:szCs w:val="24"/>
        </w:rPr>
      </w:pPr>
      <w:r w:rsidRPr="007D14F3">
        <w:rPr>
          <w:rFonts w:ascii="Times New Roman" w:hAnsi="Times New Roman" w:cs="Times New Roman"/>
          <w:sz w:val="24"/>
          <w:szCs w:val="24"/>
        </w:rPr>
        <w:t>The i</w:t>
      </w:r>
      <w:r w:rsidR="00DB3612" w:rsidRPr="007D14F3">
        <w:rPr>
          <w:rFonts w:ascii="Times New Roman" w:hAnsi="Times New Roman" w:cs="Times New Roman"/>
          <w:sz w:val="24"/>
          <w:szCs w:val="24"/>
        </w:rPr>
        <w:t>dentified issues lower the board’s effectiveness and increase managerial control</w:t>
      </w:r>
      <w:r w:rsidRPr="007D14F3">
        <w:rPr>
          <w:rFonts w:ascii="Times New Roman" w:hAnsi="Times New Roman" w:cs="Times New Roman"/>
          <w:sz w:val="24"/>
          <w:szCs w:val="24"/>
        </w:rPr>
        <w:t xml:space="preserve">, but at the same time implicate </w:t>
      </w:r>
      <w:r w:rsidR="00CB04DD" w:rsidRPr="007D14F3">
        <w:rPr>
          <w:rFonts w:ascii="Times New Roman" w:hAnsi="Times New Roman" w:cs="Times New Roman"/>
          <w:sz w:val="24"/>
          <w:szCs w:val="24"/>
        </w:rPr>
        <w:t>certain changes</w:t>
      </w:r>
      <w:r w:rsidRPr="007D14F3">
        <w:rPr>
          <w:rFonts w:ascii="Times New Roman" w:hAnsi="Times New Roman" w:cs="Times New Roman"/>
          <w:sz w:val="24"/>
          <w:szCs w:val="24"/>
        </w:rPr>
        <w:t xml:space="preserve"> in the structure</w:t>
      </w:r>
      <w:r w:rsidR="00456621" w:rsidRPr="007D14F3">
        <w:rPr>
          <w:rFonts w:ascii="Times New Roman" w:hAnsi="Times New Roman" w:cs="Times New Roman"/>
          <w:sz w:val="24"/>
          <w:szCs w:val="24"/>
        </w:rPr>
        <w:t xml:space="preserve"> that</w:t>
      </w:r>
      <w:r w:rsidRPr="007D14F3">
        <w:rPr>
          <w:rFonts w:ascii="Times New Roman" w:hAnsi="Times New Roman" w:cs="Times New Roman"/>
          <w:sz w:val="24"/>
          <w:szCs w:val="24"/>
        </w:rPr>
        <w:t xml:space="preserve"> can improve </w:t>
      </w:r>
      <w:r w:rsidR="00060F9F">
        <w:rPr>
          <w:rFonts w:ascii="Times New Roman" w:hAnsi="Times New Roman" w:cs="Times New Roman"/>
          <w:sz w:val="24"/>
          <w:szCs w:val="24"/>
        </w:rPr>
        <w:t xml:space="preserve">the </w:t>
      </w:r>
      <w:r w:rsidR="00DA3568" w:rsidRPr="00060F9F">
        <w:rPr>
          <w:rFonts w:ascii="Times New Roman" w:hAnsi="Times New Roman" w:cs="Times New Roman"/>
          <w:noProof/>
          <w:sz w:val="24"/>
          <w:szCs w:val="24"/>
        </w:rPr>
        <w:t>board’s</w:t>
      </w:r>
      <w:r w:rsidRPr="007D14F3">
        <w:rPr>
          <w:rFonts w:ascii="Times New Roman" w:hAnsi="Times New Roman" w:cs="Times New Roman"/>
          <w:sz w:val="24"/>
          <w:szCs w:val="24"/>
        </w:rPr>
        <w:t xml:space="preserve"> </w:t>
      </w:r>
      <w:r w:rsidR="00CB04DD" w:rsidRPr="007D14F3">
        <w:rPr>
          <w:rFonts w:ascii="Times New Roman" w:hAnsi="Times New Roman" w:cs="Times New Roman"/>
          <w:sz w:val="24"/>
          <w:szCs w:val="24"/>
        </w:rPr>
        <w:t>performance</w:t>
      </w:r>
      <w:r w:rsidRPr="007D14F3">
        <w:rPr>
          <w:rFonts w:ascii="Times New Roman" w:hAnsi="Times New Roman" w:cs="Times New Roman"/>
          <w:sz w:val="24"/>
          <w:szCs w:val="24"/>
        </w:rPr>
        <w:t xml:space="preserve">. To raise independence of the board, the roles of the CEO and the </w:t>
      </w:r>
      <w:r w:rsidR="00CB04DD" w:rsidRPr="007D14F3">
        <w:rPr>
          <w:rFonts w:ascii="Times New Roman" w:hAnsi="Times New Roman" w:cs="Times New Roman"/>
          <w:sz w:val="24"/>
          <w:szCs w:val="24"/>
        </w:rPr>
        <w:t>chairman</w:t>
      </w:r>
      <w:r w:rsidRPr="007D14F3">
        <w:rPr>
          <w:rFonts w:ascii="Times New Roman" w:hAnsi="Times New Roman" w:cs="Times New Roman"/>
          <w:sz w:val="24"/>
          <w:szCs w:val="24"/>
        </w:rPr>
        <w:t xml:space="preserve"> of the board should be </w:t>
      </w:r>
      <w:r w:rsidR="00CB04DD" w:rsidRPr="007D14F3">
        <w:rPr>
          <w:rFonts w:ascii="Times New Roman" w:hAnsi="Times New Roman" w:cs="Times New Roman"/>
          <w:sz w:val="24"/>
          <w:szCs w:val="24"/>
        </w:rPr>
        <w:t>separated,</w:t>
      </w:r>
      <w:r w:rsidR="00F34B60" w:rsidRPr="007D14F3">
        <w:rPr>
          <w:rFonts w:ascii="Times New Roman" w:hAnsi="Times New Roman" w:cs="Times New Roman"/>
          <w:sz w:val="24"/>
          <w:szCs w:val="24"/>
        </w:rPr>
        <w:t xml:space="preserve"> </w:t>
      </w:r>
      <w:r w:rsidR="00CB04DD" w:rsidRPr="007D14F3">
        <w:rPr>
          <w:rFonts w:ascii="Times New Roman" w:hAnsi="Times New Roman" w:cs="Times New Roman"/>
          <w:sz w:val="24"/>
          <w:szCs w:val="24"/>
        </w:rPr>
        <w:t>and</w:t>
      </w:r>
      <w:r w:rsidRPr="007D14F3">
        <w:rPr>
          <w:rFonts w:ascii="Times New Roman" w:hAnsi="Times New Roman" w:cs="Times New Roman"/>
          <w:sz w:val="24"/>
          <w:szCs w:val="24"/>
        </w:rPr>
        <w:t xml:space="preserve"> </w:t>
      </w:r>
      <w:r w:rsidR="00F34B60" w:rsidRPr="007D14F3">
        <w:rPr>
          <w:rFonts w:ascii="Times New Roman" w:hAnsi="Times New Roman" w:cs="Times New Roman"/>
          <w:sz w:val="24"/>
          <w:szCs w:val="24"/>
        </w:rPr>
        <w:t xml:space="preserve">the number of </w:t>
      </w:r>
      <w:r w:rsidR="00CB04DD" w:rsidRPr="007D14F3">
        <w:rPr>
          <w:rFonts w:ascii="Times New Roman" w:hAnsi="Times New Roman" w:cs="Times New Roman"/>
          <w:sz w:val="24"/>
          <w:szCs w:val="24"/>
        </w:rPr>
        <w:t>unaffiliated</w:t>
      </w:r>
      <w:r w:rsidR="00F34B60" w:rsidRPr="007D14F3">
        <w:rPr>
          <w:rFonts w:ascii="Times New Roman" w:hAnsi="Times New Roman" w:cs="Times New Roman"/>
          <w:sz w:val="24"/>
          <w:szCs w:val="24"/>
        </w:rPr>
        <w:t xml:space="preserve">, </w:t>
      </w:r>
      <w:r w:rsidR="00CB04DD" w:rsidRPr="007D14F3">
        <w:rPr>
          <w:rFonts w:ascii="Times New Roman" w:hAnsi="Times New Roman" w:cs="Times New Roman"/>
          <w:sz w:val="24"/>
          <w:szCs w:val="24"/>
        </w:rPr>
        <w:t>independent</w:t>
      </w:r>
      <w:r w:rsidR="00F34B60" w:rsidRPr="007D14F3">
        <w:rPr>
          <w:rFonts w:ascii="Times New Roman" w:hAnsi="Times New Roman" w:cs="Times New Roman"/>
          <w:sz w:val="24"/>
          <w:szCs w:val="24"/>
        </w:rPr>
        <w:t xml:space="preserve"> board members increased. The board’s effectiveness is also affected by its </w:t>
      </w:r>
      <w:r w:rsidR="00955FDC" w:rsidRPr="007D14F3">
        <w:rPr>
          <w:rFonts w:ascii="Times New Roman" w:hAnsi="Times New Roman" w:cs="Times New Roman"/>
          <w:sz w:val="24"/>
          <w:szCs w:val="24"/>
        </w:rPr>
        <w:t>characteristics</w:t>
      </w:r>
      <w:r w:rsidR="00F34B60" w:rsidRPr="007D14F3">
        <w:rPr>
          <w:rFonts w:ascii="Times New Roman" w:hAnsi="Times New Roman" w:cs="Times New Roman"/>
          <w:sz w:val="24"/>
          <w:szCs w:val="24"/>
        </w:rPr>
        <w:t xml:space="preserve"> such as: gender ratio</w:t>
      </w:r>
      <w:r w:rsidR="00150396" w:rsidRPr="007D14F3">
        <w:rPr>
          <w:rFonts w:ascii="Times New Roman" w:hAnsi="Times New Roman" w:cs="Times New Roman"/>
          <w:sz w:val="24"/>
          <w:szCs w:val="24"/>
        </w:rPr>
        <w:t xml:space="preserve">, ethnic diversity (Carter </w:t>
      </w:r>
      <w:r w:rsidR="00BC0FA8" w:rsidRPr="007D14F3">
        <w:rPr>
          <w:rFonts w:ascii="Times New Roman" w:hAnsi="Times New Roman" w:cs="Times New Roman"/>
          <w:sz w:val="24"/>
          <w:szCs w:val="24"/>
        </w:rPr>
        <w:t>et al., 2010), board size (</w:t>
      </w:r>
      <w:proofErr w:type="spellStart"/>
      <w:r w:rsidR="00BC0FA8" w:rsidRPr="007D14F3">
        <w:rPr>
          <w:rFonts w:ascii="Times New Roman" w:hAnsi="Times New Roman" w:cs="Times New Roman"/>
          <w:sz w:val="24"/>
          <w:szCs w:val="24"/>
        </w:rPr>
        <w:t>Huth</w:t>
      </w:r>
      <w:r w:rsidR="00150396" w:rsidRPr="007D14F3">
        <w:rPr>
          <w:rFonts w:ascii="Times New Roman" w:hAnsi="Times New Roman" w:cs="Times New Roman"/>
          <w:sz w:val="24"/>
          <w:szCs w:val="24"/>
        </w:rPr>
        <w:t>er</w:t>
      </w:r>
      <w:proofErr w:type="spellEnd"/>
      <w:r w:rsidR="00150396" w:rsidRPr="007D14F3">
        <w:rPr>
          <w:rFonts w:ascii="Times New Roman" w:hAnsi="Times New Roman" w:cs="Times New Roman"/>
          <w:sz w:val="24"/>
          <w:szCs w:val="24"/>
        </w:rPr>
        <w:t>, 1996), (Eisenber</w:t>
      </w:r>
      <w:r w:rsidR="00BC0FA8" w:rsidRPr="007D14F3">
        <w:rPr>
          <w:rFonts w:ascii="Times New Roman" w:hAnsi="Times New Roman" w:cs="Times New Roman"/>
          <w:sz w:val="24"/>
          <w:szCs w:val="24"/>
        </w:rPr>
        <w:t>g</w:t>
      </w:r>
      <w:r w:rsidR="00150396" w:rsidRPr="007D14F3">
        <w:rPr>
          <w:rFonts w:ascii="Times New Roman" w:hAnsi="Times New Roman" w:cs="Times New Roman"/>
          <w:sz w:val="24"/>
          <w:szCs w:val="24"/>
        </w:rPr>
        <w:t xml:space="preserve"> et al., 1997), (Yermack, 1995), bus</w:t>
      </w:r>
      <w:r w:rsidR="00FC419F" w:rsidRPr="007D14F3">
        <w:rPr>
          <w:rFonts w:ascii="Times New Roman" w:hAnsi="Times New Roman" w:cs="Times New Roman"/>
          <w:sz w:val="24"/>
          <w:szCs w:val="24"/>
        </w:rPr>
        <w:t>yness</w:t>
      </w:r>
      <w:r w:rsidR="00150396" w:rsidRPr="007D14F3">
        <w:rPr>
          <w:rFonts w:ascii="Times New Roman" w:hAnsi="Times New Roman" w:cs="Times New Roman"/>
          <w:sz w:val="24"/>
          <w:szCs w:val="24"/>
        </w:rPr>
        <w:t xml:space="preserve"> of the board </w:t>
      </w:r>
      <w:r w:rsidR="00BE260E" w:rsidRPr="007D14F3">
        <w:rPr>
          <w:rFonts w:ascii="Times New Roman" w:hAnsi="Times New Roman" w:cs="Times New Roman"/>
          <w:sz w:val="24"/>
          <w:szCs w:val="24"/>
        </w:rPr>
        <w:t>(</w:t>
      </w:r>
      <w:proofErr w:type="spellStart"/>
      <w:r w:rsidR="00BE260E" w:rsidRPr="007D14F3">
        <w:rPr>
          <w:rFonts w:ascii="Times New Roman" w:hAnsi="Times New Roman" w:cs="Times New Roman"/>
          <w:sz w:val="24"/>
          <w:szCs w:val="24"/>
        </w:rPr>
        <w:t>Fich</w:t>
      </w:r>
      <w:proofErr w:type="spellEnd"/>
      <w:r w:rsidR="00BE260E" w:rsidRPr="007D14F3">
        <w:rPr>
          <w:rFonts w:ascii="Times New Roman" w:hAnsi="Times New Roman" w:cs="Times New Roman"/>
          <w:sz w:val="24"/>
          <w:szCs w:val="24"/>
        </w:rPr>
        <w:t xml:space="preserve"> and </w:t>
      </w:r>
      <w:proofErr w:type="spellStart"/>
      <w:r w:rsidR="00BE260E" w:rsidRPr="007D14F3">
        <w:rPr>
          <w:rFonts w:ascii="Times New Roman" w:hAnsi="Times New Roman" w:cs="Times New Roman"/>
          <w:sz w:val="24"/>
          <w:szCs w:val="24"/>
        </w:rPr>
        <w:t>Shivdasani</w:t>
      </w:r>
      <w:proofErr w:type="spellEnd"/>
      <w:r w:rsidR="00BE260E" w:rsidRPr="007D14F3">
        <w:rPr>
          <w:rFonts w:ascii="Times New Roman" w:hAnsi="Times New Roman" w:cs="Times New Roman"/>
          <w:sz w:val="24"/>
          <w:szCs w:val="24"/>
        </w:rPr>
        <w:t>, 2006),</w:t>
      </w:r>
      <w:r w:rsidR="00150396" w:rsidRPr="007D14F3">
        <w:rPr>
          <w:rFonts w:ascii="Times New Roman" w:hAnsi="Times New Roman" w:cs="Times New Roman"/>
          <w:sz w:val="24"/>
          <w:szCs w:val="24"/>
        </w:rPr>
        <w:t xml:space="preserve"> the qualifications and education of the board members</w:t>
      </w:r>
      <w:r w:rsidR="00BE260E" w:rsidRPr="007D14F3">
        <w:rPr>
          <w:rFonts w:ascii="Times New Roman" w:hAnsi="Times New Roman" w:cs="Times New Roman"/>
          <w:sz w:val="24"/>
          <w:szCs w:val="24"/>
        </w:rPr>
        <w:t xml:space="preserve"> (</w:t>
      </w:r>
      <w:proofErr w:type="spellStart"/>
      <w:r w:rsidR="00BE260E" w:rsidRPr="007D14F3">
        <w:rPr>
          <w:rFonts w:ascii="Times New Roman" w:hAnsi="Times New Roman" w:cs="Times New Roman"/>
          <w:sz w:val="24"/>
          <w:szCs w:val="24"/>
        </w:rPr>
        <w:t>Fama</w:t>
      </w:r>
      <w:proofErr w:type="spellEnd"/>
      <w:r w:rsidR="00BE260E" w:rsidRPr="007D14F3">
        <w:rPr>
          <w:rFonts w:ascii="Times New Roman" w:hAnsi="Times New Roman" w:cs="Times New Roman"/>
          <w:sz w:val="24"/>
          <w:szCs w:val="24"/>
        </w:rPr>
        <w:t>, 1992), or the type of elections (</w:t>
      </w:r>
      <w:proofErr w:type="spellStart"/>
      <w:r w:rsidR="00BE260E" w:rsidRPr="007D14F3">
        <w:rPr>
          <w:rFonts w:ascii="Times New Roman" w:hAnsi="Times New Roman" w:cs="Times New Roman"/>
          <w:sz w:val="24"/>
          <w:szCs w:val="24"/>
        </w:rPr>
        <w:t>Bebchuk</w:t>
      </w:r>
      <w:proofErr w:type="spellEnd"/>
      <w:r w:rsidR="00BE260E" w:rsidRPr="007D14F3">
        <w:rPr>
          <w:rFonts w:ascii="Times New Roman" w:hAnsi="Times New Roman" w:cs="Times New Roman"/>
          <w:sz w:val="24"/>
          <w:szCs w:val="24"/>
        </w:rPr>
        <w:t xml:space="preserve"> and Cohen, 2005), (</w:t>
      </w:r>
      <w:proofErr w:type="spellStart"/>
      <w:r w:rsidR="00BE260E" w:rsidRPr="007D14F3">
        <w:rPr>
          <w:rFonts w:ascii="Times New Roman" w:hAnsi="Times New Roman" w:cs="Times New Roman"/>
          <w:sz w:val="24"/>
          <w:szCs w:val="24"/>
        </w:rPr>
        <w:t>Faleye</w:t>
      </w:r>
      <w:proofErr w:type="spellEnd"/>
      <w:r w:rsidR="00BE260E" w:rsidRPr="007D14F3">
        <w:rPr>
          <w:rFonts w:ascii="Times New Roman" w:hAnsi="Times New Roman" w:cs="Times New Roman"/>
          <w:sz w:val="24"/>
          <w:szCs w:val="24"/>
        </w:rPr>
        <w:t>, 2007)</w:t>
      </w:r>
      <w:r w:rsidR="009F290C" w:rsidRPr="007D14F3">
        <w:rPr>
          <w:rFonts w:ascii="Times New Roman" w:hAnsi="Times New Roman" w:cs="Times New Roman"/>
          <w:sz w:val="24"/>
          <w:szCs w:val="24"/>
        </w:rPr>
        <w:t>, (</w:t>
      </w:r>
      <w:proofErr w:type="spellStart"/>
      <w:r w:rsidR="009F290C" w:rsidRPr="007D14F3">
        <w:rPr>
          <w:rFonts w:ascii="Times New Roman" w:hAnsi="Times New Roman" w:cs="Times New Roman"/>
          <w:sz w:val="24"/>
          <w:szCs w:val="24"/>
        </w:rPr>
        <w:t>Kosnik</w:t>
      </w:r>
      <w:proofErr w:type="spellEnd"/>
      <w:r w:rsidR="009F290C" w:rsidRPr="007D14F3">
        <w:rPr>
          <w:rFonts w:ascii="Times New Roman" w:hAnsi="Times New Roman" w:cs="Times New Roman"/>
          <w:sz w:val="24"/>
          <w:szCs w:val="24"/>
        </w:rPr>
        <w:t>, 1987)</w:t>
      </w:r>
      <w:r w:rsidR="00BE260E" w:rsidRPr="007D14F3">
        <w:rPr>
          <w:rFonts w:ascii="Times New Roman" w:hAnsi="Times New Roman" w:cs="Times New Roman"/>
          <w:sz w:val="24"/>
          <w:szCs w:val="24"/>
        </w:rPr>
        <w:t>.</w:t>
      </w:r>
    </w:p>
    <w:p w:rsidR="00C533F2" w:rsidRPr="007D14F3" w:rsidRDefault="00955FDC" w:rsidP="009C7202">
      <w:pPr>
        <w:spacing w:before="120" w:after="120" w:line="240" w:lineRule="auto"/>
        <w:jc w:val="both"/>
        <w:rPr>
          <w:rFonts w:ascii="Times New Roman" w:hAnsi="Times New Roman" w:cs="Times New Roman"/>
          <w:sz w:val="24"/>
          <w:szCs w:val="24"/>
        </w:rPr>
        <w:sectPr w:rsidR="00C533F2" w:rsidRPr="007D14F3" w:rsidSect="00B12FB6">
          <w:headerReference w:type="even" r:id="rId8"/>
          <w:headerReference w:type="default" r:id="rId9"/>
          <w:footerReference w:type="even" r:id="rId10"/>
          <w:footerReference w:type="default" r:id="rId11"/>
          <w:headerReference w:type="first" r:id="rId12"/>
          <w:footerReference w:type="first" r:id="rId13"/>
          <w:type w:val="continuous"/>
          <w:pgSz w:w="12240" w:h="15840"/>
          <w:pgMar w:top="1418" w:right="1440" w:bottom="1440" w:left="1418" w:header="720" w:footer="720" w:gutter="0"/>
          <w:cols w:space="720"/>
          <w:titlePg/>
          <w:docGrid w:linePitch="360"/>
        </w:sectPr>
      </w:pPr>
      <w:r w:rsidRPr="007D14F3">
        <w:rPr>
          <w:rFonts w:ascii="Times New Roman" w:hAnsi="Times New Roman" w:cs="Times New Roman"/>
          <w:sz w:val="24"/>
          <w:szCs w:val="24"/>
        </w:rPr>
        <w:t xml:space="preserve">Acting in the owners’ interests, an effective board will approve only mergers and acquisitions that ultimately create value for shareholders, limiting the overinvestment problem and empire building desire of managers. Since </w:t>
      </w:r>
      <w:r w:rsidR="00376995" w:rsidRPr="007D14F3">
        <w:rPr>
          <w:rFonts w:ascii="Times New Roman" w:hAnsi="Times New Roman" w:cs="Times New Roman"/>
          <w:sz w:val="24"/>
          <w:szCs w:val="24"/>
        </w:rPr>
        <w:t xml:space="preserve">the </w:t>
      </w:r>
      <w:r w:rsidRPr="007D14F3">
        <w:rPr>
          <w:rFonts w:ascii="Times New Roman" w:hAnsi="Times New Roman" w:cs="Times New Roman"/>
          <w:noProof/>
          <w:sz w:val="24"/>
          <w:szCs w:val="24"/>
        </w:rPr>
        <w:t>proper</w:t>
      </w:r>
      <w:r w:rsidRPr="007D14F3">
        <w:rPr>
          <w:rFonts w:ascii="Times New Roman" w:hAnsi="Times New Roman" w:cs="Times New Roman"/>
          <w:sz w:val="24"/>
          <w:szCs w:val="24"/>
        </w:rPr>
        <w:t xml:space="preserve"> structure of the board influences the board performance, and an effective board controls and monitors the CEO better, the board structure should</w:t>
      </w:r>
      <w:r w:rsidR="00376995" w:rsidRPr="007D14F3">
        <w:rPr>
          <w:rFonts w:ascii="Times New Roman" w:hAnsi="Times New Roman" w:cs="Times New Roman"/>
          <w:sz w:val="24"/>
          <w:szCs w:val="24"/>
        </w:rPr>
        <w:t>, therefore,</w:t>
      </w:r>
      <w:r w:rsidRPr="007D14F3">
        <w:rPr>
          <w:rFonts w:ascii="Times New Roman" w:hAnsi="Times New Roman" w:cs="Times New Roman"/>
          <w:sz w:val="24"/>
          <w:szCs w:val="24"/>
        </w:rPr>
        <w:t xml:space="preserve"> affect M&amp;A performance. </w:t>
      </w:r>
      <w:bookmarkStart w:id="7" w:name="_Hlk514154165"/>
    </w:p>
    <w:p w:rsidR="003004E4" w:rsidRPr="007D14F3" w:rsidRDefault="003004E4" w:rsidP="009C7202">
      <w:pPr>
        <w:pStyle w:val="Heading1"/>
        <w:numPr>
          <w:ilvl w:val="0"/>
          <w:numId w:val="3"/>
        </w:numPr>
        <w:rPr>
          <w:rFonts w:cs="Times New Roman"/>
          <w:sz w:val="24"/>
          <w:szCs w:val="24"/>
        </w:rPr>
      </w:pPr>
      <w:bookmarkStart w:id="8" w:name="_Toc516128935"/>
      <w:bookmarkEnd w:id="7"/>
      <w:r w:rsidRPr="007D14F3">
        <w:rPr>
          <w:rFonts w:cs="Times New Roman"/>
          <w:sz w:val="24"/>
          <w:szCs w:val="24"/>
        </w:rPr>
        <w:lastRenderedPageBreak/>
        <w:t>Methodology and Data</w:t>
      </w:r>
      <w:bookmarkEnd w:id="8"/>
    </w:p>
    <w:p w:rsidR="00233EDA" w:rsidRPr="007D14F3" w:rsidRDefault="00233EDA" w:rsidP="009C7202">
      <w:pPr>
        <w:pStyle w:val="Heading2"/>
        <w:numPr>
          <w:ilvl w:val="1"/>
          <w:numId w:val="3"/>
        </w:numPr>
        <w:spacing w:before="120" w:after="120" w:line="240" w:lineRule="auto"/>
        <w:rPr>
          <w:rFonts w:cs="Times New Roman"/>
          <w:szCs w:val="24"/>
        </w:rPr>
      </w:pPr>
      <w:bookmarkStart w:id="9" w:name="_Toc516128936"/>
      <w:r w:rsidRPr="007D14F3">
        <w:rPr>
          <w:rFonts w:cs="Times New Roman"/>
          <w:szCs w:val="24"/>
        </w:rPr>
        <w:t>Research methodology</w:t>
      </w:r>
      <w:bookmarkEnd w:id="9"/>
    </w:p>
    <w:p w:rsidR="00233EDA" w:rsidRPr="007D14F3" w:rsidRDefault="00233EDA" w:rsidP="009C7202">
      <w:pPr>
        <w:spacing w:before="120" w:after="120" w:line="240" w:lineRule="auto"/>
        <w:jc w:val="both"/>
        <w:rPr>
          <w:rFonts w:ascii="Times New Roman" w:eastAsiaTheme="majorEastAsia" w:hAnsi="Times New Roman" w:cs="Times New Roman"/>
          <w:sz w:val="24"/>
          <w:szCs w:val="24"/>
        </w:rPr>
      </w:pPr>
      <w:r w:rsidRPr="007D14F3">
        <w:rPr>
          <w:rFonts w:ascii="Times New Roman" w:eastAsiaTheme="majorEastAsia" w:hAnsi="Times New Roman" w:cs="Times New Roman"/>
          <w:sz w:val="24"/>
          <w:szCs w:val="24"/>
        </w:rPr>
        <w:t xml:space="preserve">The most commonly adopted approach in the literature to examine the relation between the board characteristics and M&amp;A performance is </w:t>
      </w:r>
      <w:proofErr w:type="gramStart"/>
      <w:r w:rsidRPr="007D14F3">
        <w:rPr>
          <w:rFonts w:ascii="Times New Roman" w:eastAsiaTheme="majorEastAsia" w:hAnsi="Times New Roman" w:cs="Times New Roman"/>
          <w:sz w:val="24"/>
          <w:szCs w:val="24"/>
        </w:rPr>
        <w:t>an ordinary least squares</w:t>
      </w:r>
      <w:proofErr w:type="gramEnd"/>
      <w:r w:rsidRPr="007D14F3">
        <w:rPr>
          <w:rFonts w:ascii="Times New Roman" w:eastAsiaTheme="majorEastAsia" w:hAnsi="Times New Roman" w:cs="Times New Roman"/>
          <w:sz w:val="24"/>
          <w:szCs w:val="24"/>
        </w:rPr>
        <w:t xml:space="preserve"> regression (OLS), found in numerous studies such as: Byrd and Hickman (1992), </w:t>
      </w:r>
      <w:proofErr w:type="spellStart"/>
      <w:r w:rsidRPr="007D14F3">
        <w:rPr>
          <w:rFonts w:ascii="Times New Roman" w:eastAsiaTheme="majorEastAsia" w:hAnsi="Times New Roman" w:cs="Times New Roman"/>
          <w:sz w:val="24"/>
          <w:szCs w:val="24"/>
        </w:rPr>
        <w:t>Masulis</w:t>
      </w:r>
      <w:proofErr w:type="spellEnd"/>
      <w:r w:rsidRPr="007D14F3">
        <w:rPr>
          <w:rFonts w:ascii="Times New Roman" w:eastAsiaTheme="majorEastAsia" w:hAnsi="Times New Roman" w:cs="Times New Roman"/>
          <w:sz w:val="24"/>
          <w:szCs w:val="24"/>
        </w:rPr>
        <w:t xml:space="preserve"> et al. (2007), Moeller et al. (2004).</w:t>
      </w:r>
    </w:p>
    <w:p w:rsidR="00233EDA" w:rsidRPr="007D14F3" w:rsidRDefault="00233EDA" w:rsidP="009C7202">
      <w:pPr>
        <w:spacing w:before="120" w:after="120" w:line="240" w:lineRule="auto"/>
        <w:jc w:val="both"/>
        <w:rPr>
          <w:rFonts w:ascii="Times New Roman" w:eastAsiaTheme="majorEastAsia" w:hAnsi="Times New Roman" w:cs="Times New Roman"/>
          <w:sz w:val="24"/>
          <w:szCs w:val="24"/>
        </w:rPr>
      </w:pPr>
      <w:r w:rsidRPr="007D14F3">
        <w:rPr>
          <w:rFonts w:ascii="Times New Roman" w:eastAsiaTheme="majorEastAsia" w:hAnsi="Times New Roman" w:cs="Times New Roman"/>
          <w:sz w:val="24"/>
          <w:szCs w:val="24"/>
        </w:rPr>
        <w:t>The model designed to test the hypotheses is presented by the following equation:</w:t>
      </w:r>
    </w:p>
    <w:p w:rsidR="00233EDA" w:rsidRPr="007D14F3" w:rsidRDefault="00060F9F" w:rsidP="009C7202">
      <w:pPr>
        <w:spacing w:before="120" w:after="120" w:line="240" w:lineRule="auto"/>
        <w:jc w:val="both"/>
        <w:rPr>
          <w:rFonts w:ascii="Times New Roman" w:eastAsiaTheme="majorEastAsia" w:hAnsi="Times New Roman" w:cs="Times New Roman"/>
          <w:sz w:val="24"/>
          <w:szCs w:val="24"/>
        </w:rPr>
      </w:pPr>
      <m:oMathPara>
        <m:oMath>
          <m:sSub>
            <m:sSubPr>
              <m:ctrlPr>
                <w:rPr>
                  <w:rFonts w:ascii="Cambria Math" w:eastAsiaTheme="majorEastAsia" w:hAnsi="Cambria Math" w:cs="Times New Roman"/>
                  <w:i/>
                  <w:sz w:val="24"/>
                  <w:szCs w:val="24"/>
                </w:rPr>
              </m:ctrlPr>
            </m:sSubPr>
            <m:e>
              <m:r>
                <w:rPr>
                  <w:rFonts w:ascii="Cambria Math" w:eastAsiaTheme="majorEastAsia" w:hAnsi="Cambria Math" w:cs="Times New Roman"/>
                  <w:sz w:val="24"/>
                  <w:szCs w:val="24"/>
                </w:rPr>
                <m:t>CAR</m:t>
              </m:r>
            </m:e>
            <m:sub>
              <m:r>
                <w:rPr>
                  <w:rFonts w:ascii="Cambria Math" w:eastAsiaTheme="majorEastAsia" w:hAnsi="Cambria Math" w:cs="Times New Roman"/>
                  <w:sz w:val="24"/>
                  <w:szCs w:val="24"/>
                </w:rPr>
                <m:t>i,t</m:t>
              </m:r>
            </m:sub>
          </m:sSub>
          <m:r>
            <w:rPr>
              <w:rFonts w:ascii="Cambria Math" w:eastAsiaTheme="majorEastAsia" w:hAnsi="Cambria Math" w:cs="Times New Roman"/>
              <w:sz w:val="24"/>
              <w:szCs w:val="24"/>
            </w:rPr>
            <m:t>=</m:t>
          </m:r>
          <m:sSub>
            <m:sSubPr>
              <m:ctrlPr>
                <w:rPr>
                  <w:rFonts w:ascii="Cambria Math" w:eastAsiaTheme="majorEastAsia" w:hAnsi="Cambria Math" w:cs="Times New Roman"/>
                  <w:i/>
                  <w:sz w:val="24"/>
                  <w:szCs w:val="24"/>
                </w:rPr>
              </m:ctrlPr>
            </m:sSubPr>
            <m:e>
              <m:r>
                <w:rPr>
                  <w:rFonts w:ascii="Cambria Math" w:eastAsiaTheme="majorEastAsia" w:hAnsi="Cambria Math" w:cs="Times New Roman"/>
                  <w:sz w:val="24"/>
                  <w:szCs w:val="24"/>
                </w:rPr>
                <m:t>α</m:t>
              </m:r>
            </m:e>
            <m:sub>
              <m:r>
                <w:rPr>
                  <w:rFonts w:ascii="Cambria Math" w:eastAsiaTheme="majorEastAsia" w:hAnsi="Cambria Math" w:cs="Times New Roman"/>
                  <w:sz w:val="24"/>
                  <w:szCs w:val="24"/>
                </w:rPr>
                <m:t>i</m:t>
              </m:r>
            </m:sub>
          </m:sSub>
          <m:r>
            <w:rPr>
              <w:rFonts w:ascii="Cambria Math" w:eastAsiaTheme="majorEastAsia" w:hAnsi="Cambria Math" w:cs="Times New Roman"/>
              <w:sz w:val="24"/>
              <w:szCs w:val="24"/>
            </w:rPr>
            <m:t>+</m:t>
          </m:r>
          <m:sSub>
            <m:sSubPr>
              <m:ctrlPr>
                <w:rPr>
                  <w:rFonts w:ascii="Cambria Math" w:eastAsiaTheme="majorEastAsia" w:hAnsi="Cambria Math" w:cs="Times New Roman"/>
                  <w:i/>
                  <w:sz w:val="24"/>
                  <w:szCs w:val="24"/>
                </w:rPr>
              </m:ctrlPr>
            </m:sSubPr>
            <m:e>
              <m:r>
                <w:rPr>
                  <w:rFonts w:ascii="Cambria Math" w:eastAsiaTheme="majorEastAsia" w:hAnsi="Cambria Math" w:cs="Times New Roman"/>
                  <w:sz w:val="24"/>
                  <w:szCs w:val="24"/>
                </w:rPr>
                <m:t>β</m:t>
              </m:r>
            </m:e>
            <m:sub>
              <m:r>
                <w:rPr>
                  <w:rFonts w:ascii="Cambria Math" w:eastAsiaTheme="majorEastAsia" w:hAnsi="Cambria Math" w:cs="Times New Roman"/>
                  <w:sz w:val="24"/>
                  <w:szCs w:val="24"/>
                </w:rPr>
                <m:t>1</m:t>
              </m:r>
            </m:sub>
          </m:sSub>
          <m:sSub>
            <m:sSubPr>
              <m:ctrlPr>
                <w:rPr>
                  <w:rFonts w:ascii="Cambria Math" w:eastAsiaTheme="majorEastAsia" w:hAnsi="Cambria Math" w:cs="Times New Roman"/>
                  <w:i/>
                  <w:sz w:val="24"/>
                  <w:szCs w:val="24"/>
                </w:rPr>
              </m:ctrlPr>
            </m:sSubPr>
            <m:e>
              <m:r>
                <w:rPr>
                  <w:rFonts w:ascii="Cambria Math" w:eastAsiaTheme="majorEastAsia" w:hAnsi="Cambria Math" w:cs="Times New Roman"/>
                  <w:sz w:val="24"/>
                  <w:szCs w:val="24"/>
                </w:rPr>
                <m:t>CLASSIFIED</m:t>
              </m:r>
            </m:e>
            <m:sub>
              <m:r>
                <w:rPr>
                  <w:rFonts w:ascii="Cambria Math" w:eastAsiaTheme="majorEastAsia" w:hAnsi="Cambria Math" w:cs="Times New Roman"/>
                  <w:sz w:val="24"/>
                  <w:szCs w:val="24"/>
                </w:rPr>
                <m:t>i</m:t>
              </m:r>
            </m:sub>
          </m:sSub>
          <m:r>
            <w:rPr>
              <w:rFonts w:ascii="Cambria Math" w:eastAsiaTheme="majorEastAsia" w:hAnsi="Cambria Math" w:cs="Times New Roman"/>
              <w:sz w:val="24"/>
              <w:szCs w:val="24"/>
            </w:rPr>
            <m:t>+</m:t>
          </m:r>
          <m:sSub>
            <m:sSubPr>
              <m:ctrlPr>
                <w:rPr>
                  <w:rFonts w:ascii="Cambria Math" w:eastAsiaTheme="majorEastAsia" w:hAnsi="Cambria Math" w:cs="Times New Roman"/>
                  <w:i/>
                  <w:sz w:val="24"/>
                  <w:szCs w:val="24"/>
                </w:rPr>
              </m:ctrlPr>
            </m:sSubPr>
            <m:e>
              <m:r>
                <w:rPr>
                  <w:rFonts w:ascii="Cambria Math" w:eastAsiaTheme="majorEastAsia" w:hAnsi="Cambria Math" w:cs="Times New Roman"/>
                  <w:sz w:val="24"/>
                  <w:szCs w:val="24"/>
                </w:rPr>
                <m:t>β</m:t>
              </m:r>
            </m:e>
            <m:sub>
              <m:r>
                <w:rPr>
                  <w:rFonts w:ascii="Cambria Math" w:eastAsiaTheme="majorEastAsia" w:hAnsi="Cambria Math" w:cs="Times New Roman"/>
                  <w:sz w:val="24"/>
                  <w:szCs w:val="24"/>
                </w:rPr>
                <m:t>2</m:t>
              </m:r>
            </m:sub>
          </m:sSub>
          <m:sSub>
            <m:sSubPr>
              <m:ctrlPr>
                <w:rPr>
                  <w:rFonts w:ascii="Cambria Math" w:eastAsiaTheme="majorEastAsia" w:hAnsi="Cambria Math" w:cs="Times New Roman"/>
                  <w:i/>
                  <w:sz w:val="24"/>
                  <w:szCs w:val="24"/>
                </w:rPr>
              </m:ctrlPr>
            </m:sSubPr>
            <m:e>
              <m:r>
                <w:rPr>
                  <w:rFonts w:ascii="Cambria Math" w:eastAsiaTheme="majorEastAsia" w:hAnsi="Cambria Math" w:cs="Times New Roman"/>
                  <w:sz w:val="24"/>
                  <w:szCs w:val="24"/>
                </w:rPr>
                <m:t>SIZE</m:t>
              </m:r>
            </m:e>
            <m:sub>
              <m:r>
                <w:rPr>
                  <w:rFonts w:ascii="Cambria Math" w:eastAsiaTheme="majorEastAsia" w:hAnsi="Cambria Math" w:cs="Times New Roman"/>
                  <w:sz w:val="24"/>
                  <w:szCs w:val="24"/>
                </w:rPr>
                <m:t>i</m:t>
              </m:r>
            </m:sub>
          </m:sSub>
          <m:r>
            <w:rPr>
              <w:rFonts w:ascii="Cambria Math" w:eastAsiaTheme="majorEastAsia" w:hAnsi="Cambria Math" w:cs="Times New Roman"/>
              <w:sz w:val="24"/>
              <w:szCs w:val="24"/>
            </w:rPr>
            <m:t>+</m:t>
          </m:r>
          <m:sSub>
            <m:sSubPr>
              <m:ctrlPr>
                <w:rPr>
                  <w:rFonts w:ascii="Cambria Math" w:eastAsiaTheme="majorEastAsia" w:hAnsi="Cambria Math" w:cs="Times New Roman"/>
                  <w:i/>
                  <w:sz w:val="24"/>
                  <w:szCs w:val="24"/>
                </w:rPr>
              </m:ctrlPr>
            </m:sSubPr>
            <m:e>
              <m:r>
                <w:rPr>
                  <w:rFonts w:ascii="Cambria Math" w:eastAsiaTheme="majorEastAsia" w:hAnsi="Cambria Math" w:cs="Times New Roman"/>
                  <w:sz w:val="24"/>
                  <w:szCs w:val="24"/>
                </w:rPr>
                <m:t>β</m:t>
              </m:r>
            </m:e>
            <m:sub>
              <m:r>
                <w:rPr>
                  <w:rFonts w:ascii="Cambria Math" w:eastAsiaTheme="majorEastAsia" w:hAnsi="Cambria Math" w:cs="Times New Roman"/>
                  <w:sz w:val="24"/>
                  <w:szCs w:val="24"/>
                </w:rPr>
                <m:t>3</m:t>
              </m:r>
            </m:sub>
          </m:sSub>
          <m:sSub>
            <m:sSubPr>
              <m:ctrlPr>
                <w:rPr>
                  <w:rFonts w:ascii="Cambria Math" w:eastAsiaTheme="majorEastAsia" w:hAnsi="Cambria Math" w:cs="Times New Roman"/>
                  <w:i/>
                  <w:sz w:val="24"/>
                  <w:szCs w:val="24"/>
                </w:rPr>
              </m:ctrlPr>
            </m:sSubPr>
            <m:e>
              <m:r>
                <w:rPr>
                  <w:rFonts w:ascii="Cambria Math" w:eastAsiaTheme="majorEastAsia" w:hAnsi="Cambria Math" w:cs="Times New Roman"/>
                  <w:sz w:val="24"/>
                  <w:szCs w:val="24"/>
                </w:rPr>
                <m:t>INDEPENDENT</m:t>
              </m:r>
            </m:e>
            <m:sub>
              <m:r>
                <w:rPr>
                  <w:rFonts w:ascii="Cambria Math" w:eastAsiaTheme="majorEastAsia" w:hAnsi="Cambria Math" w:cs="Times New Roman"/>
                  <w:sz w:val="24"/>
                  <w:szCs w:val="24"/>
                </w:rPr>
                <m:t>i</m:t>
              </m:r>
            </m:sub>
          </m:sSub>
          <m:r>
            <w:rPr>
              <w:rFonts w:ascii="Cambria Math" w:eastAsiaTheme="majorEastAsia" w:hAnsi="Cambria Math" w:cs="Times New Roman"/>
              <w:sz w:val="24"/>
              <w:szCs w:val="24"/>
            </w:rPr>
            <m:t>+</m:t>
          </m:r>
          <m:sSub>
            <m:sSubPr>
              <m:ctrlPr>
                <w:rPr>
                  <w:rFonts w:ascii="Cambria Math" w:eastAsiaTheme="majorEastAsia" w:hAnsi="Cambria Math" w:cs="Times New Roman"/>
                  <w:i/>
                  <w:sz w:val="24"/>
                  <w:szCs w:val="24"/>
                </w:rPr>
              </m:ctrlPr>
            </m:sSubPr>
            <m:e>
              <m:r>
                <w:rPr>
                  <w:rFonts w:ascii="Cambria Math" w:eastAsiaTheme="majorEastAsia" w:hAnsi="Cambria Math" w:cs="Times New Roman"/>
                  <w:sz w:val="24"/>
                  <w:szCs w:val="24"/>
                </w:rPr>
                <m:t>β</m:t>
              </m:r>
            </m:e>
            <m:sub>
              <m:r>
                <w:rPr>
                  <w:rFonts w:ascii="Cambria Math" w:eastAsiaTheme="majorEastAsia" w:hAnsi="Cambria Math" w:cs="Times New Roman"/>
                  <w:sz w:val="24"/>
                  <w:szCs w:val="24"/>
                </w:rPr>
                <m:t>4</m:t>
              </m:r>
            </m:sub>
          </m:sSub>
          <m:sSub>
            <m:sSubPr>
              <m:ctrlPr>
                <w:rPr>
                  <w:rFonts w:ascii="Cambria Math" w:eastAsiaTheme="majorEastAsia" w:hAnsi="Cambria Math" w:cs="Times New Roman"/>
                  <w:i/>
                  <w:sz w:val="24"/>
                  <w:szCs w:val="24"/>
                </w:rPr>
              </m:ctrlPr>
            </m:sSubPr>
            <m:e>
              <m:r>
                <w:rPr>
                  <w:rFonts w:ascii="Cambria Math" w:eastAsiaTheme="majorEastAsia" w:hAnsi="Cambria Math" w:cs="Times New Roman"/>
                  <w:sz w:val="24"/>
                  <w:szCs w:val="24"/>
                </w:rPr>
                <m:t>DUALITY</m:t>
              </m:r>
            </m:e>
            <m:sub>
              <m:r>
                <w:rPr>
                  <w:rFonts w:ascii="Cambria Math" w:eastAsiaTheme="majorEastAsia" w:hAnsi="Cambria Math" w:cs="Times New Roman"/>
                  <w:sz w:val="24"/>
                  <w:szCs w:val="24"/>
                </w:rPr>
                <m:t>i</m:t>
              </m:r>
            </m:sub>
          </m:sSub>
          <m:r>
            <w:rPr>
              <w:rFonts w:ascii="Cambria Math" w:eastAsiaTheme="majorEastAsia" w:hAnsi="Cambria Math" w:cs="Times New Roman"/>
              <w:sz w:val="24"/>
              <w:szCs w:val="24"/>
            </w:rPr>
            <m:t>+</m:t>
          </m:r>
          <m:sSub>
            <m:sSubPr>
              <m:ctrlPr>
                <w:rPr>
                  <w:rFonts w:ascii="Cambria Math" w:eastAsiaTheme="majorEastAsia" w:hAnsi="Cambria Math" w:cs="Times New Roman"/>
                  <w:i/>
                  <w:sz w:val="24"/>
                  <w:szCs w:val="24"/>
                </w:rPr>
              </m:ctrlPr>
            </m:sSubPr>
            <m:e>
              <m:r>
                <w:rPr>
                  <w:rFonts w:ascii="Cambria Math" w:eastAsiaTheme="majorEastAsia" w:hAnsi="Cambria Math" w:cs="Times New Roman"/>
                  <w:sz w:val="24"/>
                  <w:szCs w:val="24"/>
                </w:rPr>
                <m:t>β</m:t>
              </m:r>
            </m:e>
            <m:sub>
              <m:r>
                <w:rPr>
                  <w:rFonts w:ascii="Cambria Math" w:eastAsiaTheme="majorEastAsia" w:hAnsi="Cambria Math" w:cs="Times New Roman"/>
                  <w:sz w:val="24"/>
                  <w:szCs w:val="24"/>
                </w:rPr>
                <m:t>5</m:t>
              </m:r>
            </m:sub>
          </m:sSub>
          <m:sSub>
            <m:sSubPr>
              <m:ctrlPr>
                <w:rPr>
                  <w:rFonts w:ascii="Cambria Math" w:eastAsiaTheme="majorEastAsia" w:hAnsi="Cambria Math" w:cs="Times New Roman"/>
                  <w:i/>
                  <w:sz w:val="24"/>
                  <w:szCs w:val="24"/>
                </w:rPr>
              </m:ctrlPr>
            </m:sSubPr>
            <m:e>
              <m:r>
                <w:rPr>
                  <w:rFonts w:ascii="Cambria Math" w:eastAsiaTheme="majorEastAsia" w:hAnsi="Cambria Math" w:cs="Times New Roman"/>
                  <w:sz w:val="24"/>
                  <w:szCs w:val="24"/>
                </w:rPr>
                <m:t>GENDER</m:t>
              </m:r>
            </m:e>
            <m:sub>
              <m:r>
                <w:rPr>
                  <w:rFonts w:ascii="Cambria Math" w:eastAsiaTheme="majorEastAsia" w:hAnsi="Cambria Math" w:cs="Times New Roman"/>
                  <w:sz w:val="24"/>
                  <w:szCs w:val="24"/>
                </w:rPr>
                <m:t>i</m:t>
              </m:r>
            </m:sub>
          </m:sSub>
          <m:r>
            <w:rPr>
              <w:rFonts w:ascii="Cambria Math" w:eastAsiaTheme="majorEastAsia" w:hAnsi="Cambria Math" w:cs="Times New Roman"/>
              <w:sz w:val="24"/>
              <w:szCs w:val="24"/>
            </w:rPr>
            <m:t>+</m:t>
          </m:r>
          <m:nary>
            <m:naryPr>
              <m:chr m:val="∑"/>
              <m:limLoc m:val="undOvr"/>
              <m:ctrlPr>
                <w:rPr>
                  <w:rFonts w:ascii="Cambria Math" w:eastAsiaTheme="majorEastAsia" w:hAnsi="Cambria Math" w:cs="Times New Roman"/>
                  <w:i/>
                  <w:sz w:val="24"/>
                  <w:szCs w:val="24"/>
                </w:rPr>
              </m:ctrlPr>
            </m:naryPr>
            <m:sub>
              <m:r>
                <w:rPr>
                  <w:rFonts w:ascii="Cambria Math" w:eastAsiaTheme="majorEastAsia" w:hAnsi="Cambria Math" w:cs="Times New Roman"/>
                  <w:sz w:val="24"/>
                  <w:szCs w:val="24"/>
                </w:rPr>
                <m:t>j</m:t>
              </m:r>
            </m:sub>
            <m:sup>
              <m:r>
                <w:rPr>
                  <w:rFonts w:ascii="Cambria Math" w:eastAsiaTheme="majorEastAsia" w:hAnsi="Cambria Math" w:cs="Times New Roman"/>
                  <w:sz w:val="24"/>
                  <w:szCs w:val="24"/>
                </w:rPr>
                <m:t>n</m:t>
              </m:r>
            </m:sup>
            <m:e>
              <m:sSub>
                <m:sSubPr>
                  <m:ctrlPr>
                    <w:rPr>
                      <w:rFonts w:ascii="Cambria Math" w:eastAsiaTheme="majorEastAsia" w:hAnsi="Cambria Math" w:cs="Times New Roman"/>
                      <w:i/>
                      <w:sz w:val="24"/>
                      <w:szCs w:val="24"/>
                    </w:rPr>
                  </m:ctrlPr>
                </m:sSubPr>
                <m:e>
                  <m:r>
                    <w:rPr>
                      <w:rFonts w:ascii="Cambria Math" w:eastAsiaTheme="majorEastAsia" w:hAnsi="Cambria Math" w:cs="Times New Roman"/>
                      <w:sz w:val="24"/>
                      <w:szCs w:val="24"/>
                    </w:rPr>
                    <m:t>β</m:t>
                  </m:r>
                </m:e>
                <m:sub>
                  <m:r>
                    <w:rPr>
                      <w:rFonts w:ascii="Cambria Math" w:eastAsiaTheme="majorEastAsia" w:hAnsi="Cambria Math" w:cs="Times New Roman"/>
                      <w:sz w:val="24"/>
                      <w:szCs w:val="24"/>
                    </w:rPr>
                    <m:t>j</m:t>
                  </m:r>
                </m:sub>
              </m:sSub>
            </m:e>
          </m:nary>
          <m:r>
            <w:rPr>
              <w:rFonts w:ascii="Cambria Math" w:eastAsiaTheme="majorEastAsia" w:hAnsi="Cambria Math" w:cs="Times New Roman"/>
              <w:sz w:val="24"/>
              <w:szCs w:val="24"/>
            </w:rPr>
            <m:t>C</m:t>
          </m:r>
          <m:sSub>
            <m:sSubPr>
              <m:ctrlPr>
                <w:rPr>
                  <w:rFonts w:ascii="Cambria Math" w:eastAsiaTheme="majorEastAsia" w:hAnsi="Cambria Math" w:cs="Times New Roman"/>
                  <w:i/>
                  <w:sz w:val="24"/>
                  <w:szCs w:val="24"/>
                </w:rPr>
              </m:ctrlPr>
            </m:sSubPr>
            <m:e>
              <m:r>
                <w:rPr>
                  <w:rFonts w:ascii="Cambria Math" w:eastAsiaTheme="majorEastAsia" w:hAnsi="Cambria Math" w:cs="Times New Roman"/>
                  <w:sz w:val="24"/>
                  <w:szCs w:val="24"/>
                </w:rPr>
                <m:t>ONTROL_VARIABLE</m:t>
              </m:r>
            </m:e>
            <m:sub>
              <m:r>
                <w:rPr>
                  <w:rFonts w:ascii="Cambria Math" w:eastAsiaTheme="majorEastAsia" w:hAnsi="Cambria Math" w:cs="Times New Roman"/>
                  <w:sz w:val="24"/>
                  <w:szCs w:val="24"/>
                </w:rPr>
                <m:t>j</m:t>
              </m:r>
            </m:sub>
          </m:sSub>
          <m:r>
            <w:rPr>
              <w:rFonts w:ascii="Cambria Math" w:eastAsiaTheme="majorEastAsia" w:hAnsi="Cambria Math" w:cs="Times New Roman"/>
              <w:sz w:val="24"/>
              <w:szCs w:val="24"/>
            </w:rPr>
            <m:t>+</m:t>
          </m:r>
          <m:sSub>
            <m:sSubPr>
              <m:ctrlPr>
                <w:rPr>
                  <w:rFonts w:ascii="Cambria Math" w:eastAsiaTheme="majorEastAsia" w:hAnsi="Cambria Math" w:cs="Times New Roman"/>
                  <w:i/>
                  <w:sz w:val="24"/>
                  <w:szCs w:val="24"/>
                </w:rPr>
              </m:ctrlPr>
            </m:sSubPr>
            <m:e>
              <m:r>
                <w:rPr>
                  <w:rFonts w:ascii="Cambria Math" w:eastAsiaTheme="majorEastAsia" w:hAnsi="Cambria Math" w:cs="Times New Roman"/>
                  <w:sz w:val="24"/>
                  <w:szCs w:val="24"/>
                </w:rPr>
                <m:t>ε</m:t>
              </m:r>
            </m:e>
            <m:sub>
              <m:r>
                <w:rPr>
                  <w:rFonts w:ascii="Cambria Math" w:eastAsiaTheme="majorEastAsia" w:hAnsi="Cambria Math" w:cs="Times New Roman"/>
                  <w:sz w:val="24"/>
                  <w:szCs w:val="24"/>
                </w:rPr>
                <m:t>i</m:t>
              </m:r>
            </m:sub>
          </m:sSub>
        </m:oMath>
      </m:oMathPara>
    </w:p>
    <w:p w:rsidR="00233EDA" w:rsidRPr="007D14F3" w:rsidRDefault="00233EDA" w:rsidP="009C7202">
      <w:pPr>
        <w:spacing w:before="120" w:after="120" w:line="240" w:lineRule="auto"/>
        <w:jc w:val="both"/>
        <w:rPr>
          <w:rFonts w:ascii="Times New Roman" w:eastAsiaTheme="majorEastAsia" w:hAnsi="Times New Roman" w:cs="Times New Roman"/>
          <w:sz w:val="24"/>
          <w:szCs w:val="24"/>
        </w:rPr>
      </w:pPr>
      <w:r w:rsidRPr="007D14F3">
        <w:rPr>
          <w:rFonts w:ascii="Times New Roman" w:eastAsiaTheme="majorEastAsia" w:hAnsi="Times New Roman" w:cs="Times New Roman"/>
          <w:sz w:val="24"/>
          <w:szCs w:val="24"/>
        </w:rPr>
        <w:t>The interpretation of the results is based on the coefficients of the variables in the regression model. The variables are discussed in the following subsections of the article.</w:t>
      </w:r>
    </w:p>
    <w:p w:rsidR="00AF66EF" w:rsidRPr="007D14F3" w:rsidRDefault="00AF66EF" w:rsidP="009C7202">
      <w:pPr>
        <w:pStyle w:val="Heading2"/>
        <w:numPr>
          <w:ilvl w:val="1"/>
          <w:numId w:val="3"/>
        </w:numPr>
        <w:spacing w:before="120" w:after="120" w:line="240" w:lineRule="auto"/>
        <w:rPr>
          <w:rFonts w:cs="Times New Roman"/>
          <w:szCs w:val="24"/>
        </w:rPr>
      </w:pPr>
      <w:bookmarkStart w:id="10" w:name="_Toc516128938"/>
      <w:r w:rsidRPr="007D14F3">
        <w:rPr>
          <w:rFonts w:cs="Times New Roman"/>
          <w:szCs w:val="24"/>
        </w:rPr>
        <w:t>Independent variables – board structure</w:t>
      </w:r>
      <w:bookmarkEnd w:id="10"/>
    </w:p>
    <w:p w:rsidR="000A569D" w:rsidRPr="007D14F3" w:rsidRDefault="000A569D" w:rsidP="009C7202">
      <w:pPr>
        <w:pStyle w:val="Heading3"/>
        <w:spacing w:before="120" w:after="120" w:line="240" w:lineRule="auto"/>
        <w:rPr>
          <w:rFonts w:cs="Times New Roman"/>
          <w:b/>
        </w:rPr>
      </w:pPr>
      <w:bookmarkStart w:id="11" w:name="_Toc508302102"/>
      <w:bookmarkStart w:id="12" w:name="_Toc509864254"/>
      <w:bookmarkStart w:id="13" w:name="_Toc513884449"/>
      <w:bookmarkStart w:id="14" w:name="_Toc516128939"/>
      <w:bookmarkStart w:id="15" w:name="_Toc508302100"/>
      <w:bookmarkStart w:id="16" w:name="_Toc509864252"/>
      <w:bookmarkStart w:id="17" w:name="_Toc513884447"/>
      <w:r w:rsidRPr="007D14F3">
        <w:rPr>
          <w:rFonts w:cs="Times New Roman"/>
          <w:b/>
        </w:rPr>
        <w:t>Classified board</w:t>
      </w:r>
      <w:bookmarkEnd w:id="11"/>
      <w:bookmarkEnd w:id="12"/>
      <w:bookmarkEnd w:id="13"/>
      <w:bookmarkEnd w:id="14"/>
    </w:p>
    <w:p w:rsidR="00AA5AA7" w:rsidRPr="007D14F3" w:rsidRDefault="00AA5AA7" w:rsidP="009C7202">
      <w:pPr>
        <w:spacing w:before="120" w:after="120" w:line="240" w:lineRule="auto"/>
        <w:jc w:val="both"/>
        <w:rPr>
          <w:rFonts w:ascii="Times New Roman" w:hAnsi="Times New Roman" w:cs="Times New Roman"/>
          <w:sz w:val="24"/>
          <w:szCs w:val="24"/>
        </w:rPr>
      </w:pPr>
      <w:r w:rsidRPr="007D14F3">
        <w:rPr>
          <w:rFonts w:ascii="Times New Roman" w:hAnsi="Times New Roman" w:cs="Times New Roman"/>
          <w:sz w:val="24"/>
          <w:szCs w:val="24"/>
        </w:rPr>
        <w:t>Nowadays, the prevailing structure among US firms is the classified board. The board is divided into separate classes, each elected once i</w:t>
      </w:r>
      <w:r w:rsidR="00DE7AEB" w:rsidRPr="007D14F3">
        <w:rPr>
          <w:rFonts w:ascii="Times New Roman" w:hAnsi="Times New Roman" w:cs="Times New Roman"/>
          <w:sz w:val="24"/>
          <w:szCs w:val="24"/>
        </w:rPr>
        <w:t xml:space="preserve">n a </w:t>
      </w:r>
      <w:r w:rsidR="00DE7AEB" w:rsidRPr="00060F9F">
        <w:rPr>
          <w:rFonts w:ascii="Times New Roman" w:hAnsi="Times New Roman" w:cs="Times New Roman"/>
          <w:noProof/>
          <w:sz w:val="24"/>
          <w:szCs w:val="24"/>
        </w:rPr>
        <w:t>few</w:t>
      </w:r>
      <w:r w:rsidR="00060F9F">
        <w:rPr>
          <w:rFonts w:ascii="Times New Roman" w:hAnsi="Times New Roman" w:cs="Times New Roman"/>
          <w:noProof/>
          <w:sz w:val="24"/>
          <w:szCs w:val="24"/>
        </w:rPr>
        <w:t xml:space="preserve"> </w:t>
      </w:r>
      <w:r w:rsidR="00DE7AEB" w:rsidRPr="00060F9F">
        <w:rPr>
          <w:rFonts w:ascii="Times New Roman" w:hAnsi="Times New Roman" w:cs="Times New Roman"/>
          <w:noProof/>
          <w:sz w:val="24"/>
          <w:szCs w:val="24"/>
        </w:rPr>
        <w:t>year</w:t>
      </w:r>
      <w:r w:rsidR="00DE7AEB" w:rsidRPr="007D14F3">
        <w:rPr>
          <w:rFonts w:ascii="Times New Roman" w:hAnsi="Times New Roman" w:cs="Times New Roman"/>
          <w:sz w:val="24"/>
          <w:szCs w:val="24"/>
        </w:rPr>
        <w:t xml:space="preserve"> time</w:t>
      </w:r>
      <w:r w:rsidRPr="007D14F3">
        <w:rPr>
          <w:rFonts w:ascii="Times New Roman" w:hAnsi="Times New Roman" w:cs="Times New Roman"/>
          <w:sz w:val="24"/>
          <w:szCs w:val="24"/>
        </w:rPr>
        <w:t xml:space="preserve">. This means that the board cannot be fully replaced in a hostile takeover, thus such structure works as an anti-takeover provision. </w:t>
      </w:r>
      <w:r w:rsidR="00E6374C" w:rsidRPr="007D14F3">
        <w:rPr>
          <w:rFonts w:ascii="Times New Roman" w:hAnsi="Times New Roman" w:cs="Times New Roman"/>
          <w:sz w:val="24"/>
          <w:szCs w:val="24"/>
        </w:rPr>
        <w:t xml:space="preserve">There are two theories regarding how board classification influences the CEO and </w:t>
      </w:r>
      <w:proofErr w:type="gramStart"/>
      <w:r w:rsidR="00E6374C" w:rsidRPr="007D14F3">
        <w:rPr>
          <w:rFonts w:ascii="Times New Roman" w:hAnsi="Times New Roman" w:cs="Times New Roman"/>
          <w:sz w:val="24"/>
          <w:szCs w:val="24"/>
        </w:rPr>
        <w:t>both of them</w:t>
      </w:r>
      <w:proofErr w:type="gramEnd"/>
      <w:r w:rsidR="00E6374C" w:rsidRPr="007D14F3">
        <w:rPr>
          <w:rFonts w:ascii="Times New Roman" w:hAnsi="Times New Roman" w:cs="Times New Roman"/>
          <w:sz w:val="24"/>
          <w:szCs w:val="24"/>
        </w:rPr>
        <w:t xml:space="preserve"> are empirically supported by several papers. According to the first one, </w:t>
      </w:r>
      <w:r w:rsidRPr="007D14F3">
        <w:rPr>
          <w:rFonts w:ascii="Times New Roman" w:hAnsi="Times New Roman" w:cs="Times New Roman"/>
          <w:sz w:val="24"/>
          <w:szCs w:val="24"/>
        </w:rPr>
        <w:t>classified boards entrench the CEO and protect him from the market discipline</w:t>
      </w:r>
      <w:r w:rsidR="00E6374C" w:rsidRPr="007D14F3">
        <w:rPr>
          <w:rFonts w:ascii="Times New Roman" w:hAnsi="Times New Roman" w:cs="Times New Roman"/>
          <w:sz w:val="24"/>
          <w:szCs w:val="24"/>
        </w:rPr>
        <w:t xml:space="preserve">, thus such companies undertake value-destroying acquisitions </w:t>
      </w:r>
      <w:r w:rsidRPr="007D14F3">
        <w:rPr>
          <w:rFonts w:ascii="Times New Roman" w:hAnsi="Times New Roman" w:cs="Times New Roman"/>
          <w:sz w:val="24"/>
          <w:szCs w:val="24"/>
        </w:rPr>
        <w:t>(</w:t>
      </w:r>
      <w:proofErr w:type="spellStart"/>
      <w:r w:rsidRPr="007D14F3">
        <w:rPr>
          <w:rFonts w:ascii="Times New Roman" w:hAnsi="Times New Roman" w:cs="Times New Roman"/>
          <w:sz w:val="24"/>
          <w:szCs w:val="24"/>
        </w:rPr>
        <w:t>Faleye</w:t>
      </w:r>
      <w:proofErr w:type="spellEnd"/>
      <w:r w:rsidRPr="007D14F3">
        <w:rPr>
          <w:rFonts w:ascii="Times New Roman" w:hAnsi="Times New Roman" w:cs="Times New Roman"/>
          <w:sz w:val="24"/>
          <w:szCs w:val="24"/>
        </w:rPr>
        <w:t xml:space="preserve">, </w:t>
      </w:r>
      <w:r w:rsidR="00E6374C" w:rsidRPr="007D14F3">
        <w:rPr>
          <w:rFonts w:ascii="Times New Roman" w:hAnsi="Times New Roman" w:cs="Times New Roman"/>
          <w:sz w:val="24"/>
          <w:szCs w:val="24"/>
        </w:rPr>
        <w:t xml:space="preserve">2006), </w:t>
      </w:r>
      <w:proofErr w:type="spellStart"/>
      <w:r w:rsidR="00E6374C" w:rsidRPr="007D14F3">
        <w:rPr>
          <w:rFonts w:ascii="Times New Roman" w:hAnsi="Times New Roman" w:cs="Times New Roman"/>
          <w:sz w:val="24"/>
          <w:szCs w:val="24"/>
        </w:rPr>
        <w:t>Bebchuk</w:t>
      </w:r>
      <w:proofErr w:type="spellEnd"/>
      <w:r w:rsidR="00E6374C" w:rsidRPr="007D14F3">
        <w:rPr>
          <w:rFonts w:ascii="Times New Roman" w:hAnsi="Times New Roman" w:cs="Times New Roman"/>
          <w:sz w:val="24"/>
          <w:szCs w:val="24"/>
        </w:rPr>
        <w:t xml:space="preserve"> and Cohen (2005),</w:t>
      </w:r>
      <w:r w:rsidRPr="007D14F3">
        <w:rPr>
          <w:rFonts w:ascii="Times New Roman" w:hAnsi="Times New Roman" w:cs="Times New Roman"/>
          <w:sz w:val="24"/>
          <w:szCs w:val="24"/>
        </w:rPr>
        <w:t xml:space="preserve"> (Masulis et al., 2007).</w:t>
      </w:r>
      <w:r w:rsidR="00E17FFC" w:rsidRPr="007D14F3">
        <w:rPr>
          <w:rFonts w:ascii="Times New Roman" w:hAnsi="Times New Roman" w:cs="Times New Roman"/>
          <w:sz w:val="24"/>
          <w:szCs w:val="24"/>
        </w:rPr>
        <w:t xml:space="preserve"> The other one states that </w:t>
      </w:r>
      <w:r w:rsidRPr="007D14F3">
        <w:rPr>
          <w:rFonts w:ascii="Times New Roman" w:hAnsi="Times New Roman" w:cs="Times New Roman"/>
          <w:sz w:val="24"/>
          <w:szCs w:val="24"/>
        </w:rPr>
        <w:t>classification can encourage managers to invest in long-term projects</w:t>
      </w:r>
      <w:r w:rsidR="007D7946" w:rsidRPr="007D14F3">
        <w:rPr>
          <w:rFonts w:ascii="Times New Roman" w:hAnsi="Times New Roman" w:cs="Times New Roman"/>
          <w:sz w:val="24"/>
          <w:szCs w:val="24"/>
        </w:rPr>
        <w:t xml:space="preserve"> by decreasing </w:t>
      </w:r>
      <w:r w:rsidRPr="007D14F3">
        <w:rPr>
          <w:rFonts w:ascii="Times New Roman" w:hAnsi="Times New Roman" w:cs="Times New Roman"/>
          <w:sz w:val="24"/>
          <w:szCs w:val="24"/>
        </w:rPr>
        <w:t xml:space="preserve">the takeover pressure (Stein, 1988). In the M&amp;A context, the managers could be reluctant to take up acquisitions that are dilutive, but value </w:t>
      </w:r>
      <w:r w:rsidRPr="00060F9F">
        <w:rPr>
          <w:rFonts w:ascii="Times New Roman" w:hAnsi="Times New Roman" w:cs="Times New Roman"/>
          <w:noProof/>
          <w:sz w:val="24"/>
          <w:szCs w:val="24"/>
        </w:rPr>
        <w:t>creative</w:t>
      </w:r>
      <w:r w:rsidRPr="007D14F3">
        <w:rPr>
          <w:rFonts w:ascii="Times New Roman" w:hAnsi="Times New Roman" w:cs="Times New Roman"/>
          <w:sz w:val="24"/>
          <w:szCs w:val="24"/>
        </w:rPr>
        <w:t xml:space="preserve"> in the long-run. </w:t>
      </w:r>
      <w:r w:rsidR="007D7946" w:rsidRPr="007D14F3">
        <w:rPr>
          <w:rFonts w:ascii="Times New Roman" w:hAnsi="Times New Roman" w:cs="Times New Roman"/>
          <w:sz w:val="24"/>
          <w:szCs w:val="24"/>
        </w:rPr>
        <w:t xml:space="preserve">A positive influence of such a board is documented in studies of </w:t>
      </w:r>
      <w:r w:rsidRPr="007D14F3">
        <w:rPr>
          <w:rFonts w:ascii="Times New Roman" w:hAnsi="Times New Roman" w:cs="Times New Roman"/>
          <w:sz w:val="24"/>
          <w:szCs w:val="24"/>
        </w:rPr>
        <w:t xml:space="preserve">Cremers et al. (2017) </w:t>
      </w:r>
      <w:r w:rsidR="007D7946" w:rsidRPr="007D14F3">
        <w:rPr>
          <w:rFonts w:ascii="Times New Roman" w:hAnsi="Times New Roman" w:cs="Times New Roman"/>
          <w:sz w:val="24"/>
          <w:szCs w:val="24"/>
        </w:rPr>
        <w:t xml:space="preserve">and </w:t>
      </w:r>
      <w:r w:rsidRPr="007D14F3">
        <w:rPr>
          <w:rFonts w:ascii="Times New Roman" w:hAnsi="Times New Roman" w:cs="Times New Roman"/>
          <w:sz w:val="24"/>
          <w:szCs w:val="24"/>
        </w:rPr>
        <w:t>Daines et al. (2016) suggest that a classified board can sportively affect Tobin’s q for early-life-cycle firms.</w:t>
      </w:r>
    </w:p>
    <w:p w:rsidR="00AA5AA7" w:rsidRPr="007D14F3" w:rsidRDefault="00AA5AA7" w:rsidP="009C7202">
      <w:pPr>
        <w:spacing w:before="120" w:after="120" w:line="240" w:lineRule="auto"/>
        <w:jc w:val="both"/>
        <w:rPr>
          <w:rFonts w:ascii="Times New Roman" w:hAnsi="Times New Roman" w:cs="Times New Roman"/>
          <w:sz w:val="24"/>
          <w:szCs w:val="24"/>
        </w:rPr>
      </w:pPr>
      <w:r w:rsidRPr="007D14F3">
        <w:rPr>
          <w:rFonts w:ascii="Times New Roman" w:hAnsi="Times New Roman" w:cs="Times New Roman"/>
          <w:sz w:val="24"/>
          <w:szCs w:val="24"/>
        </w:rPr>
        <w:t xml:space="preserve">As most of the recent studies support evidence that </w:t>
      </w:r>
      <w:r w:rsidR="00060F9F">
        <w:rPr>
          <w:rFonts w:ascii="Times New Roman" w:hAnsi="Times New Roman" w:cs="Times New Roman"/>
          <w:sz w:val="24"/>
          <w:szCs w:val="24"/>
        </w:rPr>
        <w:t xml:space="preserve">the </w:t>
      </w:r>
      <w:r w:rsidRPr="00060F9F">
        <w:rPr>
          <w:rFonts w:ascii="Times New Roman" w:hAnsi="Times New Roman" w:cs="Times New Roman"/>
          <w:noProof/>
          <w:sz w:val="24"/>
          <w:szCs w:val="24"/>
        </w:rPr>
        <w:t>staggered</w:t>
      </w:r>
      <w:r w:rsidRPr="007D14F3">
        <w:rPr>
          <w:rFonts w:ascii="Times New Roman" w:hAnsi="Times New Roman" w:cs="Times New Roman"/>
          <w:sz w:val="24"/>
          <w:szCs w:val="24"/>
        </w:rPr>
        <w:t xml:space="preserve"> board positively influences </w:t>
      </w:r>
      <w:r w:rsidR="00060F9F">
        <w:rPr>
          <w:rFonts w:ascii="Times New Roman" w:hAnsi="Times New Roman" w:cs="Times New Roman"/>
          <w:sz w:val="24"/>
          <w:szCs w:val="24"/>
        </w:rPr>
        <w:t xml:space="preserve">a </w:t>
      </w:r>
      <w:r w:rsidRPr="00060F9F">
        <w:rPr>
          <w:rFonts w:ascii="Times New Roman" w:hAnsi="Times New Roman" w:cs="Times New Roman"/>
          <w:noProof/>
          <w:sz w:val="24"/>
          <w:szCs w:val="24"/>
        </w:rPr>
        <w:t>company’s</w:t>
      </w:r>
      <w:r w:rsidRPr="007D14F3">
        <w:rPr>
          <w:rFonts w:ascii="Times New Roman" w:hAnsi="Times New Roman" w:cs="Times New Roman"/>
          <w:sz w:val="24"/>
          <w:szCs w:val="24"/>
        </w:rPr>
        <w:t xml:space="preserve"> va</w:t>
      </w:r>
      <w:r w:rsidR="005F0F5A" w:rsidRPr="007D14F3">
        <w:rPr>
          <w:rFonts w:ascii="Times New Roman" w:hAnsi="Times New Roman" w:cs="Times New Roman"/>
          <w:sz w:val="24"/>
          <w:szCs w:val="24"/>
        </w:rPr>
        <w:t>lue and management choices the following hypothesis is formed.</w:t>
      </w:r>
    </w:p>
    <w:p w:rsidR="009742EB" w:rsidRPr="007D14F3" w:rsidRDefault="009742EB" w:rsidP="009C7202">
      <w:pPr>
        <w:spacing w:before="120" w:after="120" w:line="240" w:lineRule="auto"/>
        <w:jc w:val="both"/>
        <w:rPr>
          <w:rFonts w:ascii="Times New Roman" w:hAnsi="Times New Roman" w:cs="Times New Roman"/>
          <w:b/>
          <w:sz w:val="24"/>
          <w:szCs w:val="24"/>
        </w:rPr>
      </w:pPr>
      <w:bookmarkStart w:id="18" w:name="_Toc516128940"/>
      <w:r w:rsidRPr="007D14F3">
        <w:rPr>
          <w:rFonts w:ascii="Times New Roman" w:hAnsi="Times New Roman" w:cs="Times New Roman"/>
          <w:b/>
          <w:sz w:val="24"/>
          <w:szCs w:val="24"/>
        </w:rPr>
        <w:t xml:space="preserve">Hypothesis 1: A classified board has a </w:t>
      </w:r>
      <w:r w:rsidRPr="007D14F3">
        <w:rPr>
          <w:rFonts w:ascii="Times New Roman" w:hAnsi="Times New Roman" w:cs="Times New Roman"/>
          <w:b/>
          <w:i/>
          <w:sz w:val="24"/>
          <w:szCs w:val="24"/>
        </w:rPr>
        <w:t xml:space="preserve">positive </w:t>
      </w:r>
      <w:r w:rsidRPr="007D14F3">
        <w:rPr>
          <w:rFonts w:ascii="Times New Roman" w:hAnsi="Times New Roman" w:cs="Times New Roman"/>
          <w:b/>
          <w:sz w:val="24"/>
          <w:szCs w:val="24"/>
        </w:rPr>
        <w:t>influence on the M&amp;A performance</w:t>
      </w:r>
    </w:p>
    <w:bookmarkEnd w:id="18"/>
    <w:p w:rsidR="000A569D" w:rsidRPr="007D14F3" w:rsidRDefault="000A569D" w:rsidP="009C7202">
      <w:pPr>
        <w:spacing w:before="120" w:after="120" w:line="240" w:lineRule="auto"/>
        <w:jc w:val="both"/>
        <w:rPr>
          <w:rFonts w:ascii="Times New Roman" w:eastAsiaTheme="majorEastAsia" w:hAnsi="Times New Roman" w:cs="Times New Roman"/>
          <w:sz w:val="24"/>
          <w:szCs w:val="24"/>
        </w:rPr>
      </w:pPr>
      <w:r w:rsidRPr="007D14F3">
        <w:rPr>
          <w:rFonts w:ascii="Times New Roman" w:eastAsiaTheme="majorEastAsia" w:hAnsi="Times New Roman" w:cs="Times New Roman"/>
          <w:sz w:val="24"/>
          <w:szCs w:val="24"/>
        </w:rPr>
        <w:t xml:space="preserve">In empirical research papers, a classified system of the board is usually included in models as a </w:t>
      </w:r>
      <w:r w:rsidRPr="00060F9F">
        <w:rPr>
          <w:rFonts w:ascii="Times New Roman" w:eastAsiaTheme="majorEastAsia" w:hAnsi="Times New Roman" w:cs="Times New Roman"/>
          <w:noProof/>
          <w:sz w:val="24"/>
          <w:szCs w:val="24"/>
        </w:rPr>
        <w:t>binomial</w:t>
      </w:r>
      <w:r w:rsidRPr="007D14F3">
        <w:rPr>
          <w:rFonts w:ascii="Times New Roman" w:eastAsiaTheme="majorEastAsia" w:hAnsi="Times New Roman" w:cs="Times New Roman"/>
          <w:sz w:val="24"/>
          <w:szCs w:val="24"/>
        </w:rPr>
        <w:t xml:space="preserve"> variable (</w:t>
      </w:r>
      <w:proofErr w:type="spellStart"/>
      <w:r w:rsidRPr="007D14F3">
        <w:rPr>
          <w:rFonts w:ascii="Times New Roman" w:eastAsiaTheme="majorEastAsia" w:hAnsi="Times New Roman" w:cs="Times New Roman"/>
          <w:sz w:val="24"/>
          <w:szCs w:val="24"/>
        </w:rPr>
        <w:t>Faleye</w:t>
      </w:r>
      <w:proofErr w:type="spellEnd"/>
      <w:r w:rsidRPr="007D14F3">
        <w:rPr>
          <w:rFonts w:ascii="Times New Roman" w:eastAsiaTheme="majorEastAsia" w:hAnsi="Times New Roman" w:cs="Times New Roman"/>
          <w:sz w:val="24"/>
          <w:szCs w:val="24"/>
        </w:rPr>
        <w:t>, 2006), (</w:t>
      </w:r>
      <w:proofErr w:type="spellStart"/>
      <w:r w:rsidRPr="007D14F3">
        <w:rPr>
          <w:rFonts w:ascii="Times New Roman" w:eastAsiaTheme="majorEastAsia" w:hAnsi="Times New Roman" w:cs="Times New Roman"/>
          <w:sz w:val="24"/>
          <w:szCs w:val="24"/>
        </w:rPr>
        <w:t>Masulis</w:t>
      </w:r>
      <w:proofErr w:type="spellEnd"/>
      <w:r w:rsidRPr="007D14F3">
        <w:rPr>
          <w:rFonts w:ascii="Times New Roman" w:eastAsiaTheme="majorEastAsia" w:hAnsi="Times New Roman" w:cs="Times New Roman"/>
          <w:sz w:val="24"/>
          <w:szCs w:val="24"/>
        </w:rPr>
        <w:t xml:space="preserve"> et al., 2007), (</w:t>
      </w:r>
      <w:proofErr w:type="spellStart"/>
      <w:r w:rsidRPr="007D14F3">
        <w:rPr>
          <w:rFonts w:ascii="Times New Roman" w:eastAsiaTheme="majorEastAsia" w:hAnsi="Times New Roman" w:cs="Times New Roman"/>
          <w:sz w:val="24"/>
          <w:szCs w:val="24"/>
        </w:rPr>
        <w:t>Bebchuk</w:t>
      </w:r>
      <w:proofErr w:type="spellEnd"/>
      <w:r w:rsidRPr="007D14F3">
        <w:rPr>
          <w:rFonts w:ascii="Times New Roman" w:eastAsiaTheme="majorEastAsia" w:hAnsi="Times New Roman" w:cs="Times New Roman"/>
          <w:sz w:val="24"/>
          <w:szCs w:val="24"/>
        </w:rPr>
        <w:t xml:space="preserve"> and Cohen, 2005). Following mentioned studies, a dummy variable </w:t>
      </w:r>
      <w:r w:rsidR="00C51AFE" w:rsidRPr="007D14F3">
        <w:rPr>
          <w:rFonts w:ascii="Times New Roman" w:eastAsiaTheme="majorEastAsia" w:hAnsi="Times New Roman" w:cs="Times New Roman"/>
          <w:sz w:val="24"/>
          <w:szCs w:val="24"/>
        </w:rPr>
        <w:t>‘Classified’</w:t>
      </w:r>
      <w:r w:rsidRPr="007D14F3">
        <w:rPr>
          <w:rFonts w:ascii="Times New Roman" w:eastAsiaTheme="majorEastAsia" w:hAnsi="Times New Roman" w:cs="Times New Roman"/>
          <w:sz w:val="24"/>
          <w:szCs w:val="24"/>
        </w:rPr>
        <w:t xml:space="preserve"> </w:t>
      </w:r>
      <w:r w:rsidR="005576FF" w:rsidRPr="007D14F3">
        <w:rPr>
          <w:rFonts w:ascii="Times New Roman" w:eastAsiaTheme="majorEastAsia" w:hAnsi="Times New Roman" w:cs="Times New Roman"/>
          <w:sz w:val="24"/>
          <w:szCs w:val="24"/>
        </w:rPr>
        <w:t xml:space="preserve">is created and is </w:t>
      </w:r>
      <w:r w:rsidRPr="007D14F3">
        <w:rPr>
          <w:rFonts w:ascii="Times New Roman" w:eastAsiaTheme="majorEastAsia" w:hAnsi="Times New Roman" w:cs="Times New Roman"/>
          <w:sz w:val="24"/>
          <w:szCs w:val="24"/>
        </w:rPr>
        <w:t>equal to ‘1’ when the board is classified at the end of the year prior to the acquisition</w:t>
      </w:r>
      <w:r w:rsidR="005576FF" w:rsidRPr="007D14F3">
        <w:rPr>
          <w:rFonts w:ascii="Times New Roman" w:eastAsiaTheme="majorEastAsia" w:hAnsi="Times New Roman" w:cs="Times New Roman"/>
          <w:sz w:val="24"/>
          <w:szCs w:val="24"/>
        </w:rPr>
        <w:t xml:space="preserve"> announcement and ‘0’ otherwise.</w:t>
      </w:r>
    </w:p>
    <w:p w:rsidR="009742EB" w:rsidRPr="007D14F3" w:rsidRDefault="009742EB" w:rsidP="009C7202">
      <w:pPr>
        <w:pStyle w:val="Heading3"/>
        <w:spacing w:before="120" w:after="120" w:line="240" w:lineRule="auto"/>
        <w:rPr>
          <w:rFonts w:cs="Times New Roman"/>
          <w:b/>
        </w:rPr>
      </w:pPr>
      <w:bookmarkStart w:id="19" w:name="_Toc516128930"/>
      <w:bookmarkEnd w:id="15"/>
      <w:bookmarkEnd w:id="16"/>
      <w:bookmarkEnd w:id="17"/>
      <w:r w:rsidRPr="007D14F3">
        <w:rPr>
          <w:rFonts w:cs="Times New Roman"/>
          <w:b/>
        </w:rPr>
        <w:t>Board size</w:t>
      </w:r>
      <w:bookmarkEnd w:id="19"/>
    </w:p>
    <w:p w:rsidR="00596740" w:rsidRPr="007D14F3" w:rsidRDefault="009742EB" w:rsidP="009C7202">
      <w:pPr>
        <w:spacing w:before="120" w:after="120" w:line="240" w:lineRule="auto"/>
        <w:jc w:val="both"/>
        <w:rPr>
          <w:rFonts w:ascii="Times New Roman" w:hAnsi="Times New Roman" w:cs="Times New Roman"/>
          <w:sz w:val="24"/>
          <w:szCs w:val="24"/>
        </w:rPr>
      </w:pPr>
      <w:r w:rsidRPr="007D14F3">
        <w:rPr>
          <w:rFonts w:ascii="Times New Roman" w:hAnsi="Times New Roman" w:cs="Times New Roman"/>
          <w:sz w:val="24"/>
          <w:szCs w:val="24"/>
        </w:rPr>
        <w:t xml:space="preserve">Several papers examine the influence of board size on a company’s performance. Lipton and Lorsch (1992) and Jensen (1993) criticize large boards as may face problems with communication or coordination of decision making. In a large group, the responsibility of the members is diluted, thus they may be less involved in the decision-making process. Furthermore, in a bigger </w:t>
      </w:r>
      <w:r w:rsidRPr="007D14F3">
        <w:rPr>
          <w:rFonts w:ascii="Times New Roman" w:hAnsi="Times New Roman" w:cs="Times New Roman"/>
          <w:noProof/>
          <w:sz w:val="24"/>
          <w:szCs w:val="24"/>
        </w:rPr>
        <w:t>group,</w:t>
      </w:r>
      <w:r w:rsidRPr="007D14F3">
        <w:rPr>
          <w:rFonts w:ascii="Times New Roman" w:hAnsi="Times New Roman" w:cs="Times New Roman"/>
          <w:sz w:val="24"/>
          <w:szCs w:val="24"/>
        </w:rPr>
        <w:t xml:space="preserve"> a group conformity problem may become more apparent. The board members can feel uncomfortable to raise contradictory opinions and oppose the majority. Eisenber</w:t>
      </w:r>
      <w:r w:rsidR="00BC0FA8" w:rsidRPr="007D14F3">
        <w:rPr>
          <w:rFonts w:ascii="Times New Roman" w:hAnsi="Times New Roman" w:cs="Times New Roman"/>
          <w:sz w:val="24"/>
          <w:szCs w:val="24"/>
        </w:rPr>
        <w:t>g</w:t>
      </w:r>
      <w:r w:rsidRPr="007D14F3">
        <w:rPr>
          <w:rFonts w:ascii="Times New Roman" w:hAnsi="Times New Roman" w:cs="Times New Roman"/>
          <w:sz w:val="24"/>
          <w:szCs w:val="24"/>
        </w:rPr>
        <w:t xml:space="preserve"> et al. (1997) find an empirical evidence to support the hypothesis that large boards negatively affect </w:t>
      </w:r>
      <w:r w:rsidR="00060F9F">
        <w:rPr>
          <w:rFonts w:ascii="Times New Roman" w:hAnsi="Times New Roman" w:cs="Times New Roman"/>
          <w:sz w:val="24"/>
          <w:szCs w:val="24"/>
        </w:rPr>
        <w:t xml:space="preserve">a </w:t>
      </w:r>
      <w:r w:rsidRPr="00060F9F">
        <w:rPr>
          <w:rFonts w:ascii="Times New Roman" w:hAnsi="Times New Roman" w:cs="Times New Roman"/>
          <w:noProof/>
          <w:sz w:val="24"/>
          <w:szCs w:val="24"/>
        </w:rPr>
        <w:t>firm’s</w:t>
      </w:r>
      <w:r w:rsidRPr="007D14F3">
        <w:rPr>
          <w:rFonts w:ascii="Times New Roman" w:hAnsi="Times New Roman" w:cs="Times New Roman"/>
          <w:sz w:val="24"/>
          <w:szCs w:val="24"/>
        </w:rPr>
        <w:t xml:space="preserve"> </w:t>
      </w:r>
      <w:r w:rsidRPr="007D14F3">
        <w:rPr>
          <w:rFonts w:ascii="Times New Roman" w:hAnsi="Times New Roman" w:cs="Times New Roman"/>
          <w:sz w:val="24"/>
          <w:szCs w:val="24"/>
        </w:rPr>
        <w:lastRenderedPageBreak/>
        <w:t xml:space="preserve">performance. They show that companies with larger boards have lower industry-adjusted ROA. Similarly, </w:t>
      </w:r>
      <w:proofErr w:type="spellStart"/>
      <w:r w:rsidRPr="007D14F3">
        <w:rPr>
          <w:rFonts w:ascii="Times New Roman" w:hAnsi="Times New Roman" w:cs="Times New Roman"/>
          <w:sz w:val="24"/>
          <w:szCs w:val="24"/>
        </w:rPr>
        <w:t>Yermak</w:t>
      </w:r>
      <w:proofErr w:type="spellEnd"/>
      <w:r w:rsidRPr="007D14F3">
        <w:rPr>
          <w:rFonts w:ascii="Times New Roman" w:hAnsi="Times New Roman" w:cs="Times New Roman"/>
          <w:sz w:val="24"/>
          <w:szCs w:val="24"/>
        </w:rPr>
        <w:t xml:space="preserve"> (1995) and </w:t>
      </w:r>
      <w:proofErr w:type="spellStart"/>
      <w:r w:rsidRPr="007D14F3">
        <w:rPr>
          <w:rFonts w:ascii="Times New Roman" w:hAnsi="Times New Roman" w:cs="Times New Roman"/>
          <w:sz w:val="24"/>
          <w:szCs w:val="24"/>
        </w:rPr>
        <w:t>Faleye</w:t>
      </w:r>
      <w:proofErr w:type="spellEnd"/>
      <w:r w:rsidRPr="007D14F3">
        <w:rPr>
          <w:rFonts w:ascii="Times New Roman" w:hAnsi="Times New Roman" w:cs="Times New Roman"/>
          <w:sz w:val="24"/>
          <w:szCs w:val="24"/>
        </w:rPr>
        <w:t xml:space="preserve"> (2006) investigate US companies and find a negative </w:t>
      </w:r>
      <w:r w:rsidRPr="00060F9F">
        <w:rPr>
          <w:rFonts w:ascii="Times New Roman" w:hAnsi="Times New Roman" w:cs="Times New Roman"/>
          <w:noProof/>
          <w:sz w:val="24"/>
          <w:szCs w:val="24"/>
        </w:rPr>
        <w:t>relation</w:t>
      </w:r>
      <w:r w:rsidR="00060F9F">
        <w:rPr>
          <w:rFonts w:ascii="Times New Roman" w:hAnsi="Times New Roman" w:cs="Times New Roman"/>
          <w:noProof/>
          <w:sz w:val="24"/>
          <w:szCs w:val="24"/>
        </w:rPr>
        <w:t>ship</w:t>
      </w:r>
      <w:r w:rsidRPr="007D14F3">
        <w:rPr>
          <w:rFonts w:ascii="Times New Roman" w:hAnsi="Times New Roman" w:cs="Times New Roman"/>
          <w:sz w:val="24"/>
          <w:szCs w:val="24"/>
        </w:rPr>
        <w:t xml:space="preserve"> between the </w:t>
      </w:r>
      <w:r w:rsidRPr="007D14F3">
        <w:rPr>
          <w:rFonts w:ascii="Times New Roman" w:hAnsi="Times New Roman" w:cs="Times New Roman"/>
          <w:noProof/>
          <w:sz w:val="24"/>
          <w:szCs w:val="24"/>
        </w:rPr>
        <w:t>size</w:t>
      </w:r>
      <w:r w:rsidRPr="007D14F3">
        <w:rPr>
          <w:rFonts w:ascii="Times New Roman" w:hAnsi="Times New Roman" w:cs="Times New Roman"/>
          <w:sz w:val="24"/>
          <w:szCs w:val="24"/>
        </w:rPr>
        <w:t xml:space="preserve"> of the board and Tobin’s q. Masulis et al. (2007) conclude that </w:t>
      </w:r>
      <w:r w:rsidR="00060F9F">
        <w:rPr>
          <w:rFonts w:ascii="Times New Roman" w:hAnsi="Times New Roman" w:cs="Times New Roman"/>
          <w:sz w:val="24"/>
          <w:szCs w:val="24"/>
        </w:rPr>
        <w:t xml:space="preserve">the </w:t>
      </w:r>
      <w:r w:rsidRPr="00060F9F">
        <w:rPr>
          <w:rFonts w:ascii="Times New Roman" w:hAnsi="Times New Roman" w:cs="Times New Roman"/>
          <w:noProof/>
          <w:sz w:val="24"/>
          <w:szCs w:val="24"/>
        </w:rPr>
        <w:t>impact</w:t>
      </w:r>
      <w:r w:rsidRPr="007D14F3">
        <w:rPr>
          <w:rFonts w:ascii="Times New Roman" w:hAnsi="Times New Roman" w:cs="Times New Roman"/>
          <w:sz w:val="24"/>
          <w:szCs w:val="24"/>
        </w:rPr>
        <w:t xml:space="preserve"> of the number of </w:t>
      </w:r>
      <w:r w:rsidRPr="009C7202">
        <w:rPr>
          <w:rFonts w:ascii="Times New Roman" w:hAnsi="Times New Roman" w:cs="Times New Roman"/>
          <w:noProof/>
          <w:sz w:val="24"/>
          <w:szCs w:val="24"/>
        </w:rPr>
        <w:t>board</w:t>
      </w:r>
      <w:r w:rsidRPr="007D14F3">
        <w:rPr>
          <w:rFonts w:ascii="Times New Roman" w:hAnsi="Times New Roman" w:cs="Times New Roman"/>
          <w:sz w:val="24"/>
          <w:szCs w:val="24"/>
        </w:rPr>
        <w:t xml:space="preserve"> members on 5-day bidder’s CAR is statistically insignificant in the </w:t>
      </w:r>
      <w:proofErr w:type="spellStart"/>
      <w:r w:rsidRPr="007D14F3">
        <w:rPr>
          <w:rFonts w:ascii="Times New Roman" w:hAnsi="Times New Roman" w:cs="Times New Roman"/>
          <w:sz w:val="24"/>
          <w:szCs w:val="24"/>
        </w:rPr>
        <w:t>analysed</w:t>
      </w:r>
      <w:proofErr w:type="spellEnd"/>
      <w:r w:rsidRPr="007D14F3">
        <w:rPr>
          <w:rFonts w:ascii="Times New Roman" w:hAnsi="Times New Roman" w:cs="Times New Roman"/>
          <w:sz w:val="24"/>
          <w:szCs w:val="24"/>
        </w:rPr>
        <w:t xml:space="preserve"> sample. To sum up, most of the studies document that the board size has a negative influence on the company’s performance. Lack of efficiency in the </w:t>
      </w:r>
      <w:r w:rsidRPr="007D14F3">
        <w:rPr>
          <w:rFonts w:ascii="Times New Roman" w:hAnsi="Times New Roman" w:cs="Times New Roman"/>
          <w:noProof/>
          <w:sz w:val="24"/>
          <w:szCs w:val="24"/>
        </w:rPr>
        <w:t>decision-making</w:t>
      </w:r>
      <w:r w:rsidRPr="007D14F3">
        <w:rPr>
          <w:rFonts w:ascii="Times New Roman" w:hAnsi="Times New Roman" w:cs="Times New Roman"/>
          <w:sz w:val="24"/>
          <w:szCs w:val="24"/>
        </w:rPr>
        <w:t xml:space="preserve"> process of the board may also influence M&amp;A decisions and therefore their performance, which leads to the following hypothesis.</w:t>
      </w:r>
    </w:p>
    <w:p w:rsidR="00596740" w:rsidRPr="007D14F3" w:rsidRDefault="00596740" w:rsidP="009C7202">
      <w:pPr>
        <w:spacing w:before="120" w:after="120" w:line="240" w:lineRule="auto"/>
        <w:jc w:val="both"/>
        <w:rPr>
          <w:rFonts w:ascii="Times New Roman" w:hAnsi="Times New Roman" w:cs="Times New Roman"/>
          <w:b/>
          <w:sz w:val="24"/>
          <w:szCs w:val="24"/>
        </w:rPr>
      </w:pPr>
      <w:r w:rsidRPr="007D14F3">
        <w:rPr>
          <w:rFonts w:ascii="Times New Roman" w:hAnsi="Times New Roman" w:cs="Times New Roman"/>
          <w:b/>
          <w:sz w:val="24"/>
          <w:szCs w:val="24"/>
        </w:rPr>
        <w:t xml:space="preserve">Hypothesis 2: The board size has a </w:t>
      </w:r>
      <w:r w:rsidRPr="007D14F3">
        <w:rPr>
          <w:rFonts w:ascii="Times New Roman" w:hAnsi="Times New Roman" w:cs="Times New Roman"/>
          <w:b/>
          <w:i/>
          <w:sz w:val="24"/>
          <w:szCs w:val="24"/>
        </w:rPr>
        <w:t>negative</w:t>
      </w:r>
      <w:r w:rsidRPr="007D14F3">
        <w:rPr>
          <w:rFonts w:ascii="Times New Roman" w:hAnsi="Times New Roman" w:cs="Times New Roman"/>
          <w:b/>
          <w:sz w:val="24"/>
          <w:szCs w:val="24"/>
        </w:rPr>
        <w:t xml:space="preserve"> influence on the M&amp;A performance</w:t>
      </w:r>
    </w:p>
    <w:p w:rsidR="00D240A5" w:rsidRPr="007D14F3" w:rsidRDefault="00233EDA" w:rsidP="009C7202">
      <w:pPr>
        <w:spacing w:before="120" w:after="120" w:line="240" w:lineRule="auto"/>
        <w:jc w:val="both"/>
        <w:rPr>
          <w:rFonts w:ascii="Times New Roman" w:hAnsi="Times New Roman" w:cs="Times New Roman"/>
          <w:sz w:val="24"/>
          <w:szCs w:val="24"/>
        </w:rPr>
      </w:pPr>
      <w:r w:rsidRPr="007D14F3">
        <w:rPr>
          <w:rFonts w:ascii="Times New Roman" w:hAnsi="Times New Roman" w:cs="Times New Roman"/>
          <w:sz w:val="24"/>
          <w:szCs w:val="24"/>
        </w:rPr>
        <w:t>T</w:t>
      </w:r>
      <w:r w:rsidR="00D240A5" w:rsidRPr="007D14F3">
        <w:rPr>
          <w:rFonts w:ascii="Times New Roman" w:hAnsi="Times New Roman" w:cs="Times New Roman"/>
          <w:sz w:val="24"/>
          <w:szCs w:val="24"/>
        </w:rPr>
        <w:t>he variable</w:t>
      </w:r>
      <w:r w:rsidRPr="007D14F3">
        <w:rPr>
          <w:rFonts w:ascii="Times New Roman" w:hAnsi="Times New Roman" w:cs="Times New Roman"/>
          <w:sz w:val="24"/>
          <w:szCs w:val="24"/>
        </w:rPr>
        <w:t xml:space="preserve"> </w:t>
      </w:r>
      <w:r w:rsidR="00C51AFE" w:rsidRPr="007D14F3">
        <w:rPr>
          <w:rFonts w:ascii="Times New Roman" w:hAnsi="Times New Roman" w:cs="Times New Roman"/>
          <w:sz w:val="24"/>
          <w:szCs w:val="24"/>
        </w:rPr>
        <w:t>‘Board size’</w:t>
      </w:r>
      <w:r w:rsidRPr="007D14F3">
        <w:rPr>
          <w:rFonts w:ascii="Times New Roman" w:hAnsi="Times New Roman" w:cs="Times New Roman"/>
          <w:sz w:val="24"/>
          <w:szCs w:val="24"/>
        </w:rPr>
        <w:t xml:space="preserve"> is defined</w:t>
      </w:r>
      <w:r w:rsidR="00D240A5" w:rsidRPr="007D14F3">
        <w:rPr>
          <w:rFonts w:ascii="Times New Roman" w:hAnsi="Times New Roman" w:cs="Times New Roman"/>
          <w:sz w:val="24"/>
          <w:szCs w:val="24"/>
        </w:rPr>
        <w:t xml:space="preserve"> as the number of board members at the end of the year prior t</w:t>
      </w:r>
      <w:r w:rsidR="008A7C98" w:rsidRPr="007D14F3">
        <w:rPr>
          <w:rFonts w:ascii="Times New Roman" w:hAnsi="Times New Roman" w:cs="Times New Roman"/>
          <w:sz w:val="24"/>
          <w:szCs w:val="24"/>
        </w:rPr>
        <w:t>o the acquisition announcement.</w:t>
      </w:r>
    </w:p>
    <w:p w:rsidR="000A569D" w:rsidRPr="007D14F3" w:rsidRDefault="000A569D" w:rsidP="009C7202">
      <w:pPr>
        <w:pStyle w:val="Heading3"/>
        <w:spacing w:before="120" w:after="120" w:line="240" w:lineRule="auto"/>
        <w:rPr>
          <w:rFonts w:cs="Times New Roman"/>
          <w:b/>
        </w:rPr>
      </w:pPr>
      <w:bookmarkStart w:id="20" w:name="_Toc508302104"/>
      <w:bookmarkStart w:id="21" w:name="_Toc509864256"/>
      <w:bookmarkStart w:id="22" w:name="_Toc513884451"/>
      <w:bookmarkStart w:id="23" w:name="_Toc516128941"/>
      <w:bookmarkStart w:id="24" w:name="_Toc508302103"/>
      <w:bookmarkStart w:id="25" w:name="_Toc509864255"/>
      <w:bookmarkStart w:id="26" w:name="_Toc513884450"/>
      <w:r w:rsidRPr="007D14F3">
        <w:rPr>
          <w:rFonts w:cs="Times New Roman"/>
          <w:b/>
        </w:rPr>
        <w:t>Independent directors</w:t>
      </w:r>
      <w:bookmarkEnd w:id="20"/>
      <w:bookmarkEnd w:id="21"/>
      <w:bookmarkEnd w:id="22"/>
      <w:bookmarkEnd w:id="23"/>
    </w:p>
    <w:p w:rsidR="009742EB" w:rsidRPr="007D14F3" w:rsidRDefault="009742EB" w:rsidP="009C7202">
      <w:pPr>
        <w:spacing w:before="120" w:after="120" w:line="240" w:lineRule="auto"/>
        <w:jc w:val="both"/>
        <w:rPr>
          <w:rFonts w:ascii="Times New Roman" w:hAnsi="Times New Roman" w:cs="Times New Roman"/>
          <w:sz w:val="24"/>
          <w:szCs w:val="24"/>
        </w:rPr>
      </w:pPr>
      <w:r w:rsidRPr="007D14F3">
        <w:rPr>
          <w:rFonts w:ascii="Times New Roman" w:hAnsi="Times New Roman" w:cs="Times New Roman"/>
          <w:sz w:val="24"/>
          <w:szCs w:val="24"/>
        </w:rPr>
        <w:t>The board’s role is to represent and act in shareholders’ interest. However, inside directors tend to be dependent on the top management and do not fulfil their controlling function efficiently. Boards will outside directors are found to be more responsive and more likely to dismiss the CEO in that case of poor performance (Weisbach, 1998). On the other hand, with inside directors, a board may benefit from more effective communicati</w:t>
      </w:r>
      <w:r w:rsidR="00E17FFC" w:rsidRPr="007D14F3">
        <w:rPr>
          <w:rFonts w:ascii="Times New Roman" w:hAnsi="Times New Roman" w:cs="Times New Roman"/>
          <w:sz w:val="24"/>
          <w:szCs w:val="24"/>
        </w:rPr>
        <w:t>on and cooperation</w:t>
      </w:r>
      <w:r w:rsidRPr="007D14F3">
        <w:rPr>
          <w:rFonts w:ascii="Times New Roman" w:hAnsi="Times New Roman" w:cs="Times New Roman"/>
          <w:sz w:val="24"/>
          <w:szCs w:val="24"/>
        </w:rPr>
        <w:t xml:space="preserve"> (</w:t>
      </w:r>
      <w:proofErr w:type="spellStart"/>
      <w:r w:rsidRPr="007D14F3">
        <w:rPr>
          <w:rFonts w:ascii="Times New Roman" w:hAnsi="Times New Roman" w:cs="Times New Roman"/>
          <w:sz w:val="24"/>
          <w:szCs w:val="24"/>
        </w:rPr>
        <w:t>Vancil</w:t>
      </w:r>
      <w:proofErr w:type="spellEnd"/>
      <w:r w:rsidRPr="007D14F3">
        <w:rPr>
          <w:rFonts w:ascii="Times New Roman" w:hAnsi="Times New Roman" w:cs="Times New Roman"/>
          <w:sz w:val="24"/>
          <w:szCs w:val="24"/>
        </w:rPr>
        <w:t xml:space="preserve">, 1987). The empirical research shows various evidence. Hermalin and Weisbach (1991) show no significant relation between board composition and company’s performance measured as </w:t>
      </w:r>
      <w:r w:rsidRPr="007D14F3">
        <w:rPr>
          <w:rFonts w:ascii="Times New Roman" w:hAnsi="Times New Roman" w:cs="Times New Roman"/>
          <w:noProof/>
          <w:sz w:val="24"/>
          <w:szCs w:val="24"/>
        </w:rPr>
        <w:t>Tobin’s</w:t>
      </w:r>
      <w:r w:rsidRPr="007D14F3">
        <w:rPr>
          <w:rFonts w:ascii="Times New Roman" w:hAnsi="Times New Roman" w:cs="Times New Roman"/>
          <w:sz w:val="24"/>
          <w:szCs w:val="24"/>
        </w:rPr>
        <w:t xml:space="preserve"> q.</w:t>
      </w:r>
    </w:p>
    <w:p w:rsidR="009742EB" w:rsidRPr="007D14F3" w:rsidRDefault="009742EB" w:rsidP="009C7202">
      <w:pPr>
        <w:spacing w:before="120" w:after="120" w:line="240" w:lineRule="auto"/>
        <w:jc w:val="both"/>
        <w:rPr>
          <w:rFonts w:ascii="Times New Roman" w:hAnsi="Times New Roman" w:cs="Times New Roman"/>
          <w:sz w:val="24"/>
          <w:szCs w:val="24"/>
        </w:rPr>
      </w:pPr>
      <w:r w:rsidRPr="007D14F3">
        <w:rPr>
          <w:rFonts w:ascii="Times New Roman" w:hAnsi="Times New Roman" w:cs="Times New Roman"/>
          <w:sz w:val="24"/>
          <w:szCs w:val="24"/>
        </w:rPr>
        <w:t xml:space="preserve">Byrd and Hickman (1992) examine the </w:t>
      </w:r>
      <w:r w:rsidRPr="007D14F3">
        <w:rPr>
          <w:rFonts w:ascii="Times New Roman" w:hAnsi="Times New Roman" w:cs="Times New Roman"/>
          <w:noProof/>
          <w:sz w:val="24"/>
          <w:szCs w:val="24"/>
        </w:rPr>
        <w:t>relation</w:t>
      </w:r>
      <w:r w:rsidRPr="007D14F3">
        <w:rPr>
          <w:rFonts w:ascii="Times New Roman" w:hAnsi="Times New Roman" w:cs="Times New Roman"/>
          <w:sz w:val="24"/>
          <w:szCs w:val="24"/>
        </w:rPr>
        <w:t xml:space="preserve"> between the proportion of independent directors on board of acquiring companies and their abnormal returns around the day of announcement of a tender offer. They find an evidence that if a company has more than 50% of independent outside directors, </w:t>
      </w:r>
      <w:r w:rsidRPr="00060F9F">
        <w:rPr>
          <w:rFonts w:ascii="Times New Roman" w:hAnsi="Times New Roman" w:cs="Times New Roman"/>
          <w:noProof/>
          <w:sz w:val="24"/>
          <w:szCs w:val="24"/>
        </w:rPr>
        <w:t>i</w:t>
      </w:r>
      <w:r w:rsidR="00060F9F">
        <w:rPr>
          <w:rFonts w:ascii="Times New Roman" w:hAnsi="Times New Roman" w:cs="Times New Roman"/>
          <w:noProof/>
          <w:sz w:val="24"/>
          <w:szCs w:val="24"/>
        </w:rPr>
        <w:t>t</w:t>
      </w:r>
      <w:r w:rsidRPr="007D14F3">
        <w:rPr>
          <w:rFonts w:ascii="Times New Roman" w:hAnsi="Times New Roman" w:cs="Times New Roman"/>
          <w:sz w:val="24"/>
          <w:szCs w:val="24"/>
        </w:rPr>
        <w:t xml:space="preserve"> has significantly higher abnormal returns around the announcement date. Miletkov et al. (2015) and Amar et al. (2011) investigate the relation between the percentage of independent board members and acquirer’s 3-day CAR around the announcement date. They find an evidence that bidders with more independent members on board experience significantly higher abnormal returns. Based on findings from the </w:t>
      </w:r>
      <w:proofErr w:type="gramStart"/>
      <w:r w:rsidRPr="007D14F3">
        <w:rPr>
          <w:rFonts w:ascii="Times New Roman" w:hAnsi="Times New Roman" w:cs="Times New Roman"/>
          <w:sz w:val="24"/>
          <w:szCs w:val="24"/>
        </w:rPr>
        <w:t>aforementioned studies</w:t>
      </w:r>
      <w:proofErr w:type="gramEnd"/>
      <w:r w:rsidRPr="007D14F3">
        <w:rPr>
          <w:rFonts w:ascii="Times New Roman" w:hAnsi="Times New Roman" w:cs="Times New Roman"/>
          <w:sz w:val="24"/>
          <w:szCs w:val="24"/>
        </w:rPr>
        <w:t xml:space="preserve"> </w:t>
      </w:r>
      <w:r w:rsidR="00B977A6" w:rsidRPr="007D14F3">
        <w:rPr>
          <w:rFonts w:ascii="Times New Roman" w:hAnsi="Times New Roman" w:cs="Times New Roman"/>
          <w:sz w:val="24"/>
          <w:szCs w:val="24"/>
        </w:rPr>
        <w:t>the following hypothesis is formed.</w:t>
      </w:r>
    </w:p>
    <w:p w:rsidR="009742EB" w:rsidRPr="007D14F3" w:rsidRDefault="009742EB" w:rsidP="009C7202">
      <w:pPr>
        <w:spacing w:before="120" w:after="120" w:line="240" w:lineRule="auto"/>
        <w:jc w:val="both"/>
        <w:rPr>
          <w:rFonts w:ascii="Times New Roman" w:hAnsi="Times New Roman" w:cs="Times New Roman"/>
          <w:b/>
          <w:sz w:val="24"/>
          <w:szCs w:val="24"/>
        </w:rPr>
      </w:pPr>
      <w:r w:rsidRPr="007D14F3">
        <w:rPr>
          <w:rFonts w:ascii="Times New Roman" w:hAnsi="Times New Roman" w:cs="Times New Roman"/>
          <w:b/>
          <w:sz w:val="24"/>
          <w:szCs w:val="24"/>
        </w:rPr>
        <w:t xml:space="preserve">Hypothesis 3: The ratio of independent directors on board has a </w:t>
      </w:r>
      <w:r w:rsidRPr="007D14F3">
        <w:rPr>
          <w:rFonts w:ascii="Times New Roman" w:hAnsi="Times New Roman" w:cs="Times New Roman"/>
          <w:b/>
          <w:i/>
          <w:sz w:val="24"/>
          <w:szCs w:val="24"/>
        </w:rPr>
        <w:t xml:space="preserve">positive </w:t>
      </w:r>
      <w:r w:rsidRPr="007D14F3">
        <w:rPr>
          <w:rFonts w:ascii="Times New Roman" w:hAnsi="Times New Roman" w:cs="Times New Roman"/>
          <w:b/>
          <w:sz w:val="24"/>
          <w:szCs w:val="24"/>
        </w:rPr>
        <w:t>influence on the M&amp;A performance</w:t>
      </w:r>
    </w:p>
    <w:p w:rsidR="000A569D" w:rsidRPr="007D14F3" w:rsidRDefault="009742EB" w:rsidP="009C7202">
      <w:pPr>
        <w:spacing w:before="120" w:after="120" w:line="240" w:lineRule="auto"/>
        <w:ind w:left="57" w:right="57"/>
        <w:jc w:val="both"/>
        <w:rPr>
          <w:rFonts w:ascii="Times New Roman" w:eastAsiaTheme="majorEastAsia" w:hAnsi="Times New Roman" w:cs="Times New Roman"/>
          <w:sz w:val="24"/>
          <w:szCs w:val="24"/>
        </w:rPr>
      </w:pPr>
      <w:r w:rsidRPr="007D14F3">
        <w:rPr>
          <w:rFonts w:ascii="Times New Roman" w:eastAsiaTheme="majorEastAsia" w:hAnsi="Times New Roman" w:cs="Times New Roman"/>
          <w:sz w:val="24"/>
          <w:szCs w:val="24"/>
        </w:rPr>
        <w:t xml:space="preserve">The </w:t>
      </w:r>
      <w:r w:rsidRPr="00060F9F">
        <w:rPr>
          <w:rFonts w:ascii="Times New Roman" w:eastAsiaTheme="majorEastAsia" w:hAnsi="Times New Roman" w:cs="Times New Roman"/>
          <w:noProof/>
          <w:sz w:val="24"/>
          <w:szCs w:val="24"/>
        </w:rPr>
        <w:t>independenc</w:t>
      </w:r>
      <w:r w:rsidR="00060F9F">
        <w:rPr>
          <w:rFonts w:ascii="Times New Roman" w:eastAsiaTheme="majorEastAsia" w:hAnsi="Times New Roman" w:cs="Times New Roman"/>
          <w:noProof/>
          <w:sz w:val="24"/>
          <w:szCs w:val="24"/>
        </w:rPr>
        <w:t>e</w:t>
      </w:r>
      <w:r w:rsidRPr="007D14F3">
        <w:rPr>
          <w:rFonts w:ascii="Times New Roman" w:eastAsiaTheme="majorEastAsia" w:hAnsi="Times New Roman" w:cs="Times New Roman"/>
          <w:sz w:val="24"/>
          <w:szCs w:val="24"/>
        </w:rPr>
        <w:t xml:space="preserve"> of the board is represented by</w:t>
      </w:r>
      <w:r w:rsidR="000A569D" w:rsidRPr="007D14F3">
        <w:rPr>
          <w:rFonts w:ascii="Times New Roman" w:eastAsiaTheme="majorEastAsia" w:hAnsi="Times New Roman" w:cs="Times New Roman"/>
          <w:sz w:val="24"/>
          <w:szCs w:val="24"/>
        </w:rPr>
        <w:t xml:space="preserve"> a variable </w:t>
      </w:r>
      <w:r w:rsidR="00C51AFE" w:rsidRPr="007D14F3">
        <w:rPr>
          <w:rFonts w:ascii="Times New Roman" w:eastAsiaTheme="majorEastAsia" w:hAnsi="Times New Roman" w:cs="Times New Roman"/>
          <w:sz w:val="24"/>
          <w:szCs w:val="24"/>
        </w:rPr>
        <w:t>‘Independent’</w:t>
      </w:r>
      <w:r w:rsidR="000A569D" w:rsidRPr="007D14F3">
        <w:rPr>
          <w:rFonts w:ascii="Times New Roman" w:eastAsiaTheme="majorEastAsia" w:hAnsi="Times New Roman" w:cs="Times New Roman"/>
          <w:sz w:val="24"/>
          <w:szCs w:val="24"/>
        </w:rPr>
        <w:t xml:space="preserve"> equal to</w:t>
      </w:r>
      <w:r w:rsidR="009D1D66" w:rsidRPr="007D14F3">
        <w:rPr>
          <w:rFonts w:ascii="Times New Roman" w:eastAsiaTheme="majorEastAsia" w:hAnsi="Times New Roman" w:cs="Times New Roman"/>
          <w:sz w:val="24"/>
          <w:szCs w:val="24"/>
        </w:rPr>
        <w:t xml:space="preserve"> the</w:t>
      </w:r>
      <w:r w:rsidR="000A569D" w:rsidRPr="007D14F3">
        <w:rPr>
          <w:rFonts w:ascii="Times New Roman" w:eastAsiaTheme="majorEastAsia" w:hAnsi="Times New Roman" w:cs="Times New Roman"/>
          <w:sz w:val="24"/>
          <w:szCs w:val="24"/>
        </w:rPr>
        <w:t xml:space="preserve"> percentage of independent directors on the board. </w:t>
      </w:r>
    </w:p>
    <w:p w:rsidR="00C439FB" w:rsidRPr="007D14F3" w:rsidRDefault="00C439FB" w:rsidP="009C7202">
      <w:pPr>
        <w:pStyle w:val="Heading3"/>
        <w:spacing w:before="120" w:after="120" w:line="240" w:lineRule="auto"/>
        <w:rPr>
          <w:rFonts w:cs="Times New Roman"/>
          <w:b/>
        </w:rPr>
      </w:pPr>
      <w:bookmarkStart w:id="27" w:name="_Toc516128942"/>
      <w:r w:rsidRPr="007D14F3">
        <w:rPr>
          <w:rFonts w:cs="Times New Roman"/>
          <w:b/>
        </w:rPr>
        <w:t>CEO duality</w:t>
      </w:r>
      <w:bookmarkEnd w:id="24"/>
      <w:bookmarkEnd w:id="25"/>
      <w:bookmarkEnd w:id="26"/>
      <w:bookmarkEnd w:id="27"/>
    </w:p>
    <w:p w:rsidR="009742EB" w:rsidRPr="007D14F3" w:rsidRDefault="009742EB" w:rsidP="009C7202">
      <w:pPr>
        <w:spacing w:before="120" w:after="120" w:line="240" w:lineRule="auto"/>
        <w:jc w:val="both"/>
        <w:rPr>
          <w:rFonts w:ascii="Times New Roman" w:hAnsi="Times New Roman" w:cs="Times New Roman"/>
          <w:sz w:val="24"/>
          <w:szCs w:val="24"/>
        </w:rPr>
      </w:pPr>
      <w:bookmarkStart w:id="28" w:name="_Toc506634733"/>
      <w:bookmarkStart w:id="29" w:name="_Toc506909687"/>
      <w:bookmarkStart w:id="30" w:name="_Toc506926832"/>
      <w:bookmarkStart w:id="31" w:name="_Toc508302090"/>
      <w:bookmarkStart w:id="32" w:name="_Toc509864242"/>
      <w:bookmarkStart w:id="33" w:name="_Toc513884438"/>
      <w:r w:rsidRPr="007D14F3">
        <w:rPr>
          <w:rFonts w:ascii="Times New Roman" w:hAnsi="Times New Roman" w:cs="Times New Roman"/>
          <w:sz w:val="24"/>
          <w:szCs w:val="24"/>
        </w:rPr>
        <w:t xml:space="preserve">The CEO of the company may also serve as a chairman of the board, which is a common practice in various companies. However, the controlling power of the board over the CEO is significantly lower and the board effectiveness decreases (Jensen, 1993). Furthermore, the board attention to monitoring is higher in the absence of CEO duality. The contrary theory is a stewardship model, according to which “the CEO wants to be a good steward of the </w:t>
      </w:r>
      <w:r w:rsidRPr="00060F9F">
        <w:rPr>
          <w:rFonts w:ascii="Times New Roman" w:hAnsi="Times New Roman" w:cs="Times New Roman"/>
          <w:noProof/>
          <w:sz w:val="24"/>
          <w:szCs w:val="24"/>
        </w:rPr>
        <w:t>corporat</w:t>
      </w:r>
      <w:r w:rsidR="00060F9F">
        <w:rPr>
          <w:rFonts w:ascii="Times New Roman" w:hAnsi="Times New Roman" w:cs="Times New Roman"/>
          <w:noProof/>
          <w:sz w:val="24"/>
          <w:szCs w:val="24"/>
        </w:rPr>
        <w:t>ion</w:t>
      </w:r>
      <w:r w:rsidRPr="00060F9F">
        <w:rPr>
          <w:rFonts w:ascii="Times New Roman" w:hAnsi="Times New Roman" w:cs="Times New Roman"/>
          <w:noProof/>
          <w:sz w:val="24"/>
          <w:szCs w:val="24"/>
        </w:rPr>
        <w:t>’s</w:t>
      </w:r>
      <w:r w:rsidRPr="007D14F3">
        <w:rPr>
          <w:rFonts w:ascii="Times New Roman" w:hAnsi="Times New Roman" w:cs="Times New Roman"/>
          <w:sz w:val="24"/>
          <w:szCs w:val="24"/>
        </w:rPr>
        <w:t xml:space="preserve"> assets” (Donaldson and Davis, 1991). Consequently, when the CEO is also </w:t>
      </w:r>
      <w:r w:rsidR="00060F9F" w:rsidRPr="00060F9F">
        <w:rPr>
          <w:rFonts w:ascii="Times New Roman" w:hAnsi="Times New Roman" w:cs="Times New Roman"/>
          <w:noProof/>
          <w:sz w:val="24"/>
          <w:szCs w:val="24"/>
        </w:rPr>
        <w:t>appointed</w:t>
      </w:r>
      <w:r w:rsidRPr="007D14F3">
        <w:rPr>
          <w:rFonts w:ascii="Times New Roman" w:hAnsi="Times New Roman" w:cs="Times New Roman"/>
          <w:sz w:val="24"/>
          <w:szCs w:val="24"/>
        </w:rPr>
        <w:t xml:space="preserve"> as the chairman, it might further motivate the CEO and improve his performance.</w:t>
      </w:r>
    </w:p>
    <w:p w:rsidR="009742EB" w:rsidRPr="007D14F3" w:rsidRDefault="009742EB" w:rsidP="009C7202">
      <w:pPr>
        <w:spacing w:before="120" w:after="120" w:line="240" w:lineRule="auto"/>
        <w:jc w:val="both"/>
        <w:rPr>
          <w:rFonts w:ascii="Times New Roman" w:hAnsi="Times New Roman" w:cs="Times New Roman"/>
          <w:sz w:val="24"/>
          <w:szCs w:val="24"/>
        </w:rPr>
      </w:pPr>
      <w:r w:rsidRPr="007D14F3">
        <w:rPr>
          <w:rFonts w:ascii="Times New Roman" w:hAnsi="Times New Roman" w:cs="Times New Roman"/>
          <w:sz w:val="24"/>
          <w:szCs w:val="24"/>
        </w:rPr>
        <w:t>In line with the agency theory, a CEO duality is empirically shown to deteriorate company’s performance measured as ROI, ROE and profit margin (</w:t>
      </w:r>
      <w:proofErr w:type="spellStart"/>
      <w:r w:rsidRPr="007D14F3">
        <w:rPr>
          <w:rFonts w:ascii="Times New Roman" w:hAnsi="Times New Roman" w:cs="Times New Roman"/>
          <w:sz w:val="24"/>
          <w:szCs w:val="24"/>
        </w:rPr>
        <w:t>Rechner</w:t>
      </w:r>
      <w:proofErr w:type="spellEnd"/>
      <w:r w:rsidRPr="007D14F3">
        <w:rPr>
          <w:rFonts w:ascii="Times New Roman" w:hAnsi="Times New Roman" w:cs="Times New Roman"/>
          <w:sz w:val="24"/>
          <w:szCs w:val="24"/>
        </w:rPr>
        <w:t xml:space="preserve"> and Dalton, 1991). However, some studies find an insignificant relation between the CEO duality and the company’s </w:t>
      </w:r>
      <w:r w:rsidRPr="007D14F3">
        <w:rPr>
          <w:rFonts w:ascii="Times New Roman" w:hAnsi="Times New Roman" w:cs="Times New Roman"/>
          <w:sz w:val="24"/>
          <w:szCs w:val="24"/>
        </w:rPr>
        <w:lastRenderedPageBreak/>
        <w:t>performance measured by RO</w:t>
      </w:r>
      <w:r w:rsidR="009C7202">
        <w:rPr>
          <w:rFonts w:ascii="Times New Roman" w:hAnsi="Times New Roman" w:cs="Times New Roman"/>
          <w:sz w:val="24"/>
          <w:szCs w:val="24"/>
        </w:rPr>
        <w:t xml:space="preserve">I </w:t>
      </w:r>
      <w:r w:rsidRPr="007D14F3">
        <w:rPr>
          <w:rFonts w:ascii="Times New Roman" w:hAnsi="Times New Roman" w:cs="Times New Roman"/>
          <w:sz w:val="24"/>
          <w:szCs w:val="24"/>
        </w:rPr>
        <w:t>(Boyd, 1995), (</w:t>
      </w:r>
      <w:proofErr w:type="spellStart"/>
      <w:r w:rsidRPr="007D14F3">
        <w:rPr>
          <w:rFonts w:ascii="Times New Roman" w:hAnsi="Times New Roman" w:cs="Times New Roman"/>
          <w:sz w:val="24"/>
          <w:szCs w:val="24"/>
        </w:rPr>
        <w:t>Rechner</w:t>
      </w:r>
      <w:proofErr w:type="spellEnd"/>
      <w:r w:rsidRPr="007D14F3">
        <w:rPr>
          <w:rFonts w:ascii="Times New Roman" w:hAnsi="Times New Roman" w:cs="Times New Roman"/>
          <w:sz w:val="24"/>
          <w:szCs w:val="24"/>
        </w:rPr>
        <w:t xml:space="preserve"> and Dalton, 1991), ROE (</w:t>
      </w:r>
      <w:proofErr w:type="spellStart"/>
      <w:r w:rsidRPr="007D14F3">
        <w:rPr>
          <w:rFonts w:ascii="Times New Roman" w:hAnsi="Times New Roman" w:cs="Times New Roman"/>
          <w:sz w:val="24"/>
          <w:szCs w:val="24"/>
        </w:rPr>
        <w:t>Baliga</w:t>
      </w:r>
      <w:proofErr w:type="spellEnd"/>
      <w:r w:rsidRPr="007D14F3">
        <w:rPr>
          <w:rFonts w:ascii="Times New Roman" w:hAnsi="Times New Roman" w:cs="Times New Roman"/>
          <w:sz w:val="24"/>
          <w:szCs w:val="24"/>
        </w:rPr>
        <w:t xml:space="preserve"> et al., 1996), (</w:t>
      </w:r>
      <w:proofErr w:type="spellStart"/>
      <w:r w:rsidRPr="007D14F3">
        <w:rPr>
          <w:rFonts w:ascii="Times New Roman" w:hAnsi="Times New Roman" w:cs="Times New Roman"/>
          <w:sz w:val="24"/>
          <w:szCs w:val="24"/>
        </w:rPr>
        <w:t>Rechner</w:t>
      </w:r>
      <w:proofErr w:type="spellEnd"/>
      <w:r w:rsidRPr="007D14F3">
        <w:rPr>
          <w:rFonts w:ascii="Times New Roman" w:hAnsi="Times New Roman" w:cs="Times New Roman"/>
          <w:sz w:val="24"/>
          <w:szCs w:val="24"/>
        </w:rPr>
        <w:t xml:space="preserve"> and Dalton, 1991), ROA (</w:t>
      </w:r>
      <w:proofErr w:type="spellStart"/>
      <w:r w:rsidRPr="007D14F3">
        <w:rPr>
          <w:rFonts w:ascii="Times New Roman" w:hAnsi="Times New Roman" w:cs="Times New Roman"/>
          <w:sz w:val="24"/>
          <w:szCs w:val="24"/>
        </w:rPr>
        <w:t>Baliga</w:t>
      </w:r>
      <w:proofErr w:type="spellEnd"/>
      <w:r w:rsidRPr="007D14F3">
        <w:rPr>
          <w:rFonts w:ascii="Times New Roman" w:hAnsi="Times New Roman" w:cs="Times New Roman"/>
          <w:sz w:val="24"/>
          <w:szCs w:val="24"/>
        </w:rPr>
        <w:t xml:space="preserve"> et al., 1996), (</w:t>
      </w:r>
      <w:proofErr w:type="spellStart"/>
      <w:r w:rsidRPr="007D14F3">
        <w:rPr>
          <w:rFonts w:ascii="Times New Roman" w:hAnsi="Times New Roman" w:cs="Times New Roman"/>
          <w:sz w:val="24"/>
          <w:szCs w:val="24"/>
        </w:rPr>
        <w:t>Elsayed</w:t>
      </w:r>
      <w:proofErr w:type="spellEnd"/>
      <w:r w:rsidRPr="007D14F3">
        <w:rPr>
          <w:rFonts w:ascii="Times New Roman" w:hAnsi="Times New Roman" w:cs="Times New Roman"/>
          <w:sz w:val="24"/>
          <w:szCs w:val="24"/>
        </w:rPr>
        <w:t>, 2007), Tobin’s q (</w:t>
      </w:r>
      <w:proofErr w:type="spellStart"/>
      <w:r w:rsidRPr="007D14F3">
        <w:rPr>
          <w:rFonts w:ascii="Times New Roman" w:hAnsi="Times New Roman" w:cs="Times New Roman"/>
          <w:sz w:val="24"/>
          <w:szCs w:val="24"/>
        </w:rPr>
        <w:t>Elsayed</w:t>
      </w:r>
      <w:proofErr w:type="spellEnd"/>
      <w:r w:rsidRPr="007D14F3">
        <w:rPr>
          <w:rFonts w:ascii="Times New Roman" w:hAnsi="Times New Roman" w:cs="Times New Roman"/>
          <w:sz w:val="24"/>
          <w:szCs w:val="24"/>
        </w:rPr>
        <w:t>, 2007), (Chen et al., 2008), profit margin (</w:t>
      </w:r>
      <w:proofErr w:type="spellStart"/>
      <w:r w:rsidRPr="007D14F3">
        <w:rPr>
          <w:rFonts w:ascii="Times New Roman" w:hAnsi="Times New Roman" w:cs="Times New Roman"/>
          <w:sz w:val="24"/>
          <w:szCs w:val="24"/>
        </w:rPr>
        <w:t>Rechner</w:t>
      </w:r>
      <w:proofErr w:type="spellEnd"/>
      <w:r w:rsidRPr="007D14F3">
        <w:rPr>
          <w:rFonts w:ascii="Times New Roman" w:hAnsi="Times New Roman" w:cs="Times New Roman"/>
          <w:sz w:val="24"/>
          <w:szCs w:val="24"/>
        </w:rPr>
        <w:t xml:space="preserve"> and Dalton, 1991).</w:t>
      </w:r>
    </w:p>
    <w:p w:rsidR="009742EB" w:rsidRPr="007D14F3" w:rsidRDefault="009742EB" w:rsidP="009C7202">
      <w:pPr>
        <w:spacing w:before="120" w:after="120" w:line="240" w:lineRule="auto"/>
        <w:jc w:val="both"/>
        <w:rPr>
          <w:rFonts w:ascii="Times New Roman" w:hAnsi="Times New Roman" w:cs="Times New Roman"/>
          <w:sz w:val="24"/>
          <w:szCs w:val="24"/>
        </w:rPr>
      </w:pPr>
      <w:r w:rsidRPr="007D14F3">
        <w:rPr>
          <w:rFonts w:ascii="Times New Roman" w:hAnsi="Times New Roman" w:cs="Times New Roman"/>
          <w:sz w:val="24"/>
          <w:szCs w:val="24"/>
        </w:rPr>
        <w:t xml:space="preserve">CEO duality may also lower board’s effectiveness as a </w:t>
      </w:r>
      <w:r w:rsidRPr="007D14F3">
        <w:rPr>
          <w:rFonts w:ascii="Times New Roman" w:hAnsi="Times New Roman" w:cs="Times New Roman"/>
          <w:noProof/>
          <w:sz w:val="24"/>
          <w:szCs w:val="24"/>
        </w:rPr>
        <w:t>corporate</w:t>
      </w:r>
      <w:r w:rsidRPr="007D14F3">
        <w:rPr>
          <w:rFonts w:ascii="Times New Roman" w:hAnsi="Times New Roman" w:cs="Times New Roman"/>
          <w:sz w:val="24"/>
          <w:szCs w:val="24"/>
        </w:rPr>
        <w:t xml:space="preserve"> governance mechanism to prevent value-destroying mergers and acquisitions. Supporting empirical evidence is found in the paper of Masulis et al. (2007). Bidders with the CEO acting also as the board chairman experienced significantly lower returns around the announcement day. Given the results</w:t>
      </w:r>
      <w:r w:rsidR="00B977A6" w:rsidRPr="007D14F3">
        <w:rPr>
          <w:rFonts w:ascii="Times New Roman" w:hAnsi="Times New Roman" w:cs="Times New Roman"/>
          <w:sz w:val="24"/>
          <w:szCs w:val="24"/>
        </w:rPr>
        <w:t xml:space="preserve"> from the presented studies, the following hypothesis is stated</w:t>
      </w:r>
      <w:r w:rsidRPr="007D14F3">
        <w:rPr>
          <w:rFonts w:ascii="Times New Roman" w:hAnsi="Times New Roman" w:cs="Times New Roman"/>
          <w:sz w:val="24"/>
          <w:szCs w:val="24"/>
        </w:rPr>
        <w:t>.</w:t>
      </w:r>
    </w:p>
    <w:p w:rsidR="009742EB" w:rsidRPr="007D14F3" w:rsidRDefault="009742EB" w:rsidP="009C7202">
      <w:pPr>
        <w:spacing w:before="120" w:after="120" w:line="240" w:lineRule="auto"/>
        <w:jc w:val="both"/>
        <w:rPr>
          <w:rFonts w:ascii="Times New Roman" w:hAnsi="Times New Roman" w:cs="Times New Roman"/>
          <w:b/>
          <w:sz w:val="24"/>
          <w:szCs w:val="24"/>
        </w:rPr>
      </w:pPr>
      <w:r w:rsidRPr="007D14F3">
        <w:rPr>
          <w:rFonts w:ascii="Times New Roman" w:hAnsi="Times New Roman" w:cs="Times New Roman"/>
          <w:b/>
          <w:sz w:val="24"/>
          <w:szCs w:val="24"/>
        </w:rPr>
        <w:t xml:space="preserve">Hypothesis 4: The CEO duality has a </w:t>
      </w:r>
      <w:r w:rsidRPr="007D14F3">
        <w:rPr>
          <w:rFonts w:ascii="Times New Roman" w:hAnsi="Times New Roman" w:cs="Times New Roman"/>
          <w:b/>
          <w:i/>
          <w:sz w:val="24"/>
          <w:szCs w:val="24"/>
        </w:rPr>
        <w:t xml:space="preserve">negative </w:t>
      </w:r>
      <w:r w:rsidRPr="007D14F3">
        <w:rPr>
          <w:rFonts w:ascii="Times New Roman" w:hAnsi="Times New Roman" w:cs="Times New Roman"/>
          <w:b/>
          <w:sz w:val="24"/>
          <w:szCs w:val="24"/>
        </w:rPr>
        <w:t>influence on the M&amp;A performance</w:t>
      </w:r>
    </w:p>
    <w:p w:rsidR="00C76B0D" w:rsidRPr="007D14F3" w:rsidRDefault="00C76B0D" w:rsidP="009C7202">
      <w:pPr>
        <w:spacing w:before="120" w:after="120" w:line="240" w:lineRule="auto"/>
        <w:jc w:val="both"/>
        <w:rPr>
          <w:rFonts w:ascii="Times New Roman" w:eastAsiaTheme="majorEastAsia" w:hAnsi="Times New Roman" w:cs="Times New Roman"/>
          <w:sz w:val="24"/>
          <w:szCs w:val="24"/>
        </w:rPr>
      </w:pPr>
      <w:bookmarkStart w:id="34" w:name="_Toc516128933"/>
      <w:r w:rsidRPr="007D14F3">
        <w:rPr>
          <w:rFonts w:ascii="Times New Roman" w:hAnsi="Times New Roman" w:cs="Times New Roman"/>
          <w:sz w:val="24"/>
          <w:szCs w:val="24"/>
        </w:rPr>
        <w:t xml:space="preserve">In the model, CEO Duality is defined as a dummy variable </w:t>
      </w:r>
      <w:r w:rsidRPr="007D14F3">
        <w:rPr>
          <w:rFonts w:ascii="Times New Roman" w:eastAsiaTheme="majorEastAsia" w:hAnsi="Times New Roman" w:cs="Times New Roman"/>
          <w:sz w:val="24"/>
          <w:szCs w:val="24"/>
        </w:rPr>
        <w:t>equal to ‘1’ when the CEO was also a chairman of the board at the end of the year prior to the acquisition announcement and ‘0’ otherwise.</w:t>
      </w:r>
    </w:p>
    <w:p w:rsidR="009742EB" w:rsidRPr="007D14F3" w:rsidRDefault="009742EB" w:rsidP="009C7202">
      <w:pPr>
        <w:pStyle w:val="Heading3"/>
        <w:spacing w:before="120" w:after="120" w:line="240" w:lineRule="auto"/>
        <w:rPr>
          <w:rFonts w:cs="Times New Roman"/>
          <w:b/>
        </w:rPr>
      </w:pPr>
      <w:r w:rsidRPr="007D14F3">
        <w:rPr>
          <w:rFonts w:cs="Times New Roman"/>
          <w:b/>
        </w:rPr>
        <w:t xml:space="preserve">Gender </w:t>
      </w:r>
      <w:bookmarkEnd w:id="28"/>
      <w:bookmarkEnd w:id="29"/>
      <w:bookmarkEnd w:id="30"/>
      <w:r w:rsidRPr="007D14F3">
        <w:rPr>
          <w:rFonts w:cs="Times New Roman"/>
          <w:b/>
        </w:rPr>
        <w:t>diversity</w:t>
      </w:r>
      <w:bookmarkEnd w:id="31"/>
      <w:bookmarkEnd w:id="32"/>
      <w:bookmarkEnd w:id="33"/>
      <w:bookmarkEnd w:id="34"/>
    </w:p>
    <w:p w:rsidR="009742EB" w:rsidRPr="007D14F3" w:rsidRDefault="009742EB" w:rsidP="009C7202">
      <w:pPr>
        <w:spacing w:before="120" w:after="120" w:line="240" w:lineRule="auto"/>
        <w:jc w:val="both"/>
        <w:rPr>
          <w:rFonts w:ascii="Times New Roman" w:hAnsi="Times New Roman" w:cs="Times New Roman"/>
          <w:sz w:val="24"/>
          <w:szCs w:val="24"/>
        </w:rPr>
      </w:pPr>
      <w:r w:rsidRPr="007D14F3">
        <w:rPr>
          <w:rFonts w:ascii="Times New Roman" w:hAnsi="Times New Roman" w:cs="Times New Roman"/>
          <w:sz w:val="24"/>
          <w:szCs w:val="24"/>
        </w:rPr>
        <w:t xml:space="preserve">A recent trend to promote gender equality in business has been also </w:t>
      </w:r>
      <w:proofErr w:type="spellStart"/>
      <w:r w:rsidRPr="007D14F3">
        <w:rPr>
          <w:rFonts w:ascii="Times New Roman" w:hAnsi="Times New Roman" w:cs="Times New Roman"/>
          <w:sz w:val="24"/>
          <w:szCs w:val="24"/>
        </w:rPr>
        <w:t>realised</w:t>
      </w:r>
      <w:proofErr w:type="spellEnd"/>
      <w:r w:rsidRPr="007D14F3">
        <w:rPr>
          <w:rFonts w:ascii="Times New Roman" w:hAnsi="Times New Roman" w:cs="Times New Roman"/>
          <w:sz w:val="24"/>
          <w:szCs w:val="24"/>
        </w:rPr>
        <w:t xml:space="preserve"> in the boards of companies. Apart from reputation concerns, diversity in a team leads to a broader range of perspectives, ideas and therefore improved performance (</w:t>
      </w:r>
      <w:proofErr w:type="spellStart"/>
      <w:r w:rsidRPr="007D14F3">
        <w:rPr>
          <w:rFonts w:ascii="Times New Roman" w:hAnsi="Times New Roman" w:cs="Times New Roman"/>
          <w:sz w:val="24"/>
          <w:szCs w:val="24"/>
        </w:rPr>
        <w:t>Lückerath</w:t>
      </w:r>
      <w:proofErr w:type="spellEnd"/>
      <w:r w:rsidRPr="007D14F3">
        <w:rPr>
          <w:rFonts w:ascii="Times New Roman" w:hAnsi="Times New Roman" w:cs="Times New Roman"/>
          <w:sz w:val="24"/>
          <w:szCs w:val="24"/>
        </w:rPr>
        <w:t>-Rovers, 2011). Kramer et al. (2006) suggest when three or more women serve on the board the decision-making process is more effective as the dynamic in the board is more open and collaborative and the perspectives of multiple stakeholders are brought into the discussion. Several papers find a positive influence of gender diversity on the company’s performance measured as Tobin’s q (Sabatier, 2015), ROE (</w:t>
      </w:r>
      <w:proofErr w:type="spellStart"/>
      <w:r w:rsidRPr="007D14F3">
        <w:rPr>
          <w:rFonts w:ascii="Times New Roman" w:hAnsi="Times New Roman" w:cs="Times New Roman"/>
          <w:sz w:val="24"/>
          <w:szCs w:val="24"/>
        </w:rPr>
        <w:t>Lückerath</w:t>
      </w:r>
      <w:proofErr w:type="spellEnd"/>
      <w:r w:rsidRPr="007D14F3">
        <w:rPr>
          <w:rFonts w:ascii="Times New Roman" w:hAnsi="Times New Roman" w:cs="Times New Roman"/>
          <w:sz w:val="24"/>
          <w:szCs w:val="24"/>
        </w:rPr>
        <w:t>-Rovers, 2013), (Sabatier, 2015) and ROA (Sabatier, 2015). Studies</w:t>
      </w:r>
      <w:r w:rsidR="00594E9F" w:rsidRPr="007D14F3">
        <w:rPr>
          <w:rFonts w:ascii="Times New Roman" w:hAnsi="Times New Roman" w:cs="Times New Roman"/>
          <w:sz w:val="24"/>
          <w:szCs w:val="24"/>
        </w:rPr>
        <w:t xml:space="preserve"> of </w:t>
      </w:r>
      <w:r w:rsidR="00590043" w:rsidRPr="007D14F3">
        <w:rPr>
          <w:rFonts w:ascii="Times New Roman" w:hAnsi="Times New Roman" w:cs="Times New Roman"/>
          <w:sz w:val="24"/>
          <w:szCs w:val="24"/>
        </w:rPr>
        <w:t>Ah</w:t>
      </w:r>
      <w:r w:rsidR="00594E9F" w:rsidRPr="007D14F3">
        <w:rPr>
          <w:rFonts w:ascii="Times New Roman" w:hAnsi="Times New Roman" w:cs="Times New Roman"/>
          <w:sz w:val="24"/>
          <w:szCs w:val="24"/>
        </w:rPr>
        <w:t>e</w:t>
      </w:r>
      <w:r w:rsidR="00590043" w:rsidRPr="007D14F3">
        <w:rPr>
          <w:rFonts w:ascii="Times New Roman" w:hAnsi="Times New Roman" w:cs="Times New Roman"/>
          <w:sz w:val="24"/>
          <w:szCs w:val="24"/>
        </w:rPr>
        <w:t>r</w:t>
      </w:r>
      <w:r w:rsidR="00594E9F" w:rsidRPr="007D14F3">
        <w:rPr>
          <w:rFonts w:ascii="Times New Roman" w:hAnsi="Times New Roman" w:cs="Times New Roman"/>
          <w:sz w:val="24"/>
          <w:szCs w:val="24"/>
        </w:rPr>
        <w:t xml:space="preserve">n and </w:t>
      </w:r>
      <w:proofErr w:type="spellStart"/>
      <w:r w:rsidR="00594E9F" w:rsidRPr="007D14F3">
        <w:rPr>
          <w:rFonts w:ascii="Times New Roman" w:hAnsi="Times New Roman" w:cs="Times New Roman"/>
          <w:sz w:val="24"/>
          <w:szCs w:val="24"/>
        </w:rPr>
        <w:t>Dittmar</w:t>
      </w:r>
      <w:proofErr w:type="spellEnd"/>
      <w:r w:rsidR="00594E9F" w:rsidRPr="007D14F3">
        <w:rPr>
          <w:rFonts w:ascii="Times New Roman" w:hAnsi="Times New Roman" w:cs="Times New Roman"/>
          <w:sz w:val="24"/>
          <w:szCs w:val="24"/>
        </w:rPr>
        <w:t xml:space="preserve"> (2011) and </w:t>
      </w:r>
      <w:proofErr w:type="spellStart"/>
      <w:r w:rsidR="00594E9F" w:rsidRPr="007D14F3">
        <w:rPr>
          <w:rFonts w:ascii="Times New Roman" w:hAnsi="Times New Roman" w:cs="Times New Roman"/>
          <w:sz w:val="24"/>
          <w:szCs w:val="24"/>
        </w:rPr>
        <w:t>Bohern</w:t>
      </w:r>
      <w:proofErr w:type="spellEnd"/>
      <w:r w:rsidR="00594E9F" w:rsidRPr="007D14F3">
        <w:rPr>
          <w:rFonts w:ascii="Times New Roman" w:hAnsi="Times New Roman" w:cs="Times New Roman"/>
          <w:sz w:val="24"/>
          <w:szCs w:val="24"/>
        </w:rPr>
        <w:t xml:space="preserve"> and </w:t>
      </w:r>
      <w:proofErr w:type="spellStart"/>
      <w:r w:rsidR="00594E9F" w:rsidRPr="007D14F3">
        <w:rPr>
          <w:rFonts w:ascii="Times New Roman" w:hAnsi="Times New Roman" w:cs="Times New Roman"/>
          <w:sz w:val="24"/>
          <w:szCs w:val="24"/>
        </w:rPr>
        <w:t>Staubo</w:t>
      </w:r>
      <w:proofErr w:type="spellEnd"/>
      <w:r w:rsidR="00594E9F" w:rsidRPr="007D14F3">
        <w:rPr>
          <w:rFonts w:ascii="Times New Roman" w:hAnsi="Times New Roman" w:cs="Times New Roman"/>
          <w:sz w:val="24"/>
          <w:szCs w:val="24"/>
        </w:rPr>
        <w:t xml:space="preserve"> (2013) </w:t>
      </w:r>
      <w:r w:rsidR="00C76B0D" w:rsidRPr="007D14F3">
        <w:rPr>
          <w:rFonts w:ascii="Times New Roman" w:hAnsi="Times New Roman" w:cs="Times New Roman"/>
          <w:sz w:val="24"/>
          <w:szCs w:val="24"/>
        </w:rPr>
        <w:t xml:space="preserve">document the opposite relation, however in the context of parity gender law implementation. </w:t>
      </w:r>
      <w:r w:rsidRPr="007D14F3">
        <w:rPr>
          <w:rFonts w:ascii="Times New Roman" w:hAnsi="Times New Roman" w:cs="Times New Roman"/>
          <w:sz w:val="24"/>
          <w:szCs w:val="24"/>
        </w:rPr>
        <w:t xml:space="preserve">Following the results of empirical papers based on US samples </w:t>
      </w:r>
      <w:r w:rsidR="00B977A6" w:rsidRPr="007D14F3">
        <w:rPr>
          <w:rFonts w:ascii="Times New Roman" w:hAnsi="Times New Roman" w:cs="Times New Roman"/>
          <w:sz w:val="24"/>
          <w:szCs w:val="24"/>
        </w:rPr>
        <w:t>the hypothesis presented below is formulated.</w:t>
      </w:r>
    </w:p>
    <w:p w:rsidR="00C76B0D" w:rsidRPr="007D14F3" w:rsidRDefault="009742EB" w:rsidP="009C7202">
      <w:pPr>
        <w:spacing w:before="120" w:after="120" w:line="240" w:lineRule="auto"/>
        <w:jc w:val="both"/>
        <w:rPr>
          <w:rFonts w:ascii="Times New Roman" w:hAnsi="Times New Roman" w:cs="Times New Roman"/>
          <w:b/>
          <w:sz w:val="24"/>
          <w:szCs w:val="24"/>
        </w:rPr>
      </w:pPr>
      <w:r w:rsidRPr="007D14F3">
        <w:rPr>
          <w:rFonts w:ascii="Times New Roman" w:hAnsi="Times New Roman" w:cs="Times New Roman"/>
          <w:b/>
          <w:sz w:val="24"/>
          <w:szCs w:val="24"/>
        </w:rPr>
        <w:t xml:space="preserve">Hypothesis 5: A higher proportion of women serving on the board has a </w:t>
      </w:r>
      <w:r w:rsidRPr="007D14F3">
        <w:rPr>
          <w:rFonts w:ascii="Times New Roman" w:hAnsi="Times New Roman" w:cs="Times New Roman"/>
          <w:b/>
          <w:i/>
          <w:sz w:val="24"/>
          <w:szCs w:val="24"/>
        </w:rPr>
        <w:t xml:space="preserve">positive </w:t>
      </w:r>
      <w:r w:rsidRPr="007D14F3">
        <w:rPr>
          <w:rFonts w:ascii="Times New Roman" w:hAnsi="Times New Roman" w:cs="Times New Roman"/>
          <w:b/>
          <w:sz w:val="24"/>
          <w:szCs w:val="24"/>
        </w:rPr>
        <w:t>influence on the M&amp;A performance</w:t>
      </w:r>
    </w:p>
    <w:p w:rsidR="00C76B0D" w:rsidRPr="007D14F3" w:rsidRDefault="00C76B0D" w:rsidP="009C7202">
      <w:pPr>
        <w:spacing w:before="120" w:after="120" w:line="240" w:lineRule="auto"/>
        <w:jc w:val="both"/>
        <w:rPr>
          <w:rFonts w:ascii="Times New Roman" w:hAnsi="Times New Roman" w:cs="Times New Roman"/>
          <w:b/>
          <w:sz w:val="24"/>
          <w:szCs w:val="24"/>
        </w:rPr>
      </w:pPr>
      <w:r w:rsidRPr="007D14F3">
        <w:rPr>
          <w:rFonts w:ascii="Times New Roman" w:hAnsi="Times New Roman" w:cs="Times New Roman"/>
          <w:sz w:val="24"/>
          <w:szCs w:val="24"/>
        </w:rPr>
        <w:t>Boar</w:t>
      </w:r>
      <w:r w:rsidR="0030531F" w:rsidRPr="007D14F3">
        <w:rPr>
          <w:rFonts w:ascii="Times New Roman" w:hAnsi="Times New Roman" w:cs="Times New Roman"/>
          <w:sz w:val="24"/>
          <w:szCs w:val="24"/>
        </w:rPr>
        <w:t>d</w:t>
      </w:r>
      <w:r w:rsidRPr="007D14F3">
        <w:rPr>
          <w:rFonts w:ascii="Times New Roman" w:hAnsi="Times New Roman" w:cs="Times New Roman"/>
          <w:sz w:val="24"/>
          <w:szCs w:val="24"/>
        </w:rPr>
        <w:t xml:space="preserve"> diversity is defined as a </w:t>
      </w:r>
      <w:r w:rsidRPr="007D14F3">
        <w:rPr>
          <w:rFonts w:ascii="Times New Roman" w:eastAsiaTheme="majorEastAsia" w:hAnsi="Times New Roman" w:cs="Times New Roman"/>
          <w:sz w:val="24"/>
          <w:szCs w:val="24"/>
        </w:rPr>
        <w:t>percentage of female directors serving on the acquirer’s board.</w:t>
      </w:r>
    </w:p>
    <w:p w:rsidR="007D7946" w:rsidRPr="007D14F3" w:rsidRDefault="007D7946" w:rsidP="009C7202">
      <w:pPr>
        <w:pStyle w:val="Heading2"/>
        <w:numPr>
          <w:ilvl w:val="1"/>
          <w:numId w:val="3"/>
        </w:numPr>
        <w:spacing w:before="120" w:after="120" w:line="240" w:lineRule="auto"/>
        <w:rPr>
          <w:rFonts w:cs="Times New Roman"/>
          <w:szCs w:val="24"/>
        </w:rPr>
      </w:pPr>
      <w:bookmarkStart w:id="35" w:name="_Toc516128937"/>
      <w:bookmarkStart w:id="36" w:name="_Toc516128944"/>
      <w:r w:rsidRPr="007D14F3">
        <w:rPr>
          <w:rFonts w:cs="Times New Roman"/>
          <w:szCs w:val="24"/>
        </w:rPr>
        <w:t>Dependent variable – evaluation of the M&amp;A performance</w:t>
      </w:r>
      <w:bookmarkEnd w:id="35"/>
    </w:p>
    <w:p w:rsidR="007D7946" w:rsidRPr="007D14F3" w:rsidRDefault="007D7946" w:rsidP="009C7202">
      <w:pPr>
        <w:spacing w:before="120" w:after="120" w:line="240" w:lineRule="auto"/>
        <w:jc w:val="both"/>
        <w:rPr>
          <w:rFonts w:ascii="Times New Roman" w:hAnsi="Times New Roman" w:cs="Times New Roman"/>
          <w:sz w:val="24"/>
          <w:szCs w:val="24"/>
        </w:rPr>
      </w:pPr>
      <w:r w:rsidRPr="007D14F3">
        <w:rPr>
          <w:rFonts w:ascii="Times New Roman" w:hAnsi="Times New Roman" w:cs="Times New Roman"/>
          <w:sz w:val="24"/>
          <w:szCs w:val="24"/>
        </w:rPr>
        <w:t xml:space="preserve">The measures of assessing M&amp;A performance are </w:t>
      </w:r>
      <w:r w:rsidR="00536906" w:rsidRPr="007D14F3">
        <w:rPr>
          <w:rFonts w:ascii="Times New Roman" w:hAnsi="Times New Roman" w:cs="Times New Roman"/>
          <w:sz w:val="24"/>
          <w:szCs w:val="24"/>
        </w:rPr>
        <w:t>categorized</w:t>
      </w:r>
      <w:r w:rsidRPr="007D14F3">
        <w:rPr>
          <w:rFonts w:ascii="Times New Roman" w:hAnsi="Times New Roman" w:cs="Times New Roman"/>
          <w:sz w:val="24"/>
          <w:szCs w:val="24"/>
        </w:rPr>
        <w:t xml:space="preserve"> </w:t>
      </w:r>
      <w:r w:rsidRPr="007D14F3">
        <w:rPr>
          <w:rFonts w:ascii="Times New Roman" w:hAnsi="Times New Roman" w:cs="Times New Roman"/>
          <w:noProof/>
          <w:sz w:val="24"/>
          <w:szCs w:val="24"/>
        </w:rPr>
        <w:t>under</w:t>
      </w:r>
      <w:r w:rsidRPr="007D14F3">
        <w:rPr>
          <w:rFonts w:ascii="Times New Roman" w:hAnsi="Times New Roman" w:cs="Times New Roman"/>
          <w:sz w:val="24"/>
          <w:szCs w:val="24"/>
        </w:rPr>
        <w:t xml:space="preserve"> market measures, accounting measures and other measures (such as surveys of managers) (Bruner, 2004). The most popular measure used in research papers is an event study (short-term market measure) (Zollo and Meier, 2008). Furthermore, this method is used </w:t>
      </w:r>
      <w:r w:rsidR="00536906" w:rsidRPr="007D14F3">
        <w:rPr>
          <w:rFonts w:ascii="Times New Roman" w:hAnsi="Times New Roman" w:cs="Times New Roman"/>
          <w:sz w:val="24"/>
          <w:szCs w:val="24"/>
        </w:rPr>
        <w:t>in</w:t>
      </w:r>
      <w:r w:rsidRPr="007D14F3">
        <w:rPr>
          <w:rFonts w:ascii="Times New Roman" w:hAnsi="Times New Roman" w:cs="Times New Roman"/>
          <w:sz w:val="24"/>
          <w:szCs w:val="24"/>
        </w:rPr>
        <w:t xml:space="preserve"> studies evaluating the influence of board characteristics such as Byrd and Hickman (1992), Amar et al. (2011) or (Miletkov et al., 2015). </w:t>
      </w:r>
    </w:p>
    <w:p w:rsidR="007D7946" w:rsidRPr="007D14F3" w:rsidRDefault="007D7946" w:rsidP="009C7202">
      <w:pPr>
        <w:spacing w:before="120" w:after="120" w:line="240" w:lineRule="auto"/>
        <w:jc w:val="both"/>
        <w:rPr>
          <w:rFonts w:ascii="Times New Roman" w:hAnsi="Times New Roman" w:cs="Times New Roman"/>
          <w:sz w:val="24"/>
          <w:szCs w:val="24"/>
        </w:rPr>
      </w:pPr>
      <w:r w:rsidRPr="007D14F3">
        <w:rPr>
          <w:rFonts w:ascii="Times New Roman" w:hAnsi="Times New Roman" w:cs="Times New Roman"/>
          <w:sz w:val="24"/>
          <w:szCs w:val="24"/>
        </w:rPr>
        <w:t xml:space="preserve">In the event </w:t>
      </w:r>
      <w:r w:rsidRPr="00060F9F">
        <w:rPr>
          <w:rFonts w:ascii="Times New Roman" w:hAnsi="Times New Roman" w:cs="Times New Roman"/>
          <w:noProof/>
          <w:sz w:val="24"/>
          <w:szCs w:val="24"/>
        </w:rPr>
        <w:t>study</w:t>
      </w:r>
      <w:r w:rsidR="00060F9F">
        <w:rPr>
          <w:rFonts w:ascii="Times New Roman" w:hAnsi="Times New Roman" w:cs="Times New Roman"/>
          <w:noProof/>
          <w:sz w:val="24"/>
          <w:szCs w:val="24"/>
        </w:rPr>
        <w:t>,</w:t>
      </w:r>
      <w:r w:rsidRPr="007D14F3">
        <w:rPr>
          <w:rFonts w:ascii="Times New Roman" w:hAnsi="Times New Roman" w:cs="Times New Roman"/>
          <w:sz w:val="24"/>
          <w:szCs w:val="24"/>
        </w:rPr>
        <w:t xml:space="preserve"> actual returns on stocks of the acquirer over a short period of time around the deal announcement are compared to hypothetical returns in case of absence of an event. Cumulative abnormal return over the measurement window represents an increase or decrease in value of the acquirer </w:t>
      </w:r>
      <w:proofErr w:type="gramStart"/>
      <w:r w:rsidRPr="007D14F3">
        <w:rPr>
          <w:rFonts w:ascii="Times New Roman" w:hAnsi="Times New Roman" w:cs="Times New Roman"/>
          <w:sz w:val="24"/>
          <w:szCs w:val="24"/>
        </w:rPr>
        <w:t>as a result of</w:t>
      </w:r>
      <w:proofErr w:type="gramEnd"/>
      <w:r w:rsidRPr="007D14F3">
        <w:rPr>
          <w:rFonts w:ascii="Times New Roman" w:hAnsi="Times New Roman" w:cs="Times New Roman"/>
          <w:sz w:val="24"/>
          <w:szCs w:val="24"/>
        </w:rPr>
        <w:t xml:space="preserve"> the upcoming transaction. At the same time, it is assumed that the market </w:t>
      </w:r>
      <w:r w:rsidR="002A06B4" w:rsidRPr="007D14F3">
        <w:rPr>
          <w:rFonts w:ascii="Times New Roman" w:hAnsi="Times New Roman" w:cs="Times New Roman"/>
          <w:sz w:val="24"/>
          <w:szCs w:val="24"/>
        </w:rPr>
        <w:t>can</w:t>
      </w:r>
      <w:r w:rsidRPr="007D14F3">
        <w:rPr>
          <w:rFonts w:ascii="Times New Roman" w:hAnsi="Times New Roman" w:cs="Times New Roman"/>
          <w:sz w:val="24"/>
          <w:szCs w:val="24"/>
        </w:rPr>
        <w:t xml:space="preserve"> fully and correctly incorporate all new publicly available information is in stock prices. Consequently, the problem of joint hypothesis test occurs while assessing the performance of M&amp;A using this method (Binder, 1998).</w:t>
      </w:r>
    </w:p>
    <w:p w:rsidR="007D7946" w:rsidRPr="007D14F3" w:rsidRDefault="007D7946" w:rsidP="009C7202">
      <w:pPr>
        <w:spacing w:before="120" w:after="120" w:line="240" w:lineRule="auto"/>
        <w:jc w:val="both"/>
        <w:rPr>
          <w:rFonts w:ascii="Times New Roman" w:hAnsi="Times New Roman" w:cs="Times New Roman"/>
          <w:sz w:val="24"/>
          <w:szCs w:val="24"/>
        </w:rPr>
      </w:pPr>
      <w:r w:rsidRPr="007D14F3">
        <w:rPr>
          <w:rFonts w:ascii="Times New Roman" w:hAnsi="Times New Roman" w:cs="Times New Roman"/>
          <w:sz w:val="24"/>
          <w:szCs w:val="24"/>
        </w:rPr>
        <w:t xml:space="preserve">The abnormal returns are estimated over a 3-day event window, as it is long enough to include most of the announcement effects and at the same time short enough to not capture reactions to </w:t>
      </w:r>
      <w:r w:rsidRPr="007D14F3">
        <w:rPr>
          <w:rFonts w:ascii="Times New Roman" w:hAnsi="Times New Roman" w:cs="Times New Roman"/>
          <w:sz w:val="24"/>
          <w:szCs w:val="24"/>
        </w:rPr>
        <w:lastRenderedPageBreak/>
        <w:t>other events. To check the robustness of the results, cumulative abnormal returns over a 5-day (-</w:t>
      </w:r>
      <w:proofErr w:type="gramStart"/>
      <w:r w:rsidRPr="007D14F3">
        <w:rPr>
          <w:rFonts w:ascii="Times New Roman" w:hAnsi="Times New Roman" w:cs="Times New Roman"/>
          <w:sz w:val="24"/>
          <w:szCs w:val="24"/>
        </w:rPr>
        <w:t>2,+</w:t>
      </w:r>
      <w:proofErr w:type="gramEnd"/>
      <w:r w:rsidRPr="007D14F3">
        <w:rPr>
          <w:rFonts w:ascii="Times New Roman" w:hAnsi="Times New Roman" w:cs="Times New Roman"/>
          <w:sz w:val="24"/>
          <w:szCs w:val="24"/>
        </w:rPr>
        <w:t xml:space="preserve">2) and </w:t>
      </w:r>
      <w:r w:rsidRPr="00060F9F">
        <w:rPr>
          <w:rFonts w:ascii="Times New Roman" w:hAnsi="Times New Roman" w:cs="Times New Roman"/>
          <w:noProof/>
          <w:sz w:val="24"/>
          <w:szCs w:val="24"/>
        </w:rPr>
        <w:t>a</w:t>
      </w:r>
      <w:r w:rsidR="00060F9F">
        <w:rPr>
          <w:rFonts w:ascii="Times New Roman" w:hAnsi="Times New Roman" w:cs="Times New Roman"/>
          <w:noProof/>
          <w:sz w:val="24"/>
          <w:szCs w:val="24"/>
        </w:rPr>
        <w:t>n</w:t>
      </w:r>
      <w:r w:rsidRPr="00060F9F">
        <w:rPr>
          <w:rFonts w:ascii="Times New Roman" w:hAnsi="Times New Roman" w:cs="Times New Roman"/>
          <w:noProof/>
          <w:sz w:val="24"/>
          <w:szCs w:val="24"/>
        </w:rPr>
        <w:t xml:space="preserve"> 11-day</w:t>
      </w:r>
      <w:r w:rsidRPr="007D14F3">
        <w:rPr>
          <w:rFonts w:ascii="Times New Roman" w:hAnsi="Times New Roman" w:cs="Times New Roman"/>
          <w:noProof/>
          <w:sz w:val="24"/>
          <w:szCs w:val="24"/>
        </w:rPr>
        <w:t xml:space="preserve"> (-5,+5)</w:t>
      </w:r>
      <w:r w:rsidRPr="007D14F3">
        <w:rPr>
          <w:rFonts w:ascii="Times New Roman" w:hAnsi="Times New Roman" w:cs="Times New Roman"/>
          <w:sz w:val="24"/>
          <w:szCs w:val="24"/>
        </w:rPr>
        <w:t xml:space="preserve"> event period are calculated.</w:t>
      </w:r>
    </w:p>
    <w:p w:rsidR="007D7946" w:rsidRPr="007D14F3" w:rsidRDefault="007D7946" w:rsidP="009C7202">
      <w:pPr>
        <w:keepNext/>
        <w:keepLines/>
        <w:spacing w:before="120" w:after="120" w:line="240" w:lineRule="auto"/>
        <w:jc w:val="both"/>
        <w:rPr>
          <w:rFonts w:ascii="Times New Roman" w:hAnsi="Times New Roman" w:cs="Times New Roman"/>
          <w:sz w:val="24"/>
          <w:szCs w:val="24"/>
        </w:rPr>
      </w:pPr>
      <w:r w:rsidRPr="007D14F3">
        <w:rPr>
          <w:rFonts w:ascii="Times New Roman" w:hAnsi="Times New Roman" w:cs="Times New Roman"/>
          <w:sz w:val="24"/>
          <w:szCs w:val="24"/>
        </w:rPr>
        <w:t>The cumulative abnormal return is retrieved from the EVENTUS database. The tool calculates the CARs using the market model:</w:t>
      </w:r>
    </w:p>
    <w:p w:rsidR="007D7946" w:rsidRPr="007D14F3" w:rsidRDefault="007D7946" w:rsidP="009C7202">
      <w:pPr>
        <w:keepNext/>
        <w:keepLines/>
        <w:spacing w:before="120" w:after="120" w:line="240" w:lineRule="auto"/>
        <w:jc w:val="both"/>
        <w:rPr>
          <w:rFonts w:ascii="Times New Roman" w:eastAsiaTheme="minorEastAsia" w:hAnsi="Times New Roman" w:cs="Times New Roman"/>
          <w:sz w:val="24"/>
          <w:szCs w:val="24"/>
        </w:rPr>
      </w:pPr>
      <m:oMathPara>
        <m:oMath>
          <m:r>
            <w:rPr>
              <w:rFonts w:ascii="Cambria Math" w:hAnsi="Cambria Math" w:cs="Times New Roman"/>
              <w:sz w:val="24"/>
              <w:szCs w:val="24"/>
            </w:rPr>
            <m:t>C</m:t>
          </m:r>
          <m:sSub>
            <m:sSubPr>
              <m:ctrlPr>
                <w:rPr>
                  <w:rFonts w:ascii="Cambria Math" w:hAnsi="Cambria Math" w:cs="Times New Roman"/>
                  <w:i/>
                  <w:sz w:val="24"/>
                  <w:szCs w:val="24"/>
                </w:rPr>
              </m:ctrlPr>
            </m:sSubPr>
            <m:e>
              <m:r>
                <w:rPr>
                  <w:rFonts w:ascii="Cambria Math" w:hAnsi="Cambria Math" w:cs="Times New Roman"/>
                  <w:sz w:val="24"/>
                  <w:szCs w:val="24"/>
                </w:rPr>
                <m:t>AR</m:t>
              </m:r>
            </m:e>
            <m:sub>
              <m:r>
                <w:rPr>
                  <w:rFonts w:ascii="Cambria Math" w:hAnsi="Cambria Math" w:cs="Times New Roman"/>
                  <w:sz w:val="24"/>
                  <w:szCs w:val="24"/>
                </w:rPr>
                <m:t>i,t</m:t>
              </m:r>
            </m:sub>
          </m:sSub>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t=-1</m:t>
              </m:r>
            </m:sub>
            <m:sup>
              <m:r>
                <w:rPr>
                  <w:rFonts w:ascii="Cambria Math" w:hAnsi="Cambria Math" w:cs="Times New Roman"/>
                  <w:sz w:val="24"/>
                  <w:szCs w:val="24"/>
                </w:rPr>
                <m:t>1</m:t>
              </m:r>
            </m:sup>
            <m:e>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i,t</m:t>
                  </m:r>
                </m:sub>
              </m:sSub>
            </m:e>
          </m:nary>
          <m:r>
            <w:rPr>
              <w:rFonts w:ascii="Cambria Math" w:hAnsi="Cambria Math" w:cs="Times New Roman"/>
              <w:sz w:val="24"/>
              <w:szCs w:val="24"/>
            </w:rPr>
            <m:t>-</m:t>
          </m:r>
          <m:nary>
            <m:naryPr>
              <m:chr m:val="∑"/>
              <m:limLoc m:val="undOvr"/>
              <m:ctrlPr>
                <w:rPr>
                  <w:rFonts w:ascii="Cambria Math" w:hAnsi="Cambria Math" w:cs="Times New Roman"/>
                  <w:i/>
                  <w:sz w:val="24"/>
                  <w:szCs w:val="24"/>
                </w:rPr>
              </m:ctrlPr>
            </m:naryPr>
            <m:sub>
              <m:r>
                <w:rPr>
                  <w:rFonts w:ascii="Cambria Math" w:hAnsi="Cambria Math" w:cs="Times New Roman"/>
                  <w:sz w:val="24"/>
                  <w:szCs w:val="24"/>
                </w:rPr>
                <m:t>t=-1</m:t>
              </m:r>
            </m:sub>
            <m:sup>
              <m:r>
                <w:rPr>
                  <w:rFonts w:ascii="Cambria Math" w:hAnsi="Cambria Math" w:cs="Times New Roman"/>
                  <w:sz w:val="24"/>
                  <w:szCs w:val="24"/>
                </w:rPr>
                <m:t>1</m:t>
              </m:r>
            </m:sup>
            <m:e>
              <m:r>
                <w:rPr>
                  <w:rFonts w:ascii="Cambria Math" w:hAnsi="Cambria Math" w:cs="Times New Roman"/>
                  <w:sz w:val="24"/>
                  <w:szCs w:val="24"/>
                </w:rPr>
                <m:t>E(</m:t>
              </m:r>
              <m:sSub>
                <m:sSubPr>
                  <m:ctrlPr>
                    <w:rPr>
                      <w:rFonts w:ascii="Cambria Math" w:hAnsi="Cambria Math" w:cs="Times New Roman"/>
                      <w:i/>
                      <w:sz w:val="24"/>
                      <w:szCs w:val="24"/>
                    </w:rPr>
                  </m:ctrlPr>
                </m:sSubPr>
                <m:e>
                  <m:r>
                    <w:rPr>
                      <w:rFonts w:ascii="Cambria Math" w:hAnsi="Cambria Math" w:cs="Times New Roman"/>
                      <w:sz w:val="24"/>
                      <w:szCs w:val="24"/>
                    </w:rPr>
                    <m:t>R</m:t>
                  </m:r>
                </m:e>
                <m:sub>
                  <m:r>
                    <w:rPr>
                      <w:rFonts w:ascii="Cambria Math" w:hAnsi="Cambria Math" w:cs="Times New Roman"/>
                      <w:sz w:val="24"/>
                      <w:szCs w:val="24"/>
                    </w:rPr>
                    <m:t>i,t</m:t>
                  </m:r>
                </m:sub>
              </m:sSub>
              <m:r>
                <w:rPr>
                  <w:rFonts w:ascii="Cambria Math" w:hAnsi="Cambria Math" w:cs="Times New Roman"/>
                  <w:sz w:val="24"/>
                  <w:szCs w:val="24"/>
                </w:rPr>
                <m:t>)</m:t>
              </m:r>
            </m:e>
          </m:nary>
        </m:oMath>
      </m:oMathPara>
    </w:p>
    <w:p w:rsidR="007D7946" w:rsidRPr="007D14F3" w:rsidRDefault="007D7946" w:rsidP="009C7202">
      <w:pPr>
        <w:spacing w:before="120" w:after="120" w:line="240" w:lineRule="auto"/>
        <w:jc w:val="both"/>
        <w:rPr>
          <w:rFonts w:ascii="Times New Roman" w:hAnsi="Times New Roman" w:cs="Times New Roman"/>
          <w:sz w:val="24"/>
          <w:szCs w:val="24"/>
        </w:rPr>
      </w:pPr>
      <w:r w:rsidRPr="007D14F3">
        <w:rPr>
          <w:rFonts w:ascii="Times New Roman" w:hAnsi="Times New Roman" w:cs="Times New Roman"/>
          <w:sz w:val="24"/>
          <w:szCs w:val="24"/>
        </w:rPr>
        <w:t>where:</w:t>
      </w:r>
    </w:p>
    <w:p w:rsidR="007D7946" w:rsidRPr="007D14F3" w:rsidRDefault="00060F9F" w:rsidP="009C7202">
      <w:pPr>
        <w:spacing w:before="120" w:after="120" w:line="240" w:lineRule="auto"/>
        <w:jc w:val="both"/>
        <w:rPr>
          <w:rFonts w:ascii="Times New Roman" w:eastAsiaTheme="majorEastAsia" w:hAnsi="Times New Roman" w:cs="Times New Roman"/>
          <w:sz w:val="24"/>
          <w:szCs w:val="24"/>
        </w:rPr>
      </w:pPr>
      <m:oMath>
        <m:sSub>
          <m:sSubPr>
            <m:ctrlPr>
              <w:rPr>
                <w:rFonts w:ascii="Cambria Math" w:eastAsiaTheme="majorEastAsia" w:hAnsi="Cambria Math" w:cs="Times New Roman"/>
                <w:sz w:val="24"/>
                <w:szCs w:val="24"/>
              </w:rPr>
            </m:ctrlPr>
          </m:sSubPr>
          <m:e>
            <m:r>
              <w:rPr>
                <w:rFonts w:ascii="Cambria Math" w:eastAsiaTheme="majorEastAsia" w:hAnsi="Cambria Math" w:cs="Times New Roman"/>
                <w:sz w:val="24"/>
                <w:szCs w:val="24"/>
              </w:rPr>
              <m:t>R</m:t>
            </m:r>
          </m:e>
          <m:sub>
            <m:r>
              <w:rPr>
                <w:rFonts w:ascii="Cambria Math" w:eastAsiaTheme="majorEastAsia" w:hAnsi="Cambria Math" w:cs="Times New Roman"/>
                <w:sz w:val="24"/>
                <w:szCs w:val="24"/>
              </w:rPr>
              <m:t>i</m:t>
            </m:r>
            <m:r>
              <m:rPr>
                <m:sty m:val="p"/>
              </m:rPr>
              <w:rPr>
                <w:rFonts w:ascii="Cambria Math" w:eastAsiaTheme="majorEastAsia" w:hAnsi="Cambria Math" w:cs="Times New Roman"/>
                <w:sz w:val="24"/>
                <w:szCs w:val="24"/>
              </w:rPr>
              <m:t>,</m:t>
            </m:r>
            <m:r>
              <w:rPr>
                <w:rFonts w:ascii="Cambria Math" w:eastAsiaTheme="majorEastAsia" w:hAnsi="Cambria Math" w:cs="Times New Roman"/>
                <w:sz w:val="24"/>
                <w:szCs w:val="24"/>
              </w:rPr>
              <m:t>t</m:t>
            </m:r>
          </m:sub>
        </m:sSub>
      </m:oMath>
      <w:r w:rsidR="007D7946" w:rsidRPr="007D14F3">
        <w:rPr>
          <w:rFonts w:ascii="Times New Roman" w:eastAsiaTheme="majorEastAsia" w:hAnsi="Times New Roman" w:cs="Times New Roman"/>
          <w:sz w:val="24"/>
          <w:szCs w:val="24"/>
        </w:rPr>
        <w:t xml:space="preserve"> – the actual return on a given day,</w:t>
      </w:r>
    </w:p>
    <w:p w:rsidR="007D7946" w:rsidRPr="007D14F3" w:rsidRDefault="007D7946" w:rsidP="009C7202">
      <w:pPr>
        <w:spacing w:before="120" w:after="120" w:line="240" w:lineRule="auto"/>
        <w:jc w:val="both"/>
        <w:rPr>
          <w:rFonts w:ascii="Times New Roman" w:eastAsiaTheme="majorEastAsia" w:hAnsi="Times New Roman" w:cs="Times New Roman"/>
          <w:sz w:val="24"/>
          <w:szCs w:val="24"/>
        </w:rPr>
      </w:pPr>
      <m:oMath>
        <m:r>
          <w:rPr>
            <w:rFonts w:ascii="Cambria Math" w:eastAsiaTheme="majorEastAsia" w:hAnsi="Cambria Math" w:cs="Times New Roman"/>
            <w:sz w:val="24"/>
            <w:szCs w:val="24"/>
          </w:rPr>
          <m:t>E</m:t>
        </m:r>
        <m:r>
          <m:rPr>
            <m:sty m:val="p"/>
          </m:rPr>
          <w:rPr>
            <w:rFonts w:ascii="Cambria Math" w:eastAsiaTheme="majorEastAsia" w:hAnsi="Cambria Math" w:cs="Times New Roman"/>
            <w:sz w:val="24"/>
            <w:szCs w:val="24"/>
          </w:rPr>
          <m:t>(</m:t>
        </m:r>
        <m:sSub>
          <m:sSubPr>
            <m:ctrlPr>
              <w:rPr>
                <w:rFonts w:ascii="Cambria Math" w:eastAsiaTheme="majorEastAsia" w:hAnsi="Cambria Math" w:cs="Times New Roman"/>
                <w:sz w:val="24"/>
                <w:szCs w:val="24"/>
              </w:rPr>
            </m:ctrlPr>
          </m:sSubPr>
          <m:e>
            <m:r>
              <w:rPr>
                <w:rFonts w:ascii="Cambria Math" w:eastAsiaTheme="majorEastAsia" w:hAnsi="Cambria Math" w:cs="Times New Roman"/>
                <w:sz w:val="24"/>
                <w:szCs w:val="24"/>
              </w:rPr>
              <m:t>R</m:t>
            </m:r>
          </m:e>
          <m:sub>
            <m:r>
              <w:rPr>
                <w:rFonts w:ascii="Cambria Math" w:eastAsiaTheme="majorEastAsia" w:hAnsi="Cambria Math" w:cs="Times New Roman"/>
                <w:sz w:val="24"/>
                <w:szCs w:val="24"/>
              </w:rPr>
              <m:t>i</m:t>
            </m:r>
            <m:r>
              <m:rPr>
                <m:sty m:val="p"/>
              </m:rPr>
              <w:rPr>
                <w:rFonts w:ascii="Cambria Math" w:eastAsiaTheme="majorEastAsia" w:hAnsi="Cambria Math" w:cs="Times New Roman"/>
                <w:sz w:val="24"/>
                <w:szCs w:val="24"/>
              </w:rPr>
              <m:t>,</m:t>
            </m:r>
            <m:r>
              <w:rPr>
                <w:rFonts w:ascii="Cambria Math" w:eastAsiaTheme="majorEastAsia" w:hAnsi="Cambria Math" w:cs="Times New Roman"/>
                <w:sz w:val="24"/>
                <w:szCs w:val="24"/>
              </w:rPr>
              <m:t>t</m:t>
            </m:r>
          </m:sub>
        </m:sSub>
        <m:r>
          <m:rPr>
            <m:sty m:val="p"/>
          </m:rPr>
          <w:rPr>
            <w:rFonts w:ascii="Cambria Math" w:eastAsiaTheme="majorEastAsia" w:hAnsi="Cambria Math" w:cs="Times New Roman"/>
            <w:sz w:val="24"/>
            <w:szCs w:val="24"/>
          </w:rPr>
          <m:t>)</m:t>
        </m:r>
      </m:oMath>
      <w:r w:rsidRPr="007D14F3">
        <w:rPr>
          <w:rFonts w:ascii="Times New Roman" w:eastAsiaTheme="majorEastAsia" w:hAnsi="Times New Roman" w:cs="Times New Roman"/>
          <w:sz w:val="24"/>
          <w:szCs w:val="24"/>
        </w:rPr>
        <w:t xml:space="preserve"> – the expected return based on CRSP Equally Weighted Market Index and estimated over the period (-</w:t>
      </w:r>
      <w:proofErr w:type="gramStart"/>
      <w:r w:rsidRPr="007D14F3">
        <w:rPr>
          <w:rFonts w:ascii="Times New Roman" w:eastAsiaTheme="majorEastAsia" w:hAnsi="Times New Roman" w:cs="Times New Roman"/>
          <w:sz w:val="24"/>
          <w:szCs w:val="24"/>
        </w:rPr>
        <w:t>210,-</w:t>
      </w:r>
      <w:proofErr w:type="gramEnd"/>
      <w:r w:rsidRPr="007D14F3">
        <w:rPr>
          <w:rFonts w:ascii="Times New Roman" w:eastAsiaTheme="majorEastAsia" w:hAnsi="Times New Roman" w:cs="Times New Roman"/>
          <w:sz w:val="24"/>
          <w:szCs w:val="24"/>
        </w:rPr>
        <w:t>11), where 0 is the announcement day.</w:t>
      </w:r>
    </w:p>
    <w:p w:rsidR="007B410E" w:rsidRPr="007D14F3" w:rsidRDefault="007B410E" w:rsidP="009C7202">
      <w:pPr>
        <w:pStyle w:val="Heading2"/>
        <w:numPr>
          <w:ilvl w:val="1"/>
          <w:numId w:val="3"/>
        </w:numPr>
        <w:spacing w:before="120" w:after="120" w:line="240" w:lineRule="auto"/>
        <w:rPr>
          <w:rFonts w:cs="Times New Roman"/>
          <w:szCs w:val="24"/>
        </w:rPr>
      </w:pPr>
      <w:r w:rsidRPr="007D14F3">
        <w:rPr>
          <w:rFonts w:cs="Times New Roman"/>
          <w:szCs w:val="24"/>
        </w:rPr>
        <w:t>Control variables</w:t>
      </w:r>
      <w:bookmarkEnd w:id="36"/>
    </w:p>
    <w:p w:rsidR="00DD7C72" w:rsidRPr="007D14F3" w:rsidRDefault="00C76B0D" w:rsidP="009C7202">
      <w:pPr>
        <w:spacing w:before="120" w:after="120" w:line="240" w:lineRule="auto"/>
        <w:jc w:val="both"/>
        <w:rPr>
          <w:rFonts w:ascii="Times New Roman" w:eastAsiaTheme="majorEastAsia" w:hAnsi="Times New Roman" w:cs="Times New Roman"/>
          <w:sz w:val="24"/>
          <w:szCs w:val="24"/>
        </w:rPr>
      </w:pPr>
      <w:r w:rsidRPr="007D14F3">
        <w:rPr>
          <w:rFonts w:ascii="Times New Roman" w:eastAsiaTheme="majorEastAsia" w:hAnsi="Times New Roman" w:cs="Times New Roman"/>
          <w:sz w:val="24"/>
          <w:szCs w:val="24"/>
        </w:rPr>
        <w:t>As b</w:t>
      </w:r>
      <w:r w:rsidR="00E94814" w:rsidRPr="007D14F3">
        <w:rPr>
          <w:rFonts w:ascii="Times New Roman" w:eastAsiaTheme="majorEastAsia" w:hAnsi="Times New Roman" w:cs="Times New Roman"/>
          <w:sz w:val="24"/>
          <w:szCs w:val="24"/>
        </w:rPr>
        <w:t>idder returns can be influence</w:t>
      </w:r>
      <w:r w:rsidR="00FD7CD3" w:rsidRPr="007D14F3">
        <w:rPr>
          <w:rFonts w:ascii="Times New Roman" w:eastAsiaTheme="majorEastAsia" w:hAnsi="Times New Roman" w:cs="Times New Roman"/>
          <w:sz w:val="24"/>
          <w:szCs w:val="24"/>
        </w:rPr>
        <w:t>d</w:t>
      </w:r>
      <w:r w:rsidR="00E94814" w:rsidRPr="007D14F3">
        <w:rPr>
          <w:rFonts w:ascii="Times New Roman" w:eastAsiaTheme="majorEastAsia" w:hAnsi="Times New Roman" w:cs="Times New Roman"/>
          <w:sz w:val="24"/>
          <w:szCs w:val="24"/>
        </w:rPr>
        <w:t xml:space="preserve"> by </w:t>
      </w:r>
      <w:r w:rsidR="00FD7CD3" w:rsidRPr="007D14F3">
        <w:rPr>
          <w:rFonts w:ascii="Times New Roman" w:eastAsiaTheme="majorEastAsia" w:hAnsi="Times New Roman" w:cs="Times New Roman"/>
          <w:sz w:val="24"/>
          <w:szCs w:val="24"/>
        </w:rPr>
        <w:t>many</w:t>
      </w:r>
      <w:r w:rsidR="00E94814" w:rsidRPr="007D14F3">
        <w:rPr>
          <w:rFonts w:ascii="Times New Roman" w:eastAsiaTheme="majorEastAsia" w:hAnsi="Times New Roman" w:cs="Times New Roman"/>
          <w:sz w:val="24"/>
          <w:szCs w:val="24"/>
        </w:rPr>
        <w:t xml:space="preserve"> </w:t>
      </w:r>
      <w:r w:rsidR="009D1D66" w:rsidRPr="007D14F3">
        <w:rPr>
          <w:rFonts w:ascii="Times New Roman" w:eastAsiaTheme="majorEastAsia" w:hAnsi="Times New Roman" w:cs="Times New Roman"/>
          <w:sz w:val="24"/>
          <w:szCs w:val="24"/>
        </w:rPr>
        <w:t>factors</w:t>
      </w:r>
      <w:r w:rsidRPr="007D14F3">
        <w:rPr>
          <w:rFonts w:ascii="Times New Roman" w:eastAsiaTheme="majorEastAsia" w:hAnsi="Times New Roman" w:cs="Times New Roman"/>
          <w:sz w:val="24"/>
          <w:szCs w:val="24"/>
        </w:rPr>
        <w:t>, control variables are included in the regression model t</w:t>
      </w:r>
      <w:r w:rsidR="00E94814" w:rsidRPr="007D14F3">
        <w:rPr>
          <w:rFonts w:ascii="Times New Roman" w:eastAsiaTheme="majorEastAsia" w:hAnsi="Times New Roman" w:cs="Times New Roman"/>
          <w:sz w:val="24"/>
          <w:szCs w:val="24"/>
        </w:rPr>
        <w:t>o e</w:t>
      </w:r>
      <w:r w:rsidRPr="007D14F3">
        <w:rPr>
          <w:rFonts w:ascii="Times New Roman" w:eastAsiaTheme="majorEastAsia" w:hAnsi="Times New Roman" w:cs="Times New Roman"/>
          <w:sz w:val="24"/>
          <w:szCs w:val="24"/>
        </w:rPr>
        <w:t xml:space="preserve">nsure </w:t>
      </w:r>
      <w:r w:rsidR="00060F9F">
        <w:rPr>
          <w:rFonts w:ascii="Times New Roman" w:eastAsiaTheme="majorEastAsia" w:hAnsi="Times New Roman" w:cs="Times New Roman"/>
          <w:sz w:val="24"/>
          <w:szCs w:val="24"/>
        </w:rPr>
        <w:t xml:space="preserve">the </w:t>
      </w:r>
      <w:r w:rsidRPr="00060F9F">
        <w:rPr>
          <w:rFonts w:ascii="Times New Roman" w:eastAsiaTheme="majorEastAsia" w:hAnsi="Times New Roman" w:cs="Times New Roman"/>
          <w:noProof/>
          <w:sz w:val="24"/>
          <w:szCs w:val="24"/>
        </w:rPr>
        <w:t>robustness</w:t>
      </w:r>
      <w:r w:rsidRPr="007D14F3">
        <w:rPr>
          <w:rFonts w:ascii="Times New Roman" w:eastAsiaTheme="majorEastAsia" w:hAnsi="Times New Roman" w:cs="Times New Roman"/>
          <w:sz w:val="24"/>
          <w:szCs w:val="24"/>
        </w:rPr>
        <w:t xml:space="preserve"> of the results</w:t>
      </w:r>
      <w:r w:rsidR="00E94814" w:rsidRPr="007D14F3">
        <w:rPr>
          <w:rFonts w:ascii="Times New Roman" w:eastAsiaTheme="majorEastAsia" w:hAnsi="Times New Roman" w:cs="Times New Roman"/>
          <w:sz w:val="24"/>
          <w:szCs w:val="24"/>
        </w:rPr>
        <w:t xml:space="preserve">. The variables </w:t>
      </w:r>
      <w:r w:rsidR="00E94814" w:rsidRPr="007D14F3">
        <w:rPr>
          <w:rFonts w:ascii="Times New Roman" w:eastAsiaTheme="majorEastAsia" w:hAnsi="Times New Roman" w:cs="Times New Roman"/>
          <w:noProof/>
          <w:sz w:val="24"/>
          <w:szCs w:val="24"/>
        </w:rPr>
        <w:t>include</w:t>
      </w:r>
      <w:r w:rsidR="00E94814" w:rsidRPr="007D14F3">
        <w:rPr>
          <w:rFonts w:ascii="Times New Roman" w:eastAsiaTheme="majorEastAsia" w:hAnsi="Times New Roman" w:cs="Times New Roman"/>
          <w:sz w:val="24"/>
          <w:szCs w:val="24"/>
        </w:rPr>
        <w:t xml:space="preserve"> deal, bidder</w:t>
      </w:r>
      <w:r w:rsidR="00376995" w:rsidRPr="007D14F3">
        <w:rPr>
          <w:rFonts w:ascii="Times New Roman" w:eastAsiaTheme="majorEastAsia" w:hAnsi="Times New Roman" w:cs="Times New Roman"/>
          <w:sz w:val="24"/>
          <w:szCs w:val="24"/>
        </w:rPr>
        <w:t>,</w:t>
      </w:r>
      <w:r w:rsidR="00E94814" w:rsidRPr="007D14F3">
        <w:rPr>
          <w:rFonts w:ascii="Times New Roman" w:eastAsiaTheme="majorEastAsia" w:hAnsi="Times New Roman" w:cs="Times New Roman"/>
          <w:sz w:val="24"/>
          <w:szCs w:val="24"/>
        </w:rPr>
        <w:t xml:space="preserve"> </w:t>
      </w:r>
      <w:r w:rsidR="00E94814" w:rsidRPr="007D14F3">
        <w:rPr>
          <w:rFonts w:ascii="Times New Roman" w:eastAsiaTheme="majorEastAsia" w:hAnsi="Times New Roman" w:cs="Times New Roman"/>
          <w:noProof/>
          <w:sz w:val="24"/>
          <w:szCs w:val="24"/>
        </w:rPr>
        <w:t>and</w:t>
      </w:r>
      <w:r w:rsidR="00E94814" w:rsidRPr="007D14F3">
        <w:rPr>
          <w:rFonts w:ascii="Times New Roman" w:eastAsiaTheme="majorEastAsia" w:hAnsi="Times New Roman" w:cs="Times New Roman"/>
          <w:sz w:val="24"/>
          <w:szCs w:val="24"/>
        </w:rPr>
        <w:t xml:space="preserve"> other corporate governance characteristics.</w:t>
      </w:r>
    </w:p>
    <w:p w:rsidR="00DD7C72" w:rsidRPr="007D14F3" w:rsidRDefault="00712D22" w:rsidP="009C7202">
      <w:pPr>
        <w:spacing w:before="120" w:after="120" w:line="240" w:lineRule="auto"/>
        <w:jc w:val="both"/>
        <w:rPr>
          <w:rFonts w:ascii="Times New Roman" w:eastAsiaTheme="majorEastAsia" w:hAnsi="Times New Roman" w:cs="Times New Roman"/>
          <w:sz w:val="24"/>
          <w:szCs w:val="24"/>
        </w:rPr>
      </w:pPr>
      <w:r w:rsidRPr="007D14F3">
        <w:rPr>
          <w:rFonts w:ascii="Times New Roman" w:eastAsiaTheme="majorEastAsia" w:hAnsi="Times New Roman" w:cs="Times New Roman"/>
          <w:b/>
          <w:sz w:val="24"/>
          <w:szCs w:val="24"/>
        </w:rPr>
        <w:t>Bidder characteristics</w:t>
      </w:r>
    </w:p>
    <w:p w:rsidR="00C51AFE" w:rsidRPr="007D14F3" w:rsidRDefault="00C51AFE" w:rsidP="009C7202">
      <w:pPr>
        <w:spacing w:before="120" w:after="120" w:line="240" w:lineRule="auto"/>
        <w:jc w:val="both"/>
        <w:rPr>
          <w:rFonts w:ascii="Times New Roman" w:hAnsi="Times New Roman" w:cs="Times New Roman"/>
          <w:sz w:val="24"/>
          <w:szCs w:val="24"/>
        </w:rPr>
      </w:pPr>
      <w:r w:rsidRPr="007D14F3">
        <w:rPr>
          <w:rFonts w:ascii="Times New Roman" w:hAnsi="Times New Roman" w:cs="Times New Roman"/>
          <w:sz w:val="24"/>
          <w:szCs w:val="24"/>
        </w:rPr>
        <w:t xml:space="preserve">Higher debt reduces free cash flows and </w:t>
      </w:r>
      <w:r w:rsidRPr="007D14F3">
        <w:rPr>
          <w:rFonts w:ascii="Times New Roman" w:hAnsi="Times New Roman" w:cs="Times New Roman"/>
          <w:noProof/>
          <w:sz w:val="24"/>
          <w:szCs w:val="24"/>
        </w:rPr>
        <w:t>limit</w:t>
      </w:r>
      <w:r w:rsidR="00376995" w:rsidRPr="007D14F3">
        <w:rPr>
          <w:rFonts w:ascii="Times New Roman" w:hAnsi="Times New Roman" w:cs="Times New Roman"/>
          <w:noProof/>
          <w:sz w:val="24"/>
          <w:szCs w:val="24"/>
        </w:rPr>
        <w:t>s</w:t>
      </w:r>
      <w:r w:rsidRPr="007D14F3">
        <w:rPr>
          <w:rFonts w:ascii="Times New Roman" w:hAnsi="Times New Roman" w:cs="Times New Roman"/>
          <w:sz w:val="24"/>
          <w:szCs w:val="24"/>
        </w:rPr>
        <w:t xml:space="preserve"> the managerial empire building problem (Jensen 1986). Leverage serves as a</w:t>
      </w:r>
      <w:r w:rsidR="00712D22" w:rsidRPr="007D14F3">
        <w:rPr>
          <w:rFonts w:ascii="Times New Roman" w:hAnsi="Times New Roman" w:cs="Times New Roman"/>
          <w:sz w:val="24"/>
          <w:szCs w:val="24"/>
        </w:rPr>
        <w:t xml:space="preserve"> corporate governance mechanism, therefore a debt ratio </w:t>
      </w:r>
      <w:r w:rsidR="00EF3AAB" w:rsidRPr="007D14F3">
        <w:rPr>
          <w:rFonts w:ascii="Times New Roman" w:hAnsi="Times New Roman" w:cs="Times New Roman"/>
          <w:sz w:val="24"/>
          <w:szCs w:val="24"/>
        </w:rPr>
        <w:t xml:space="preserve">expressed as the book value of short and long-term debt over the market value of total assets </w:t>
      </w:r>
      <w:r w:rsidR="00712D22" w:rsidRPr="007D14F3">
        <w:rPr>
          <w:rFonts w:ascii="Times New Roman" w:hAnsi="Times New Roman" w:cs="Times New Roman"/>
          <w:sz w:val="24"/>
          <w:szCs w:val="24"/>
        </w:rPr>
        <w:t xml:space="preserve">is expected to have a </w:t>
      </w:r>
      <w:r w:rsidR="00712D22" w:rsidRPr="007D14F3">
        <w:rPr>
          <w:rFonts w:ascii="Times New Roman" w:hAnsi="Times New Roman" w:cs="Times New Roman"/>
          <w:i/>
          <w:sz w:val="24"/>
          <w:szCs w:val="24"/>
        </w:rPr>
        <w:t>positive</w:t>
      </w:r>
      <w:r w:rsidR="00712D22" w:rsidRPr="007D14F3">
        <w:rPr>
          <w:rFonts w:ascii="Times New Roman" w:hAnsi="Times New Roman" w:cs="Times New Roman"/>
          <w:sz w:val="24"/>
          <w:szCs w:val="24"/>
        </w:rPr>
        <w:t xml:space="preserve"> influence on CAR (</w:t>
      </w:r>
      <w:r w:rsidRPr="007D14F3">
        <w:rPr>
          <w:rFonts w:ascii="Times New Roman" w:hAnsi="Times New Roman" w:cs="Times New Roman"/>
          <w:sz w:val="24"/>
          <w:szCs w:val="24"/>
        </w:rPr>
        <w:t>Maloney et al.</w:t>
      </w:r>
      <w:r w:rsidR="00712D22" w:rsidRPr="007D14F3">
        <w:rPr>
          <w:rFonts w:ascii="Times New Roman" w:hAnsi="Times New Roman" w:cs="Times New Roman"/>
          <w:sz w:val="24"/>
          <w:szCs w:val="24"/>
        </w:rPr>
        <w:t>, 1993).</w:t>
      </w:r>
    </w:p>
    <w:p w:rsidR="00C51AFE" w:rsidRPr="007D14F3" w:rsidRDefault="00C51AFE" w:rsidP="009C7202">
      <w:pPr>
        <w:spacing w:before="120" w:after="120" w:line="240" w:lineRule="auto"/>
        <w:jc w:val="both"/>
        <w:rPr>
          <w:rFonts w:ascii="Times New Roman" w:hAnsi="Times New Roman" w:cs="Times New Roman"/>
          <w:sz w:val="24"/>
          <w:szCs w:val="24"/>
        </w:rPr>
      </w:pPr>
      <w:r w:rsidRPr="007D14F3">
        <w:rPr>
          <w:rFonts w:ascii="Times New Roman" w:hAnsi="Times New Roman" w:cs="Times New Roman"/>
          <w:sz w:val="24"/>
          <w:szCs w:val="24"/>
        </w:rPr>
        <w:t xml:space="preserve">According to Jensen (1986), if a firm generates excessive free cash flow, managers will over-expand the company and carry out </w:t>
      </w:r>
      <w:r w:rsidRPr="00060F9F">
        <w:rPr>
          <w:rFonts w:ascii="Times New Roman" w:hAnsi="Times New Roman" w:cs="Times New Roman"/>
          <w:noProof/>
          <w:sz w:val="24"/>
          <w:szCs w:val="24"/>
        </w:rPr>
        <w:t>value</w:t>
      </w:r>
      <w:r w:rsidR="00060F9F">
        <w:rPr>
          <w:rFonts w:ascii="Times New Roman" w:hAnsi="Times New Roman" w:cs="Times New Roman"/>
          <w:noProof/>
          <w:sz w:val="24"/>
          <w:szCs w:val="24"/>
        </w:rPr>
        <w:t>-</w:t>
      </w:r>
      <w:r w:rsidRPr="00060F9F">
        <w:rPr>
          <w:rFonts w:ascii="Times New Roman" w:hAnsi="Times New Roman" w:cs="Times New Roman"/>
          <w:noProof/>
          <w:sz w:val="24"/>
          <w:szCs w:val="24"/>
        </w:rPr>
        <w:t>destroying</w:t>
      </w:r>
      <w:r w:rsidRPr="007D14F3">
        <w:rPr>
          <w:rFonts w:ascii="Times New Roman" w:hAnsi="Times New Roman" w:cs="Times New Roman"/>
          <w:sz w:val="24"/>
          <w:szCs w:val="24"/>
        </w:rPr>
        <w:t xml:space="preserve"> transactions. However, free cash flow can also indicate a good recent performance of the company. Hence, free cash flow might be either </w:t>
      </w:r>
      <w:r w:rsidRPr="007D14F3">
        <w:rPr>
          <w:rFonts w:ascii="Times New Roman" w:hAnsi="Times New Roman" w:cs="Times New Roman"/>
          <w:i/>
          <w:sz w:val="24"/>
          <w:szCs w:val="24"/>
        </w:rPr>
        <w:t>positively</w:t>
      </w:r>
      <w:r w:rsidRPr="007D14F3">
        <w:rPr>
          <w:rFonts w:ascii="Times New Roman" w:hAnsi="Times New Roman" w:cs="Times New Roman"/>
          <w:sz w:val="24"/>
          <w:szCs w:val="24"/>
        </w:rPr>
        <w:t xml:space="preserve"> or </w:t>
      </w:r>
      <w:r w:rsidRPr="007D14F3">
        <w:rPr>
          <w:rFonts w:ascii="Times New Roman" w:hAnsi="Times New Roman" w:cs="Times New Roman"/>
          <w:i/>
          <w:sz w:val="24"/>
          <w:szCs w:val="24"/>
        </w:rPr>
        <w:t>negatively</w:t>
      </w:r>
      <w:r w:rsidRPr="007D14F3">
        <w:rPr>
          <w:rFonts w:ascii="Times New Roman" w:hAnsi="Times New Roman" w:cs="Times New Roman"/>
          <w:sz w:val="24"/>
          <w:szCs w:val="24"/>
        </w:rPr>
        <w:t xml:space="preserve"> correlated </w:t>
      </w:r>
      <w:r w:rsidR="00712D22" w:rsidRPr="007D14F3">
        <w:rPr>
          <w:rFonts w:ascii="Times New Roman" w:hAnsi="Times New Roman" w:cs="Times New Roman"/>
          <w:sz w:val="24"/>
          <w:szCs w:val="24"/>
        </w:rPr>
        <w:t>with bidder’s abnormal returns.</w:t>
      </w:r>
      <w:r w:rsidR="00F90DEB" w:rsidRPr="007D14F3">
        <w:rPr>
          <w:rFonts w:ascii="Times New Roman" w:hAnsi="Times New Roman" w:cs="Times New Roman"/>
          <w:sz w:val="24"/>
          <w:szCs w:val="24"/>
        </w:rPr>
        <w:t xml:space="preserve"> In the study, FCF is calculated </w:t>
      </w:r>
      <w:r w:rsidR="00F90DEB" w:rsidRPr="00060F9F">
        <w:rPr>
          <w:rFonts w:ascii="Times New Roman" w:hAnsi="Times New Roman" w:cs="Times New Roman"/>
          <w:noProof/>
          <w:sz w:val="24"/>
          <w:szCs w:val="24"/>
        </w:rPr>
        <w:t>as</w:t>
      </w:r>
      <w:r w:rsidR="00F90DEB" w:rsidRPr="007D14F3">
        <w:rPr>
          <w:rFonts w:ascii="Times New Roman" w:hAnsi="Times New Roman" w:cs="Times New Roman"/>
          <w:sz w:val="24"/>
          <w:szCs w:val="24"/>
        </w:rPr>
        <w:t xml:space="preserve"> operating income before depreciation - income taxes - interest expenses capital expenditures scaled by b</w:t>
      </w:r>
      <w:r w:rsidR="002A06B4">
        <w:rPr>
          <w:rFonts w:ascii="Times New Roman" w:hAnsi="Times New Roman" w:cs="Times New Roman"/>
          <w:sz w:val="24"/>
          <w:szCs w:val="24"/>
        </w:rPr>
        <w:t>ook value of total assets, in million</w:t>
      </w:r>
      <w:r w:rsidR="00F90DEB" w:rsidRPr="007D14F3">
        <w:rPr>
          <w:rFonts w:ascii="Times New Roman" w:hAnsi="Times New Roman" w:cs="Times New Roman"/>
          <w:sz w:val="24"/>
          <w:szCs w:val="24"/>
        </w:rPr>
        <w:t xml:space="preserve"> US$.</w:t>
      </w:r>
    </w:p>
    <w:p w:rsidR="00C51AFE" w:rsidRPr="007D14F3" w:rsidRDefault="00712D22" w:rsidP="009C7202">
      <w:pPr>
        <w:spacing w:before="120" w:after="120" w:line="240" w:lineRule="auto"/>
        <w:jc w:val="both"/>
        <w:rPr>
          <w:rFonts w:ascii="Times New Roman" w:hAnsi="Times New Roman" w:cs="Times New Roman"/>
          <w:sz w:val="24"/>
          <w:szCs w:val="24"/>
        </w:rPr>
      </w:pPr>
      <w:r w:rsidRPr="007D14F3">
        <w:rPr>
          <w:rFonts w:ascii="Times New Roman" w:hAnsi="Times New Roman" w:cs="Times New Roman"/>
          <w:sz w:val="24"/>
          <w:szCs w:val="24"/>
        </w:rPr>
        <w:t>As companies</w:t>
      </w:r>
      <w:r w:rsidR="00C51AFE" w:rsidRPr="007D14F3">
        <w:rPr>
          <w:rFonts w:ascii="Times New Roman" w:hAnsi="Times New Roman" w:cs="Times New Roman"/>
          <w:sz w:val="24"/>
          <w:szCs w:val="24"/>
        </w:rPr>
        <w:t xml:space="preserve"> with higher Tobin’s q experience higher acquisition announcement abnormal returns</w:t>
      </w:r>
      <w:r w:rsidRPr="007D14F3">
        <w:rPr>
          <w:rFonts w:ascii="Times New Roman" w:hAnsi="Times New Roman" w:cs="Times New Roman"/>
          <w:sz w:val="24"/>
          <w:szCs w:val="24"/>
        </w:rPr>
        <w:t xml:space="preserve">, </w:t>
      </w:r>
      <w:r w:rsidR="00C51AFE" w:rsidRPr="007D14F3">
        <w:rPr>
          <w:rFonts w:ascii="Times New Roman" w:hAnsi="Times New Roman" w:cs="Times New Roman"/>
          <w:sz w:val="24"/>
          <w:szCs w:val="24"/>
        </w:rPr>
        <w:t xml:space="preserve">a variable ‘Tobin’s q’ </w:t>
      </w:r>
      <w:r w:rsidRPr="007D14F3">
        <w:rPr>
          <w:rFonts w:ascii="Times New Roman" w:hAnsi="Times New Roman" w:cs="Times New Roman"/>
          <w:sz w:val="24"/>
          <w:szCs w:val="24"/>
        </w:rPr>
        <w:t xml:space="preserve">controlling for this phenomenon is included in the model </w:t>
      </w:r>
      <w:r w:rsidR="00F90DEB" w:rsidRPr="007D14F3">
        <w:rPr>
          <w:rFonts w:ascii="Times New Roman" w:hAnsi="Times New Roman" w:cs="Times New Roman"/>
          <w:sz w:val="24"/>
          <w:szCs w:val="24"/>
        </w:rPr>
        <w:t xml:space="preserve">and expressed as market value of equity plus book value of short- and long-term debt over book value of assets </w:t>
      </w:r>
      <w:r w:rsidRPr="007D14F3">
        <w:rPr>
          <w:rFonts w:ascii="Times New Roman" w:hAnsi="Times New Roman" w:cs="Times New Roman"/>
          <w:sz w:val="24"/>
          <w:szCs w:val="24"/>
        </w:rPr>
        <w:t xml:space="preserve">(Lang et al., 1991), (Servaes, 1991). </w:t>
      </w:r>
      <w:r w:rsidR="00C51AFE" w:rsidRPr="007D14F3">
        <w:rPr>
          <w:rFonts w:ascii="Times New Roman" w:hAnsi="Times New Roman" w:cs="Times New Roman"/>
          <w:sz w:val="24"/>
          <w:szCs w:val="24"/>
        </w:rPr>
        <w:t>Chun</w:t>
      </w:r>
      <w:r w:rsidRPr="007D14F3">
        <w:rPr>
          <w:rFonts w:ascii="Times New Roman" w:hAnsi="Times New Roman" w:cs="Times New Roman"/>
          <w:sz w:val="24"/>
          <w:szCs w:val="24"/>
        </w:rPr>
        <w:t xml:space="preserve">g and Pruitt (1994) find evidence that </w:t>
      </w:r>
      <w:r w:rsidR="00C51AFE" w:rsidRPr="007D14F3">
        <w:rPr>
          <w:rFonts w:ascii="Times New Roman" w:hAnsi="Times New Roman" w:cs="Times New Roman"/>
          <w:sz w:val="24"/>
          <w:szCs w:val="24"/>
        </w:rPr>
        <w:t xml:space="preserve">book </w:t>
      </w:r>
      <w:r w:rsidR="00376995" w:rsidRPr="007D14F3">
        <w:rPr>
          <w:rFonts w:ascii="Times New Roman" w:hAnsi="Times New Roman" w:cs="Times New Roman"/>
          <w:noProof/>
          <w:sz w:val="24"/>
          <w:szCs w:val="24"/>
        </w:rPr>
        <w:t xml:space="preserve">value </w:t>
      </w:r>
      <w:r w:rsidRPr="007D14F3">
        <w:rPr>
          <w:rFonts w:ascii="Times New Roman" w:hAnsi="Times New Roman" w:cs="Times New Roman"/>
          <w:noProof/>
          <w:sz w:val="24"/>
          <w:szCs w:val="24"/>
        </w:rPr>
        <w:t xml:space="preserve">is a good approximation of </w:t>
      </w:r>
      <w:r w:rsidR="00060F9F">
        <w:rPr>
          <w:rFonts w:ascii="Times New Roman" w:hAnsi="Times New Roman" w:cs="Times New Roman"/>
          <w:noProof/>
          <w:sz w:val="24"/>
          <w:szCs w:val="24"/>
        </w:rPr>
        <w:t xml:space="preserve">the </w:t>
      </w:r>
      <w:r w:rsidR="00C51AFE" w:rsidRPr="00060F9F">
        <w:rPr>
          <w:rFonts w:ascii="Times New Roman" w:hAnsi="Times New Roman" w:cs="Times New Roman"/>
          <w:noProof/>
          <w:sz w:val="24"/>
          <w:szCs w:val="24"/>
        </w:rPr>
        <w:t>market</w:t>
      </w:r>
      <w:r w:rsidR="00C51AFE" w:rsidRPr="007D14F3">
        <w:rPr>
          <w:rFonts w:ascii="Times New Roman" w:hAnsi="Times New Roman" w:cs="Times New Roman"/>
          <w:sz w:val="24"/>
          <w:szCs w:val="24"/>
        </w:rPr>
        <w:t xml:space="preserve"> value o</w:t>
      </w:r>
      <w:r w:rsidR="00FB5ABC" w:rsidRPr="007D14F3">
        <w:rPr>
          <w:rFonts w:ascii="Times New Roman" w:hAnsi="Times New Roman" w:cs="Times New Roman"/>
          <w:sz w:val="24"/>
          <w:szCs w:val="24"/>
        </w:rPr>
        <w:t>f debt when</w:t>
      </w:r>
      <w:r w:rsidRPr="007D14F3">
        <w:rPr>
          <w:rFonts w:ascii="Times New Roman" w:hAnsi="Times New Roman" w:cs="Times New Roman"/>
          <w:sz w:val="24"/>
          <w:szCs w:val="24"/>
        </w:rPr>
        <w:t xml:space="preserve"> </w:t>
      </w:r>
      <w:r w:rsidR="00FB5ABC" w:rsidRPr="007D14F3">
        <w:rPr>
          <w:rFonts w:ascii="Times New Roman" w:hAnsi="Times New Roman" w:cs="Times New Roman"/>
          <w:sz w:val="24"/>
          <w:szCs w:val="24"/>
        </w:rPr>
        <w:t xml:space="preserve">computing </w:t>
      </w:r>
      <w:r w:rsidRPr="007D14F3">
        <w:rPr>
          <w:rFonts w:ascii="Times New Roman" w:hAnsi="Times New Roman" w:cs="Times New Roman"/>
          <w:sz w:val="24"/>
          <w:szCs w:val="24"/>
        </w:rPr>
        <w:t>Tobin’s q, therefore book val</w:t>
      </w:r>
      <w:r w:rsidR="00FB5ABC" w:rsidRPr="007D14F3">
        <w:rPr>
          <w:rFonts w:ascii="Times New Roman" w:hAnsi="Times New Roman" w:cs="Times New Roman"/>
          <w:sz w:val="24"/>
          <w:szCs w:val="24"/>
        </w:rPr>
        <w:t>u</w:t>
      </w:r>
      <w:r w:rsidRPr="007D14F3">
        <w:rPr>
          <w:rFonts w:ascii="Times New Roman" w:hAnsi="Times New Roman" w:cs="Times New Roman"/>
          <w:sz w:val="24"/>
          <w:szCs w:val="24"/>
        </w:rPr>
        <w:t>e of debt is</w:t>
      </w:r>
      <w:r w:rsidR="00FB5ABC" w:rsidRPr="007D14F3">
        <w:rPr>
          <w:rFonts w:ascii="Times New Roman" w:hAnsi="Times New Roman" w:cs="Times New Roman"/>
          <w:sz w:val="24"/>
          <w:szCs w:val="24"/>
        </w:rPr>
        <w:t xml:space="preserve"> used in calculations.</w:t>
      </w:r>
    </w:p>
    <w:p w:rsidR="00DD7C72" w:rsidRPr="007D14F3" w:rsidRDefault="009451FC" w:rsidP="009C7202">
      <w:pPr>
        <w:spacing w:before="120" w:after="120" w:line="240" w:lineRule="auto"/>
        <w:jc w:val="both"/>
        <w:rPr>
          <w:rFonts w:ascii="Times New Roman" w:eastAsiaTheme="majorEastAsia" w:hAnsi="Times New Roman" w:cs="Times New Roman"/>
          <w:sz w:val="24"/>
          <w:szCs w:val="24"/>
        </w:rPr>
      </w:pPr>
      <w:r w:rsidRPr="007D14F3">
        <w:rPr>
          <w:rFonts w:ascii="Times New Roman" w:eastAsiaTheme="majorEastAsia" w:hAnsi="Times New Roman" w:cs="Times New Roman"/>
          <w:sz w:val="24"/>
          <w:szCs w:val="24"/>
        </w:rPr>
        <w:t xml:space="preserve">An acquisition of a large firm requires more resources from a potential bidder. </w:t>
      </w:r>
      <w:r w:rsidR="00962FA1" w:rsidRPr="007D14F3">
        <w:rPr>
          <w:rFonts w:ascii="Times New Roman" w:eastAsiaTheme="majorEastAsia" w:hAnsi="Times New Roman" w:cs="Times New Roman"/>
          <w:sz w:val="24"/>
          <w:szCs w:val="24"/>
        </w:rPr>
        <w:t>The s</w:t>
      </w:r>
      <w:r w:rsidRPr="007D14F3">
        <w:rPr>
          <w:rFonts w:ascii="Times New Roman" w:eastAsiaTheme="majorEastAsia" w:hAnsi="Times New Roman" w:cs="Times New Roman"/>
          <w:sz w:val="24"/>
          <w:szCs w:val="24"/>
        </w:rPr>
        <w:t>ize of the firm is</w:t>
      </w:r>
      <w:r w:rsidR="00962FA1" w:rsidRPr="007D14F3">
        <w:rPr>
          <w:rFonts w:ascii="Times New Roman" w:eastAsiaTheme="majorEastAsia" w:hAnsi="Times New Roman" w:cs="Times New Roman"/>
          <w:sz w:val="24"/>
          <w:szCs w:val="24"/>
        </w:rPr>
        <w:t>, therefore,</w:t>
      </w:r>
      <w:r w:rsidRPr="007D14F3">
        <w:rPr>
          <w:rFonts w:ascii="Times New Roman" w:eastAsiaTheme="majorEastAsia" w:hAnsi="Times New Roman" w:cs="Times New Roman"/>
          <w:sz w:val="24"/>
          <w:szCs w:val="24"/>
        </w:rPr>
        <w:t xml:space="preserve"> an anti-takeover </w:t>
      </w:r>
      <w:r w:rsidR="00536906" w:rsidRPr="00060F9F">
        <w:rPr>
          <w:rFonts w:ascii="Times New Roman" w:eastAsiaTheme="majorEastAsia" w:hAnsi="Times New Roman" w:cs="Times New Roman"/>
          <w:noProof/>
          <w:sz w:val="24"/>
          <w:szCs w:val="24"/>
        </w:rPr>
        <w:t>defen</w:t>
      </w:r>
      <w:r w:rsidR="00060F9F">
        <w:rPr>
          <w:rFonts w:ascii="Times New Roman" w:eastAsiaTheme="majorEastAsia" w:hAnsi="Times New Roman" w:cs="Times New Roman"/>
          <w:noProof/>
          <w:sz w:val="24"/>
          <w:szCs w:val="24"/>
        </w:rPr>
        <w:t>c</w:t>
      </w:r>
      <w:r w:rsidR="00536906" w:rsidRPr="00060F9F">
        <w:rPr>
          <w:rFonts w:ascii="Times New Roman" w:eastAsiaTheme="majorEastAsia" w:hAnsi="Times New Roman" w:cs="Times New Roman"/>
          <w:noProof/>
          <w:sz w:val="24"/>
          <w:szCs w:val="24"/>
        </w:rPr>
        <w:t>e</w:t>
      </w:r>
      <w:r w:rsidRPr="007D14F3">
        <w:rPr>
          <w:rFonts w:ascii="Times New Roman" w:eastAsiaTheme="majorEastAsia" w:hAnsi="Times New Roman" w:cs="Times New Roman"/>
          <w:sz w:val="24"/>
          <w:szCs w:val="24"/>
        </w:rPr>
        <w:t xml:space="preserve"> itself. </w:t>
      </w:r>
      <w:r w:rsidR="00226ADE" w:rsidRPr="007D14F3">
        <w:rPr>
          <w:rFonts w:ascii="Times New Roman" w:eastAsiaTheme="majorEastAsia" w:hAnsi="Times New Roman" w:cs="Times New Roman"/>
          <w:sz w:val="24"/>
          <w:szCs w:val="24"/>
        </w:rPr>
        <w:t>M</w:t>
      </w:r>
      <w:r w:rsidRPr="007D14F3">
        <w:rPr>
          <w:rFonts w:ascii="Times New Roman" w:eastAsiaTheme="majorEastAsia" w:hAnsi="Times New Roman" w:cs="Times New Roman"/>
          <w:sz w:val="24"/>
          <w:szCs w:val="24"/>
        </w:rPr>
        <w:t>anagers of larg</w:t>
      </w:r>
      <w:r w:rsidR="00FB5ABC" w:rsidRPr="007D14F3">
        <w:rPr>
          <w:rFonts w:ascii="Times New Roman" w:eastAsiaTheme="majorEastAsia" w:hAnsi="Times New Roman" w:cs="Times New Roman"/>
          <w:sz w:val="24"/>
          <w:szCs w:val="24"/>
        </w:rPr>
        <w:t xml:space="preserve">e companies are more entrenched and can undertake </w:t>
      </w:r>
      <w:r w:rsidR="00DD7C72" w:rsidRPr="007D14F3">
        <w:rPr>
          <w:rFonts w:ascii="Times New Roman" w:eastAsiaTheme="majorEastAsia" w:hAnsi="Times New Roman" w:cs="Times New Roman"/>
          <w:sz w:val="24"/>
          <w:szCs w:val="24"/>
        </w:rPr>
        <w:t>value-destroying acquisitions</w:t>
      </w:r>
      <w:r w:rsidR="00FB5ABC" w:rsidRPr="007D14F3">
        <w:rPr>
          <w:rFonts w:ascii="Times New Roman" w:eastAsiaTheme="majorEastAsia" w:hAnsi="Times New Roman" w:cs="Times New Roman"/>
          <w:sz w:val="24"/>
          <w:szCs w:val="24"/>
        </w:rPr>
        <w:t xml:space="preserve">, therefore bidder size is expected to be </w:t>
      </w:r>
      <w:r w:rsidR="00FB5ABC" w:rsidRPr="007D14F3">
        <w:rPr>
          <w:rFonts w:ascii="Times New Roman" w:eastAsiaTheme="majorEastAsia" w:hAnsi="Times New Roman" w:cs="Times New Roman"/>
          <w:i/>
          <w:sz w:val="24"/>
          <w:szCs w:val="24"/>
        </w:rPr>
        <w:t>negatively</w:t>
      </w:r>
      <w:r w:rsidR="00FB5ABC" w:rsidRPr="007D14F3">
        <w:rPr>
          <w:rFonts w:ascii="Times New Roman" w:eastAsiaTheme="majorEastAsia" w:hAnsi="Times New Roman" w:cs="Times New Roman"/>
          <w:sz w:val="24"/>
          <w:szCs w:val="24"/>
        </w:rPr>
        <w:t xml:space="preserve"> correlated with abnormal returns (</w:t>
      </w:r>
      <w:r w:rsidRPr="007D14F3">
        <w:rPr>
          <w:rFonts w:ascii="Times New Roman" w:eastAsiaTheme="majorEastAsia" w:hAnsi="Times New Roman" w:cs="Times New Roman"/>
          <w:sz w:val="24"/>
          <w:szCs w:val="24"/>
        </w:rPr>
        <w:t>Moeller et al.</w:t>
      </w:r>
      <w:r w:rsidR="00FB5ABC" w:rsidRPr="007D14F3">
        <w:rPr>
          <w:rFonts w:ascii="Times New Roman" w:eastAsiaTheme="majorEastAsia" w:hAnsi="Times New Roman" w:cs="Times New Roman"/>
          <w:sz w:val="24"/>
          <w:szCs w:val="24"/>
        </w:rPr>
        <w:t xml:space="preserve">, </w:t>
      </w:r>
      <w:r w:rsidRPr="007D14F3">
        <w:rPr>
          <w:rFonts w:ascii="Times New Roman" w:eastAsiaTheme="majorEastAsia" w:hAnsi="Times New Roman" w:cs="Times New Roman"/>
          <w:sz w:val="24"/>
          <w:szCs w:val="24"/>
        </w:rPr>
        <w:t>2004)</w:t>
      </w:r>
      <w:r w:rsidR="00FB5ABC" w:rsidRPr="007D14F3">
        <w:rPr>
          <w:rFonts w:ascii="Times New Roman" w:eastAsiaTheme="majorEastAsia" w:hAnsi="Times New Roman" w:cs="Times New Roman"/>
          <w:sz w:val="24"/>
          <w:szCs w:val="24"/>
        </w:rPr>
        <w:t>.</w:t>
      </w:r>
      <w:r w:rsidR="00F90DEB" w:rsidRPr="007D14F3">
        <w:rPr>
          <w:rFonts w:ascii="Times New Roman" w:eastAsiaTheme="majorEastAsia" w:hAnsi="Times New Roman" w:cs="Times New Roman"/>
          <w:sz w:val="24"/>
          <w:szCs w:val="24"/>
        </w:rPr>
        <w:t xml:space="preserve"> The firm size is measured as the logarithm of the </w:t>
      </w:r>
      <w:r w:rsidR="002A06B4">
        <w:rPr>
          <w:rFonts w:ascii="Times New Roman" w:eastAsiaTheme="majorEastAsia" w:hAnsi="Times New Roman" w:cs="Times New Roman"/>
          <w:sz w:val="24"/>
          <w:szCs w:val="24"/>
        </w:rPr>
        <w:t>book value of total assets in million</w:t>
      </w:r>
      <w:r w:rsidR="00F90DEB" w:rsidRPr="007D14F3">
        <w:rPr>
          <w:rFonts w:ascii="Times New Roman" w:eastAsiaTheme="majorEastAsia" w:hAnsi="Times New Roman" w:cs="Times New Roman"/>
          <w:sz w:val="24"/>
          <w:szCs w:val="24"/>
        </w:rPr>
        <w:t xml:space="preserve"> $US.</w:t>
      </w:r>
    </w:p>
    <w:p w:rsidR="00FB5ABC" w:rsidRPr="007D14F3" w:rsidRDefault="00FB5ABC" w:rsidP="009C7202">
      <w:pPr>
        <w:spacing w:before="120" w:after="120" w:line="240" w:lineRule="auto"/>
        <w:jc w:val="both"/>
        <w:rPr>
          <w:rFonts w:ascii="Times New Roman" w:eastAsiaTheme="majorEastAsia" w:hAnsi="Times New Roman" w:cs="Times New Roman"/>
          <w:b/>
          <w:sz w:val="24"/>
          <w:szCs w:val="24"/>
        </w:rPr>
      </w:pPr>
      <w:r w:rsidRPr="007D14F3">
        <w:rPr>
          <w:rFonts w:ascii="Times New Roman" w:eastAsiaTheme="majorEastAsia" w:hAnsi="Times New Roman" w:cs="Times New Roman"/>
          <w:b/>
          <w:sz w:val="24"/>
          <w:szCs w:val="24"/>
        </w:rPr>
        <w:t>Deal characteristics</w:t>
      </w:r>
    </w:p>
    <w:p w:rsidR="006143F7" w:rsidRPr="007D14F3" w:rsidRDefault="006143F7" w:rsidP="009C7202">
      <w:pPr>
        <w:spacing w:before="120" w:after="120" w:line="240" w:lineRule="auto"/>
        <w:jc w:val="both"/>
        <w:rPr>
          <w:rFonts w:ascii="Times New Roman" w:hAnsi="Times New Roman" w:cs="Times New Roman"/>
          <w:sz w:val="24"/>
          <w:szCs w:val="24"/>
        </w:rPr>
      </w:pPr>
      <w:r w:rsidRPr="007D14F3">
        <w:rPr>
          <w:rFonts w:ascii="Times New Roman" w:hAnsi="Times New Roman" w:cs="Times New Roman"/>
          <w:sz w:val="24"/>
          <w:szCs w:val="24"/>
        </w:rPr>
        <w:t>Acquirers profit form a liquidity discount when buying private or subsidiary companies</w:t>
      </w:r>
      <w:r w:rsidR="00256BB0" w:rsidRPr="007D14F3">
        <w:rPr>
          <w:rFonts w:ascii="Times New Roman" w:hAnsi="Times New Roman" w:cs="Times New Roman"/>
          <w:sz w:val="24"/>
          <w:szCs w:val="24"/>
        </w:rPr>
        <w:t xml:space="preserve">, which is supported </w:t>
      </w:r>
      <w:r w:rsidR="001B380A" w:rsidRPr="007D14F3">
        <w:rPr>
          <w:rFonts w:ascii="Times New Roman" w:hAnsi="Times New Roman" w:cs="Times New Roman"/>
          <w:noProof/>
          <w:sz w:val="24"/>
          <w:szCs w:val="24"/>
        </w:rPr>
        <w:t>by</w:t>
      </w:r>
      <w:r w:rsidR="00256BB0" w:rsidRPr="007D14F3">
        <w:rPr>
          <w:rFonts w:ascii="Times New Roman" w:hAnsi="Times New Roman" w:cs="Times New Roman"/>
          <w:sz w:val="24"/>
          <w:szCs w:val="24"/>
        </w:rPr>
        <w:t xml:space="preserve"> the studies of Officer (2007) and Koeplin (2000). </w:t>
      </w:r>
      <w:r w:rsidRPr="007D14F3">
        <w:rPr>
          <w:rFonts w:ascii="Times New Roman" w:hAnsi="Times New Roman" w:cs="Times New Roman"/>
          <w:sz w:val="24"/>
          <w:szCs w:val="24"/>
        </w:rPr>
        <w:t xml:space="preserve">Abnormal returns of bidders in </w:t>
      </w:r>
      <w:r w:rsidRPr="007D14F3">
        <w:rPr>
          <w:rFonts w:ascii="Times New Roman" w:hAnsi="Times New Roman" w:cs="Times New Roman"/>
          <w:sz w:val="24"/>
          <w:szCs w:val="24"/>
        </w:rPr>
        <w:lastRenderedPageBreak/>
        <w:t xml:space="preserve">such transactions are significantly </w:t>
      </w:r>
      <w:r w:rsidRPr="007D14F3">
        <w:rPr>
          <w:rFonts w:ascii="Times New Roman" w:hAnsi="Times New Roman" w:cs="Times New Roman"/>
          <w:i/>
          <w:sz w:val="24"/>
          <w:szCs w:val="24"/>
        </w:rPr>
        <w:t xml:space="preserve">positive, </w:t>
      </w:r>
      <w:r w:rsidRPr="007D14F3">
        <w:rPr>
          <w:rFonts w:ascii="Times New Roman" w:hAnsi="Times New Roman" w:cs="Times New Roman"/>
          <w:sz w:val="24"/>
          <w:szCs w:val="24"/>
        </w:rPr>
        <w:t>whereas when acquiring a public company, the abnormal returns are significantly</w:t>
      </w:r>
      <w:r w:rsidRPr="007D14F3">
        <w:rPr>
          <w:rFonts w:ascii="Times New Roman" w:hAnsi="Times New Roman" w:cs="Times New Roman"/>
          <w:i/>
          <w:sz w:val="24"/>
          <w:szCs w:val="24"/>
        </w:rPr>
        <w:t xml:space="preserve"> negative. </w:t>
      </w:r>
      <w:r w:rsidR="002A06B4" w:rsidRPr="007D14F3">
        <w:rPr>
          <w:rFonts w:ascii="Times New Roman" w:hAnsi="Times New Roman" w:cs="Times New Roman"/>
          <w:sz w:val="24"/>
          <w:szCs w:val="24"/>
        </w:rPr>
        <w:t>To</w:t>
      </w:r>
      <w:r w:rsidR="00FB5ABC" w:rsidRPr="007D14F3">
        <w:rPr>
          <w:rFonts w:ascii="Times New Roman" w:hAnsi="Times New Roman" w:cs="Times New Roman"/>
          <w:sz w:val="24"/>
          <w:szCs w:val="24"/>
        </w:rPr>
        <w:t xml:space="preserve"> capture this phenomenon,</w:t>
      </w:r>
      <w:r w:rsidRPr="007D14F3">
        <w:rPr>
          <w:rFonts w:ascii="Times New Roman" w:hAnsi="Times New Roman" w:cs="Times New Roman"/>
          <w:sz w:val="24"/>
          <w:szCs w:val="24"/>
        </w:rPr>
        <w:t xml:space="preserve"> </w:t>
      </w:r>
      <w:r w:rsidR="00A34351" w:rsidRPr="007D14F3">
        <w:rPr>
          <w:rFonts w:ascii="Times New Roman" w:hAnsi="Times New Roman" w:cs="Times New Roman"/>
          <w:sz w:val="24"/>
          <w:szCs w:val="24"/>
        </w:rPr>
        <w:t>two</w:t>
      </w:r>
      <w:r w:rsidRPr="007D14F3">
        <w:rPr>
          <w:rFonts w:ascii="Times New Roman" w:hAnsi="Times New Roman" w:cs="Times New Roman"/>
          <w:sz w:val="24"/>
          <w:szCs w:val="24"/>
        </w:rPr>
        <w:t xml:space="preserve"> </w:t>
      </w:r>
      <w:r w:rsidR="00EF3AAB" w:rsidRPr="007D14F3">
        <w:rPr>
          <w:rFonts w:ascii="Times New Roman" w:hAnsi="Times New Roman" w:cs="Times New Roman"/>
          <w:sz w:val="24"/>
          <w:szCs w:val="24"/>
        </w:rPr>
        <w:t xml:space="preserve">dummy </w:t>
      </w:r>
      <w:r w:rsidRPr="007D14F3">
        <w:rPr>
          <w:rFonts w:ascii="Times New Roman" w:hAnsi="Times New Roman" w:cs="Times New Roman"/>
          <w:sz w:val="24"/>
          <w:szCs w:val="24"/>
        </w:rPr>
        <w:t>variables: private target</w:t>
      </w:r>
      <w:r w:rsidR="000D552B" w:rsidRPr="007D14F3">
        <w:rPr>
          <w:rFonts w:ascii="Times New Roman" w:hAnsi="Times New Roman" w:cs="Times New Roman"/>
          <w:sz w:val="24"/>
          <w:szCs w:val="24"/>
        </w:rPr>
        <w:t xml:space="preserve"> </w:t>
      </w:r>
      <w:r w:rsidR="00C51AFE" w:rsidRPr="007D14F3">
        <w:rPr>
          <w:rFonts w:ascii="Times New Roman" w:hAnsi="Times New Roman" w:cs="Times New Roman"/>
          <w:sz w:val="24"/>
          <w:szCs w:val="24"/>
        </w:rPr>
        <w:t>‘Private’</w:t>
      </w:r>
      <w:r w:rsidRPr="007D14F3">
        <w:rPr>
          <w:rFonts w:ascii="Times New Roman" w:hAnsi="Times New Roman" w:cs="Times New Roman"/>
          <w:sz w:val="24"/>
          <w:szCs w:val="24"/>
        </w:rPr>
        <w:t xml:space="preserve"> and a subsidiary target</w:t>
      </w:r>
      <w:r w:rsidR="00DC3985" w:rsidRPr="007D14F3">
        <w:rPr>
          <w:rFonts w:ascii="Times New Roman" w:hAnsi="Times New Roman" w:cs="Times New Roman"/>
          <w:sz w:val="24"/>
          <w:szCs w:val="24"/>
        </w:rPr>
        <w:t xml:space="preserve"> </w:t>
      </w:r>
      <w:r w:rsidR="00C51AFE" w:rsidRPr="007D14F3">
        <w:rPr>
          <w:rFonts w:ascii="Times New Roman" w:hAnsi="Times New Roman" w:cs="Times New Roman"/>
          <w:sz w:val="24"/>
          <w:szCs w:val="24"/>
        </w:rPr>
        <w:t>‘Subsidiary’</w:t>
      </w:r>
      <w:r w:rsidR="00FB5ABC" w:rsidRPr="007D14F3">
        <w:rPr>
          <w:rFonts w:ascii="Times New Roman" w:hAnsi="Times New Roman" w:cs="Times New Roman"/>
          <w:sz w:val="24"/>
          <w:szCs w:val="24"/>
        </w:rPr>
        <w:t xml:space="preserve"> are included.</w:t>
      </w:r>
    </w:p>
    <w:p w:rsidR="00EF3AAB" w:rsidRPr="007D14F3" w:rsidRDefault="00982516" w:rsidP="009C7202">
      <w:pPr>
        <w:spacing w:before="120" w:after="120" w:line="240" w:lineRule="auto"/>
        <w:jc w:val="both"/>
        <w:rPr>
          <w:rFonts w:ascii="Times New Roman" w:hAnsi="Times New Roman" w:cs="Times New Roman"/>
          <w:sz w:val="24"/>
          <w:szCs w:val="24"/>
        </w:rPr>
      </w:pPr>
      <w:r w:rsidRPr="007D14F3">
        <w:rPr>
          <w:rFonts w:ascii="Times New Roman" w:hAnsi="Times New Roman" w:cs="Times New Roman"/>
          <w:sz w:val="24"/>
          <w:szCs w:val="24"/>
        </w:rPr>
        <w:t xml:space="preserve">According to </w:t>
      </w:r>
      <w:r w:rsidR="00200513" w:rsidRPr="007D14F3">
        <w:rPr>
          <w:rFonts w:ascii="Times New Roman" w:hAnsi="Times New Roman" w:cs="Times New Roman"/>
          <w:sz w:val="24"/>
          <w:szCs w:val="24"/>
        </w:rPr>
        <w:t xml:space="preserve">the </w:t>
      </w:r>
      <w:r w:rsidRPr="007D14F3">
        <w:rPr>
          <w:rFonts w:ascii="Times New Roman" w:hAnsi="Times New Roman" w:cs="Times New Roman"/>
          <w:sz w:val="24"/>
          <w:szCs w:val="24"/>
        </w:rPr>
        <w:t xml:space="preserve">pecking order theory, the issue of equity signals overvaluation and the prices after the announcement are adjusted downwards (Meyers and Majluf, 1984). </w:t>
      </w:r>
      <w:r w:rsidR="000A091E" w:rsidRPr="007D14F3">
        <w:rPr>
          <w:rFonts w:ascii="Times New Roman" w:hAnsi="Times New Roman" w:cs="Times New Roman"/>
          <w:sz w:val="24"/>
          <w:szCs w:val="24"/>
        </w:rPr>
        <w:t xml:space="preserve">The adverse selection problem </w:t>
      </w:r>
      <w:r w:rsidR="00200513" w:rsidRPr="007D14F3">
        <w:rPr>
          <w:rFonts w:ascii="Times New Roman" w:hAnsi="Times New Roman" w:cs="Times New Roman"/>
          <w:sz w:val="24"/>
          <w:szCs w:val="24"/>
        </w:rPr>
        <w:t>is observed</w:t>
      </w:r>
      <w:r w:rsidR="000A091E" w:rsidRPr="007D14F3">
        <w:rPr>
          <w:rFonts w:ascii="Times New Roman" w:hAnsi="Times New Roman" w:cs="Times New Roman"/>
          <w:sz w:val="24"/>
          <w:szCs w:val="24"/>
        </w:rPr>
        <w:t xml:space="preserve"> in mergers and acquisitions and bidders experience statistically significant </w:t>
      </w:r>
      <w:r w:rsidR="00B30398" w:rsidRPr="007D14F3">
        <w:rPr>
          <w:rFonts w:ascii="Times New Roman" w:hAnsi="Times New Roman" w:cs="Times New Roman"/>
          <w:i/>
          <w:sz w:val="24"/>
          <w:szCs w:val="24"/>
        </w:rPr>
        <w:t>negative</w:t>
      </w:r>
      <w:r w:rsidR="000A091E" w:rsidRPr="007D14F3">
        <w:rPr>
          <w:rFonts w:ascii="Times New Roman" w:hAnsi="Times New Roman" w:cs="Times New Roman"/>
          <w:sz w:val="24"/>
          <w:szCs w:val="24"/>
        </w:rPr>
        <w:t xml:space="preserve"> abnormal returns when they pay with equity</w:t>
      </w:r>
      <w:r w:rsidR="00B30398" w:rsidRPr="007D14F3">
        <w:rPr>
          <w:rFonts w:ascii="Times New Roman" w:hAnsi="Times New Roman" w:cs="Times New Roman"/>
          <w:sz w:val="24"/>
          <w:szCs w:val="24"/>
        </w:rPr>
        <w:t xml:space="preserve"> (Sarveas</w:t>
      </w:r>
      <w:r w:rsidR="00C51AFE" w:rsidRPr="007D14F3">
        <w:rPr>
          <w:rFonts w:ascii="Times New Roman" w:hAnsi="Times New Roman" w:cs="Times New Roman"/>
          <w:sz w:val="24"/>
          <w:szCs w:val="24"/>
        </w:rPr>
        <w:t>,</w:t>
      </w:r>
      <w:r w:rsidR="00B30398" w:rsidRPr="007D14F3">
        <w:rPr>
          <w:rFonts w:ascii="Times New Roman" w:hAnsi="Times New Roman" w:cs="Times New Roman"/>
          <w:sz w:val="24"/>
          <w:szCs w:val="24"/>
        </w:rPr>
        <w:t xml:space="preserve"> 1991), (Brown and Ryngaert, 1991)</w:t>
      </w:r>
      <w:r w:rsidR="00200513" w:rsidRPr="007D14F3">
        <w:rPr>
          <w:rFonts w:ascii="Times New Roman" w:hAnsi="Times New Roman" w:cs="Times New Roman"/>
          <w:sz w:val="24"/>
          <w:szCs w:val="24"/>
        </w:rPr>
        <w:t>.</w:t>
      </w:r>
      <w:r w:rsidR="00EF3AAB" w:rsidRPr="007D14F3">
        <w:rPr>
          <w:rFonts w:ascii="Times New Roman" w:hAnsi="Times New Roman" w:cs="Times New Roman"/>
          <w:sz w:val="24"/>
          <w:szCs w:val="24"/>
        </w:rPr>
        <w:t xml:space="preserve"> Dummy variables</w:t>
      </w:r>
      <w:r w:rsidR="000A091E" w:rsidRPr="007D14F3">
        <w:rPr>
          <w:rFonts w:ascii="Times New Roman" w:hAnsi="Times New Roman" w:cs="Times New Roman"/>
          <w:sz w:val="24"/>
          <w:szCs w:val="24"/>
        </w:rPr>
        <w:t xml:space="preserve"> </w:t>
      </w:r>
      <w:r w:rsidR="00C51AFE" w:rsidRPr="007D14F3">
        <w:rPr>
          <w:rFonts w:ascii="Times New Roman" w:hAnsi="Times New Roman" w:cs="Times New Roman"/>
          <w:sz w:val="24"/>
          <w:szCs w:val="24"/>
        </w:rPr>
        <w:t>‘Stock’</w:t>
      </w:r>
      <w:r w:rsidR="00EF3AAB" w:rsidRPr="007D14F3">
        <w:rPr>
          <w:rFonts w:ascii="Times New Roman" w:hAnsi="Times New Roman" w:cs="Times New Roman"/>
          <w:sz w:val="24"/>
          <w:szCs w:val="24"/>
        </w:rPr>
        <w:t xml:space="preserve"> equal 1</w:t>
      </w:r>
      <w:r w:rsidR="00C51AFE" w:rsidRPr="007D14F3">
        <w:rPr>
          <w:rFonts w:ascii="Times New Roman" w:hAnsi="Times New Roman" w:cs="Times New Roman"/>
          <w:sz w:val="24"/>
          <w:szCs w:val="24"/>
        </w:rPr>
        <w:t xml:space="preserve"> </w:t>
      </w:r>
      <w:r w:rsidR="00EF3AAB" w:rsidRPr="007D14F3">
        <w:rPr>
          <w:rFonts w:ascii="Times New Roman" w:hAnsi="Times New Roman" w:cs="Times New Roman"/>
          <w:sz w:val="24"/>
          <w:szCs w:val="24"/>
        </w:rPr>
        <w:t xml:space="preserve">for over 10%-stock-financed deals </w:t>
      </w:r>
      <w:r w:rsidR="000A091E" w:rsidRPr="007D14F3">
        <w:rPr>
          <w:rFonts w:ascii="Times New Roman" w:hAnsi="Times New Roman" w:cs="Times New Roman"/>
          <w:sz w:val="24"/>
          <w:szCs w:val="24"/>
        </w:rPr>
        <w:t xml:space="preserve">and </w:t>
      </w:r>
      <w:r w:rsidR="00C51AFE" w:rsidRPr="007D14F3">
        <w:rPr>
          <w:rFonts w:ascii="Times New Roman" w:hAnsi="Times New Roman" w:cs="Times New Roman"/>
          <w:sz w:val="24"/>
          <w:szCs w:val="24"/>
        </w:rPr>
        <w:t>‘All-Cash’</w:t>
      </w:r>
      <w:r w:rsidR="00EF3AAB" w:rsidRPr="007D14F3">
        <w:rPr>
          <w:rFonts w:ascii="Times New Roman" w:hAnsi="Times New Roman" w:cs="Times New Roman"/>
          <w:sz w:val="24"/>
          <w:szCs w:val="24"/>
        </w:rPr>
        <w:t xml:space="preserve"> equal to 1 for entirely cash-financed deals are included in the model.</w:t>
      </w:r>
    </w:p>
    <w:p w:rsidR="00EF3AAB" w:rsidRPr="007D14F3" w:rsidRDefault="0054774A" w:rsidP="009C7202">
      <w:pPr>
        <w:spacing w:before="120" w:after="120" w:line="240" w:lineRule="auto"/>
        <w:jc w:val="both"/>
        <w:rPr>
          <w:rFonts w:ascii="Times New Roman" w:hAnsi="Times New Roman" w:cs="Times New Roman"/>
          <w:sz w:val="24"/>
          <w:szCs w:val="24"/>
        </w:rPr>
      </w:pPr>
      <w:r w:rsidRPr="007D14F3">
        <w:rPr>
          <w:rFonts w:ascii="Times New Roman" w:hAnsi="Times New Roman" w:cs="Times New Roman"/>
          <w:sz w:val="24"/>
          <w:szCs w:val="24"/>
        </w:rPr>
        <w:t>Moeller</w:t>
      </w:r>
      <w:r w:rsidR="00C51AFE" w:rsidRPr="007D14F3">
        <w:rPr>
          <w:rFonts w:ascii="Times New Roman" w:hAnsi="Times New Roman" w:cs="Times New Roman"/>
          <w:sz w:val="24"/>
          <w:szCs w:val="24"/>
        </w:rPr>
        <w:t xml:space="preserve"> et al.</w:t>
      </w:r>
      <w:r w:rsidRPr="007D14F3">
        <w:rPr>
          <w:rFonts w:ascii="Times New Roman" w:hAnsi="Times New Roman" w:cs="Times New Roman"/>
          <w:sz w:val="24"/>
          <w:szCs w:val="24"/>
        </w:rPr>
        <w:t xml:space="preserve"> (2004) find that acquirer abnormal returns are higher</w:t>
      </w:r>
      <w:r w:rsidR="005E0995" w:rsidRPr="007D14F3">
        <w:rPr>
          <w:rFonts w:ascii="Times New Roman" w:hAnsi="Times New Roman" w:cs="Times New Roman"/>
          <w:sz w:val="24"/>
          <w:szCs w:val="24"/>
        </w:rPr>
        <w:t xml:space="preserve"> when </w:t>
      </w:r>
      <w:r w:rsidR="00060F9F">
        <w:rPr>
          <w:rFonts w:ascii="Times New Roman" w:hAnsi="Times New Roman" w:cs="Times New Roman"/>
          <w:sz w:val="24"/>
          <w:szCs w:val="24"/>
        </w:rPr>
        <w:t xml:space="preserve">the </w:t>
      </w:r>
      <w:r w:rsidRPr="00060F9F">
        <w:rPr>
          <w:rFonts w:ascii="Times New Roman" w:hAnsi="Times New Roman" w:cs="Times New Roman"/>
          <w:noProof/>
          <w:sz w:val="24"/>
          <w:szCs w:val="24"/>
        </w:rPr>
        <w:t>deal</w:t>
      </w:r>
      <w:r w:rsidRPr="007D14F3">
        <w:rPr>
          <w:rFonts w:ascii="Times New Roman" w:hAnsi="Times New Roman" w:cs="Times New Roman"/>
          <w:sz w:val="24"/>
          <w:szCs w:val="24"/>
        </w:rPr>
        <w:t xml:space="preserve"> size</w:t>
      </w:r>
      <w:r w:rsidR="005E0995" w:rsidRPr="007D14F3">
        <w:rPr>
          <w:rFonts w:ascii="Times New Roman" w:hAnsi="Times New Roman" w:cs="Times New Roman"/>
          <w:sz w:val="24"/>
          <w:szCs w:val="24"/>
        </w:rPr>
        <w:t xml:space="preserve"> relative to bidder’s market value of equity is greater</w:t>
      </w:r>
      <w:r w:rsidR="00FB5ABC" w:rsidRPr="007D14F3">
        <w:rPr>
          <w:rFonts w:ascii="Times New Roman" w:hAnsi="Times New Roman" w:cs="Times New Roman"/>
          <w:sz w:val="24"/>
          <w:szCs w:val="24"/>
        </w:rPr>
        <w:t>. A</w:t>
      </w:r>
      <w:r w:rsidRPr="007D14F3">
        <w:rPr>
          <w:rFonts w:ascii="Times New Roman" w:hAnsi="Times New Roman" w:cs="Times New Roman"/>
          <w:sz w:val="24"/>
          <w:szCs w:val="24"/>
        </w:rPr>
        <w:t xml:space="preserve"> </w:t>
      </w:r>
      <w:r w:rsidR="00FB5ABC" w:rsidRPr="007D14F3">
        <w:rPr>
          <w:rFonts w:ascii="Times New Roman" w:hAnsi="Times New Roman" w:cs="Times New Roman"/>
          <w:sz w:val="24"/>
          <w:szCs w:val="24"/>
        </w:rPr>
        <w:t>relative deal size</w:t>
      </w:r>
      <w:r w:rsidRPr="007D14F3">
        <w:rPr>
          <w:rFonts w:ascii="Times New Roman" w:hAnsi="Times New Roman" w:cs="Times New Roman"/>
          <w:sz w:val="24"/>
          <w:szCs w:val="24"/>
        </w:rPr>
        <w:t xml:space="preserve"> </w:t>
      </w:r>
      <w:r w:rsidR="00EF3AAB" w:rsidRPr="007D14F3">
        <w:rPr>
          <w:rFonts w:ascii="Times New Roman" w:hAnsi="Times New Roman" w:cs="Times New Roman"/>
          <w:sz w:val="24"/>
          <w:szCs w:val="24"/>
        </w:rPr>
        <w:t xml:space="preserve">is computed as deal value over bidder’s market equity value and is expected to have a </w:t>
      </w:r>
      <w:r w:rsidR="00EF3AAB" w:rsidRPr="007D14F3">
        <w:rPr>
          <w:rFonts w:ascii="Times New Roman" w:hAnsi="Times New Roman" w:cs="Times New Roman"/>
          <w:i/>
          <w:sz w:val="24"/>
          <w:szCs w:val="24"/>
        </w:rPr>
        <w:t>positive</w:t>
      </w:r>
      <w:r w:rsidR="00EF3AAB" w:rsidRPr="007D14F3">
        <w:rPr>
          <w:rFonts w:ascii="Times New Roman" w:hAnsi="Times New Roman" w:cs="Times New Roman"/>
          <w:sz w:val="24"/>
          <w:szCs w:val="24"/>
        </w:rPr>
        <w:t xml:space="preserve"> influence </w:t>
      </w:r>
      <w:r w:rsidRPr="007D14F3">
        <w:rPr>
          <w:rFonts w:ascii="Times New Roman" w:hAnsi="Times New Roman" w:cs="Times New Roman"/>
          <w:sz w:val="24"/>
          <w:szCs w:val="24"/>
        </w:rPr>
        <w:t>o</w:t>
      </w:r>
      <w:r w:rsidR="00C76B0D" w:rsidRPr="007D14F3">
        <w:rPr>
          <w:rFonts w:ascii="Times New Roman" w:hAnsi="Times New Roman" w:cs="Times New Roman"/>
          <w:sz w:val="24"/>
          <w:szCs w:val="24"/>
        </w:rPr>
        <w:t>n the bidder’s abnormal return</w:t>
      </w:r>
      <w:r w:rsidR="00EF3AAB" w:rsidRPr="007D14F3">
        <w:rPr>
          <w:rFonts w:ascii="Times New Roman" w:hAnsi="Times New Roman" w:cs="Times New Roman"/>
          <w:sz w:val="24"/>
          <w:szCs w:val="24"/>
        </w:rPr>
        <w:t>.</w:t>
      </w:r>
    </w:p>
    <w:p w:rsidR="00A34351" w:rsidRPr="007D14F3" w:rsidRDefault="00FB5ABC" w:rsidP="009C7202">
      <w:pPr>
        <w:spacing w:before="120" w:after="120" w:line="240" w:lineRule="auto"/>
        <w:jc w:val="both"/>
        <w:rPr>
          <w:rFonts w:ascii="Times New Roman" w:hAnsi="Times New Roman" w:cs="Times New Roman"/>
          <w:sz w:val="24"/>
          <w:szCs w:val="24"/>
        </w:rPr>
      </w:pPr>
      <w:r w:rsidRPr="007D14F3">
        <w:rPr>
          <w:rFonts w:ascii="Times New Roman" w:hAnsi="Times New Roman" w:cs="Times New Roman"/>
          <w:sz w:val="24"/>
          <w:szCs w:val="24"/>
        </w:rPr>
        <w:t xml:space="preserve">Further, </w:t>
      </w:r>
      <w:r w:rsidR="00807863" w:rsidRPr="007D14F3">
        <w:rPr>
          <w:rFonts w:ascii="Times New Roman" w:hAnsi="Times New Roman" w:cs="Times New Roman"/>
          <w:sz w:val="24"/>
          <w:szCs w:val="24"/>
        </w:rPr>
        <w:t xml:space="preserve">a variable </w:t>
      </w:r>
      <w:r w:rsidR="00C51AFE" w:rsidRPr="007D14F3">
        <w:rPr>
          <w:rFonts w:ascii="Times New Roman" w:hAnsi="Times New Roman" w:cs="Times New Roman"/>
          <w:sz w:val="24"/>
          <w:szCs w:val="24"/>
        </w:rPr>
        <w:t>‘Industry’</w:t>
      </w:r>
      <w:r w:rsidRPr="007D14F3">
        <w:rPr>
          <w:rFonts w:ascii="Times New Roman" w:hAnsi="Times New Roman" w:cs="Times New Roman"/>
          <w:sz w:val="24"/>
          <w:szCs w:val="24"/>
        </w:rPr>
        <w:t xml:space="preserve"> </w:t>
      </w:r>
      <w:r w:rsidR="00EF3AAB" w:rsidRPr="007D14F3">
        <w:rPr>
          <w:rFonts w:ascii="Times New Roman" w:hAnsi="Times New Roman" w:cs="Times New Roman"/>
          <w:sz w:val="24"/>
          <w:szCs w:val="24"/>
        </w:rPr>
        <w:t xml:space="preserve">equal to 1 for the non-diversifying industry </w:t>
      </w:r>
      <w:r w:rsidRPr="007D14F3">
        <w:rPr>
          <w:rFonts w:ascii="Times New Roman" w:hAnsi="Times New Roman" w:cs="Times New Roman"/>
          <w:sz w:val="24"/>
          <w:szCs w:val="24"/>
        </w:rPr>
        <w:t xml:space="preserve">is created to control </w:t>
      </w:r>
      <w:r w:rsidR="00807863" w:rsidRPr="007D14F3">
        <w:rPr>
          <w:rFonts w:ascii="Times New Roman" w:hAnsi="Times New Roman" w:cs="Times New Roman"/>
          <w:sz w:val="24"/>
          <w:szCs w:val="24"/>
        </w:rPr>
        <w:t>for lower announcement effects for diversifying acquisitions found by</w:t>
      </w:r>
      <w:r w:rsidR="00D0042E" w:rsidRPr="007D14F3">
        <w:rPr>
          <w:rFonts w:ascii="Times New Roman" w:hAnsi="Times New Roman" w:cs="Times New Roman"/>
          <w:sz w:val="24"/>
          <w:szCs w:val="24"/>
        </w:rPr>
        <w:t xml:space="preserve"> </w:t>
      </w:r>
      <w:r w:rsidR="00A34351" w:rsidRPr="007D14F3">
        <w:rPr>
          <w:rFonts w:ascii="Times New Roman" w:hAnsi="Times New Roman" w:cs="Times New Roman"/>
          <w:sz w:val="24"/>
          <w:szCs w:val="24"/>
        </w:rPr>
        <w:t>Morck et al. (1990)</w:t>
      </w:r>
      <w:r w:rsidR="00807863" w:rsidRPr="007D14F3">
        <w:rPr>
          <w:rFonts w:ascii="Times New Roman" w:hAnsi="Times New Roman" w:cs="Times New Roman"/>
          <w:sz w:val="24"/>
          <w:szCs w:val="24"/>
        </w:rPr>
        <w:t>.</w:t>
      </w:r>
    </w:p>
    <w:p w:rsidR="00ED5F6D" w:rsidRPr="007D14F3" w:rsidRDefault="00ED5F6D" w:rsidP="009C7202">
      <w:pPr>
        <w:spacing w:before="120" w:after="120" w:line="240" w:lineRule="auto"/>
        <w:jc w:val="both"/>
        <w:rPr>
          <w:rFonts w:ascii="Times New Roman" w:hAnsi="Times New Roman" w:cs="Times New Roman"/>
          <w:b/>
          <w:sz w:val="24"/>
          <w:szCs w:val="24"/>
        </w:rPr>
      </w:pPr>
      <w:r w:rsidRPr="007D14F3">
        <w:rPr>
          <w:rFonts w:ascii="Times New Roman" w:hAnsi="Times New Roman" w:cs="Times New Roman"/>
          <w:b/>
          <w:sz w:val="24"/>
          <w:szCs w:val="24"/>
        </w:rPr>
        <w:t>Corpo</w:t>
      </w:r>
      <w:r w:rsidR="00FB5ABC" w:rsidRPr="007D14F3">
        <w:rPr>
          <w:rFonts w:ascii="Times New Roman" w:hAnsi="Times New Roman" w:cs="Times New Roman"/>
          <w:b/>
          <w:sz w:val="24"/>
          <w:szCs w:val="24"/>
        </w:rPr>
        <w:t>rate governance characteristics</w:t>
      </w:r>
    </w:p>
    <w:p w:rsidR="00B12FB6" w:rsidRPr="007D14F3" w:rsidRDefault="00763C62" w:rsidP="009C7202">
      <w:pPr>
        <w:spacing w:before="120" w:after="120" w:line="240" w:lineRule="auto"/>
        <w:jc w:val="both"/>
        <w:rPr>
          <w:rFonts w:ascii="Times New Roman" w:hAnsi="Times New Roman" w:cs="Times New Roman"/>
          <w:sz w:val="24"/>
          <w:szCs w:val="24"/>
        </w:rPr>
      </w:pPr>
      <w:r w:rsidRPr="007D14F3">
        <w:rPr>
          <w:rFonts w:ascii="Times New Roman" w:hAnsi="Times New Roman" w:cs="Times New Roman"/>
          <w:sz w:val="24"/>
          <w:szCs w:val="24"/>
        </w:rPr>
        <w:t xml:space="preserve">The interests of shareholders and managers </w:t>
      </w:r>
      <w:r w:rsidR="00962FA1" w:rsidRPr="007D14F3">
        <w:rPr>
          <w:rFonts w:ascii="Times New Roman" w:hAnsi="Times New Roman" w:cs="Times New Roman"/>
          <w:sz w:val="24"/>
          <w:szCs w:val="24"/>
        </w:rPr>
        <w:t>should</w:t>
      </w:r>
      <w:r w:rsidRPr="007D14F3">
        <w:rPr>
          <w:rFonts w:ascii="Times New Roman" w:hAnsi="Times New Roman" w:cs="Times New Roman"/>
          <w:sz w:val="24"/>
          <w:szCs w:val="24"/>
        </w:rPr>
        <w:t xml:space="preserve"> be aligned </w:t>
      </w:r>
      <w:r w:rsidRPr="007D14F3">
        <w:rPr>
          <w:rFonts w:ascii="Times New Roman" w:hAnsi="Times New Roman" w:cs="Times New Roman"/>
          <w:noProof/>
          <w:sz w:val="24"/>
          <w:szCs w:val="24"/>
        </w:rPr>
        <w:t>by</w:t>
      </w:r>
      <w:r w:rsidRPr="007D14F3">
        <w:rPr>
          <w:rFonts w:ascii="Times New Roman" w:hAnsi="Times New Roman" w:cs="Times New Roman"/>
          <w:sz w:val="24"/>
          <w:szCs w:val="24"/>
        </w:rPr>
        <w:t xml:space="preserve"> equity ownership of the executives or equity-based executive compensation</w:t>
      </w:r>
      <w:r w:rsidR="007E4339" w:rsidRPr="007D14F3">
        <w:rPr>
          <w:rFonts w:ascii="Times New Roman" w:hAnsi="Times New Roman" w:cs="Times New Roman"/>
          <w:sz w:val="24"/>
          <w:szCs w:val="24"/>
        </w:rPr>
        <w:t xml:space="preserve"> (Jensen, 1993)</w:t>
      </w:r>
      <w:r w:rsidRPr="007D14F3">
        <w:rPr>
          <w:rFonts w:ascii="Times New Roman" w:hAnsi="Times New Roman" w:cs="Times New Roman"/>
          <w:sz w:val="24"/>
          <w:szCs w:val="24"/>
        </w:rPr>
        <w:t xml:space="preserve">. By such tools, managers are </w:t>
      </w:r>
      <w:r w:rsidR="002A06B4" w:rsidRPr="007D14F3">
        <w:rPr>
          <w:rFonts w:ascii="Times New Roman" w:hAnsi="Times New Roman" w:cs="Times New Roman"/>
          <w:sz w:val="24"/>
          <w:szCs w:val="24"/>
        </w:rPr>
        <w:t>incentivized</w:t>
      </w:r>
      <w:r w:rsidRPr="007D14F3">
        <w:rPr>
          <w:rFonts w:ascii="Times New Roman" w:hAnsi="Times New Roman" w:cs="Times New Roman"/>
          <w:sz w:val="24"/>
          <w:szCs w:val="24"/>
        </w:rPr>
        <w:t xml:space="preserve"> to undertake actions that will result in long-term value creation. </w:t>
      </w:r>
      <w:r w:rsidR="007E4339" w:rsidRPr="007D14F3">
        <w:rPr>
          <w:rFonts w:ascii="Times New Roman" w:hAnsi="Times New Roman" w:cs="Times New Roman"/>
          <w:sz w:val="24"/>
          <w:szCs w:val="24"/>
        </w:rPr>
        <w:t>Kroll et al. (2008), Shinn (1999)</w:t>
      </w:r>
      <w:r w:rsidR="005E0995" w:rsidRPr="007D14F3">
        <w:rPr>
          <w:rFonts w:ascii="Times New Roman" w:hAnsi="Times New Roman" w:cs="Times New Roman"/>
          <w:sz w:val="24"/>
          <w:szCs w:val="24"/>
        </w:rPr>
        <w:t xml:space="preserve"> and</w:t>
      </w:r>
      <w:r w:rsidR="007E4339" w:rsidRPr="007D14F3">
        <w:rPr>
          <w:rFonts w:ascii="Times New Roman" w:hAnsi="Times New Roman" w:cs="Times New Roman"/>
          <w:sz w:val="24"/>
          <w:szCs w:val="24"/>
        </w:rPr>
        <w:t xml:space="preserve"> Walters et al</w:t>
      </w:r>
      <w:r w:rsidR="00C51AFE" w:rsidRPr="007D14F3">
        <w:rPr>
          <w:rFonts w:ascii="Times New Roman" w:hAnsi="Times New Roman" w:cs="Times New Roman"/>
          <w:sz w:val="24"/>
          <w:szCs w:val="24"/>
        </w:rPr>
        <w:t>.</w:t>
      </w:r>
      <w:r w:rsidR="007E4339" w:rsidRPr="007D14F3">
        <w:rPr>
          <w:rFonts w:ascii="Times New Roman" w:hAnsi="Times New Roman" w:cs="Times New Roman"/>
          <w:sz w:val="24"/>
          <w:szCs w:val="24"/>
        </w:rPr>
        <w:t xml:space="preserve"> (2007) find a positive </w:t>
      </w:r>
      <w:r w:rsidR="00962FA1" w:rsidRPr="007D14F3">
        <w:rPr>
          <w:rFonts w:ascii="Times New Roman" w:hAnsi="Times New Roman" w:cs="Times New Roman"/>
          <w:noProof/>
          <w:sz w:val="24"/>
          <w:szCs w:val="24"/>
        </w:rPr>
        <w:t xml:space="preserve">relation </w:t>
      </w:r>
      <w:r w:rsidR="007E4339" w:rsidRPr="007D14F3">
        <w:rPr>
          <w:rFonts w:ascii="Times New Roman" w:hAnsi="Times New Roman" w:cs="Times New Roman"/>
          <w:noProof/>
          <w:sz w:val="24"/>
          <w:szCs w:val="24"/>
        </w:rPr>
        <w:t>between</w:t>
      </w:r>
      <w:r w:rsidR="007E4339" w:rsidRPr="007D14F3">
        <w:rPr>
          <w:rFonts w:ascii="Times New Roman" w:hAnsi="Times New Roman" w:cs="Times New Roman"/>
          <w:sz w:val="24"/>
          <w:szCs w:val="24"/>
        </w:rPr>
        <w:t xml:space="preserve"> managerial ownership level and abnormal returns. </w:t>
      </w:r>
      <w:r w:rsidR="00567C31" w:rsidRPr="007D14F3">
        <w:rPr>
          <w:rFonts w:ascii="Times New Roman" w:hAnsi="Times New Roman" w:cs="Times New Roman"/>
          <w:sz w:val="24"/>
          <w:szCs w:val="24"/>
        </w:rPr>
        <w:t xml:space="preserve">Hence, </w:t>
      </w:r>
      <w:r w:rsidRPr="007D14F3">
        <w:rPr>
          <w:rFonts w:ascii="Times New Roman" w:hAnsi="Times New Roman" w:cs="Times New Roman"/>
          <w:sz w:val="24"/>
          <w:szCs w:val="24"/>
        </w:rPr>
        <w:t xml:space="preserve">a dummy variable </w:t>
      </w:r>
      <w:r w:rsidR="00C51AFE" w:rsidRPr="007D14F3">
        <w:rPr>
          <w:rFonts w:ascii="Times New Roman" w:hAnsi="Times New Roman" w:cs="Times New Roman"/>
          <w:sz w:val="24"/>
          <w:szCs w:val="24"/>
        </w:rPr>
        <w:t>‘CEO equity ownership’</w:t>
      </w:r>
      <w:r w:rsidRPr="007D14F3">
        <w:rPr>
          <w:rFonts w:ascii="Times New Roman" w:hAnsi="Times New Roman" w:cs="Times New Roman"/>
          <w:sz w:val="24"/>
          <w:szCs w:val="24"/>
        </w:rPr>
        <w:t xml:space="preserve"> </w:t>
      </w:r>
      <w:r w:rsidR="006658AA" w:rsidRPr="007D14F3">
        <w:rPr>
          <w:rFonts w:ascii="Times New Roman" w:hAnsi="Times New Roman" w:cs="Times New Roman"/>
          <w:sz w:val="24"/>
          <w:szCs w:val="24"/>
        </w:rPr>
        <w:t xml:space="preserve">equal to </w:t>
      </w:r>
      <w:r w:rsidR="005E0995" w:rsidRPr="007D14F3">
        <w:rPr>
          <w:rFonts w:ascii="Times New Roman" w:hAnsi="Times New Roman" w:cs="Times New Roman"/>
          <w:sz w:val="24"/>
          <w:szCs w:val="24"/>
        </w:rPr>
        <w:t xml:space="preserve">the </w:t>
      </w:r>
      <w:r w:rsidR="006658AA" w:rsidRPr="007D14F3">
        <w:rPr>
          <w:rFonts w:ascii="Times New Roman" w:hAnsi="Times New Roman" w:cs="Times New Roman"/>
          <w:sz w:val="24"/>
          <w:szCs w:val="24"/>
        </w:rPr>
        <w:t>percentage of shares h</w:t>
      </w:r>
      <w:r w:rsidR="005E0995" w:rsidRPr="007D14F3">
        <w:rPr>
          <w:rFonts w:ascii="Times New Roman" w:hAnsi="Times New Roman" w:cs="Times New Roman"/>
          <w:sz w:val="24"/>
          <w:szCs w:val="24"/>
        </w:rPr>
        <w:t>e</w:t>
      </w:r>
      <w:r w:rsidR="00567C31" w:rsidRPr="007D14F3">
        <w:rPr>
          <w:rFonts w:ascii="Times New Roman" w:hAnsi="Times New Roman" w:cs="Times New Roman"/>
          <w:sz w:val="24"/>
          <w:szCs w:val="24"/>
        </w:rPr>
        <w:t>ld by the CEO is included.</w:t>
      </w:r>
    </w:p>
    <w:p w:rsidR="00B55B29" w:rsidRPr="007D14F3" w:rsidRDefault="00B55B29" w:rsidP="009C7202">
      <w:pPr>
        <w:pStyle w:val="Heading2"/>
        <w:numPr>
          <w:ilvl w:val="1"/>
          <w:numId w:val="3"/>
        </w:numPr>
        <w:spacing w:before="120" w:after="120" w:line="240" w:lineRule="auto"/>
        <w:rPr>
          <w:rFonts w:cs="Times New Roman"/>
          <w:szCs w:val="24"/>
        </w:rPr>
      </w:pPr>
      <w:bookmarkStart w:id="37" w:name="_Toc516128945"/>
      <w:r w:rsidRPr="007D14F3">
        <w:rPr>
          <w:rFonts w:cs="Times New Roman"/>
          <w:szCs w:val="24"/>
        </w:rPr>
        <w:t>Data</w:t>
      </w:r>
      <w:r w:rsidR="00A532E8" w:rsidRPr="007D14F3">
        <w:rPr>
          <w:rFonts w:cs="Times New Roman"/>
          <w:szCs w:val="24"/>
        </w:rPr>
        <w:t xml:space="preserve"> collection</w:t>
      </w:r>
      <w:bookmarkEnd w:id="37"/>
    </w:p>
    <w:p w:rsidR="004A2783" w:rsidRPr="007D14F3" w:rsidRDefault="00A532E8" w:rsidP="009C7202">
      <w:pPr>
        <w:spacing w:before="120" w:after="120" w:line="240" w:lineRule="auto"/>
        <w:jc w:val="both"/>
        <w:rPr>
          <w:rFonts w:ascii="Times New Roman" w:hAnsi="Times New Roman" w:cs="Times New Roman"/>
          <w:sz w:val="24"/>
          <w:szCs w:val="24"/>
        </w:rPr>
      </w:pPr>
      <w:r w:rsidRPr="007D14F3">
        <w:rPr>
          <w:rFonts w:ascii="Times New Roman" w:hAnsi="Times New Roman" w:cs="Times New Roman"/>
          <w:sz w:val="24"/>
          <w:szCs w:val="24"/>
        </w:rPr>
        <w:t>First,</w:t>
      </w:r>
      <w:r w:rsidR="004A2AAF" w:rsidRPr="007D14F3">
        <w:rPr>
          <w:rFonts w:ascii="Times New Roman" w:hAnsi="Times New Roman" w:cs="Times New Roman"/>
          <w:sz w:val="24"/>
          <w:szCs w:val="24"/>
        </w:rPr>
        <w:t xml:space="preserve"> </w:t>
      </w:r>
      <w:r w:rsidR="004A2783" w:rsidRPr="007D14F3">
        <w:rPr>
          <w:rFonts w:ascii="Times New Roman" w:hAnsi="Times New Roman" w:cs="Times New Roman"/>
          <w:sz w:val="24"/>
          <w:szCs w:val="24"/>
        </w:rPr>
        <w:t xml:space="preserve">the data that meet the following </w:t>
      </w:r>
      <w:r w:rsidRPr="007D14F3">
        <w:rPr>
          <w:rFonts w:ascii="Times New Roman" w:hAnsi="Times New Roman" w:cs="Times New Roman"/>
          <w:sz w:val="24"/>
          <w:szCs w:val="24"/>
        </w:rPr>
        <w:t>criteria</w:t>
      </w:r>
      <w:r w:rsidR="004A2783" w:rsidRPr="007D14F3">
        <w:rPr>
          <w:rFonts w:ascii="Times New Roman" w:hAnsi="Times New Roman" w:cs="Times New Roman"/>
          <w:sz w:val="24"/>
          <w:szCs w:val="24"/>
        </w:rPr>
        <w:t>:</w:t>
      </w:r>
    </w:p>
    <w:p w:rsidR="00B1629D" w:rsidRPr="007D14F3" w:rsidRDefault="00B1629D" w:rsidP="009C7202">
      <w:pPr>
        <w:pStyle w:val="ListParagraph"/>
        <w:numPr>
          <w:ilvl w:val="0"/>
          <w:numId w:val="27"/>
        </w:numPr>
        <w:spacing w:before="120"/>
        <w:contextualSpacing w:val="0"/>
        <w:jc w:val="both"/>
        <w:rPr>
          <w:rFonts w:ascii="Times New Roman" w:hAnsi="Times New Roman" w:cs="Times New Roman"/>
          <w:sz w:val="24"/>
          <w:szCs w:val="24"/>
        </w:rPr>
      </w:pPr>
      <w:bookmarkStart w:id="38" w:name="_Hlk530304780"/>
      <w:r w:rsidRPr="007D14F3">
        <w:rPr>
          <w:rFonts w:ascii="Times New Roman" w:hAnsi="Times New Roman" w:cs="Times New Roman"/>
          <w:sz w:val="24"/>
          <w:szCs w:val="24"/>
        </w:rPr>
        <w:t xml:space="preserve">Both </w:t>
      </w:r>
      <w:r w:rsidR="002D388C" w:rsidRPr="007D14F3">
        <w:rPr>
          <w:rFonts w:ascii="Times New Roman" w:hAnsi="Times New Roman" w:cs="Times New Roman"/>
          <w:sz w:val="24"/>
          <w:szCs w:val="24"/>
        </w:rPr>
        <w:t>the</w:t>
      </w:r>
      <w:r w:rsidRPr="007D14F3">
        <w:rPr>
          <w:rFonts w:ascii="Times New Roman" w:hAnsi="Times New Roman" w:cs="Times New Roman"/>
          <w:sz w:val="24"/>
          <w:szCs w:val="24"/>
        </w:rPr>
        <w:t xml:space="preserve"> bidder and </w:t>
      </w:r>
      <w:r w:rsidR="002D388C" w:rsidRPr="007D14F3">
        <w:rPr>
          <w:rFonts w:ascii="Times New Roman" w:hAnsi="Times New Roman" w:cs="Times New Roman"/>
          <w:sz w:val="24"/>
          <w:szCs w:val="24"/>
        </w:rPr>
        <w:t>the</w:t>
      </w:r>
      <w:r w:rsidRPr="007D14F3">
        <w:rPr>
          <w:rFonts w:ascii="Times New Roman" w:hAnsi="Times New Roman" w:cs="Times New Roman"/>
          <w:sz w:val="24"/>
          <w:szCs w:val="24"/>
        </w:rPr>
        <w:t xml:space="preserve"> target are US-based companies.</w:t>
      </w:r>
      <w:r w:rsidR="00B16364" w:rsidRPr="007D14F3">
        <w:rPr>
          <w:rFonts w:ascii="Times New Roman" w:hAnsi="Times New Roman" w:cs="Times New Roman"/>
          <w:sz w:val="24"/>
          <w:szCs w:val="24"/>
        </w:rPr>
        <w:t xml:space="preserve"> The choice </w:t>
      </w:r>
      <w:r w:rsidR="001B380A" w:rsidRPr="007D14F3">
        <w:rPr>
          <w:rFonts w:ascii="Times New Roman" w:hAnsi="Times New Roman" w:cs="Times New Roman"/>
          <w:sz w:val="24"/>
          <w:szCs w:val="24"/>
        </w:rPr>
        <w:t>i</w:t>
      </w:r>
      <w:r w:rsidR="00B16364" w:rsidRPr="007D14F3">
        <w:rPr>
          <w:rFonts w:ascii="Times New Roman" w:hAnsi="Times New Roman" w:cs="Times New Roman"/>
          <w:sz w:val="24"/>
          <w:szCs w:val="24"/>
        </w:rPr>
        <w:t xml:space="preserve">s motivated by </w:t>
      </w:r>
      <w:r w:rsidR="00962FA1" w:rsidRPr="007D14F3">
        <w:rPr>
          <w:rFonts w:ascii="Times New Roman" w:hAnsi="Times New Roman" w:cs="Times New Roman"/>
          <w:sz w:val="24"/>
          <w:szCs w:val="24"/>
        </w:rPr>
        <w:t xml:space="preserve">the </w:t>
      </w:r>
      <w:r w:rsidR="00737CDF" w:rsidRPr="007D14F3">
        <w:rPr>
          <w:rFonts w:ascii="Times New Roman" w:hAnsi="Times New Roman" w:cs="Times New Roman"/>
          <w:noProof/>
          <w:sz w:val="24"/>
          <w:szCs w:val="24"/>
        </w:rPr>
        <w:t>greater</w:t>
      </w:r>
      <w:r w:rsidR="00737CDF" w:rsidRPr="007D14F3">
        <w:rPr>
          <w:rFonts w:ascii="Times New Roman" w:hAnsi="Times New Roman" w:cs="Times New Roman"/>
          <w:sz w:val="24"/>
          <w:szCs w:val="24"/>
        </w:rPr>
        <w:t xml:space="preserve"> availability</w:t>
      </w:r>
      <w:r w:rsidR="00B16364" w:rsidRPr="007D14F3">
        <w:rPr>
          <w:rFonts w:ascii="Times New Roman" w:hAnsi="Times New Roman" w:cs="Times New Roman"/>
          <w:sz w:val="24"/>
          <w:szCs w:val="24"/>
        </w:rPr>
        <w:t xml:space="preserve"> of data regarding board structure</w:t>
      </w:r>
      <w:r w:rsidR="00737CDF" w:rsidRPr="007D14F3">
        <w:rPr>
          <w:rFonts w:ascii="Times New Roman" w:hAnsi="Times New Roman" w:cs="Times New Roman"/>
          <w:sz w:val="24"/>
          <w:szCs w:val="24"/>
        </w:rPr>
        <w:t xml:space="preserve"> in the US as well as unitary board system which allows </w:t>
      </w:r>
      <w:r w:rsidR="00962FA1" w:rsidRPr="007D14F3">
        <w:rPr>
          <w:rFonts w:ascii="Times New Roman" w:hAnsi="Times New Roman" w:cs="Times New Roman"/>
          <w:noProof/>
          <w:sz w:val="24"/>
          <w:szCs w:val="24"/>
        </w:rPr>
        <w:t>examining</w:t>
      </w:r>
      <w:r w:rsidR="00737CDF" w:rsidRPr="007D14F3">
        <w:rPr>
          <w:rFonts w:ascii="Times New Roman" w:hAnsi="Times New Roman" w:cs="Times New Roman"/>
          <w:sz w:val="24"/>
          <w:szCs w:val="24"/>
        </w:rPr>
        <w:t xml:space="preserve"> more board characteristics (C</w:t>
      </w:r>
      <w:r w:rsidR="004A2AAF" w:rsidRPr="007D14F3">
        <w:rPr>
          <w:rFonts w:ascii="Times New Roman" w:hAnsi="Times New Roman" w:cs="Times New Roman"/>
          <w:sz w:val="24"/>
          <w:szCs w:val="24"/>
        </w:rPr>
        <w:t>EO duality, board independence),</w:t>
      </w:r>
    </w:p>
    <w:p w:rsidR="00A03BF2" w:rsidRPr="007D14F3" w:rsidRDefault="00A03BF2" w:rsidP="009C7202">
      <w:pPr>
        <w:pStyle w:val="ListParagraph"/>
        <w:numPr>
          <w:ilvl w:val="0"/>
          <w:numId w:val="27"/>
        </w:numPr>
        <w:spacing w:before="120"/>
        <w:contextualSpacing w:val="0"/>
        <w:jc w:val="both"/>
        <w:rPr>
          <w:rFonts w:ascii="Times New Roman" w:hAnsi="Times New Roman" w:cs="Times New Roman"/>
          <w:sz w:val="24"/>
          <w:szCs w:val="24"/>
        </w:rPr>
      </w:pPr>
      <w:r w:rsidRPr="007D14F3">
        <w:rPr>
          <w:rFonts w:ascii="Times New Roman" w:hAnsi="Times New Roman" w:cs="Times New Roman"/>
          <w:sz w:val="24"/>
          <w:szCs w:val="24"/>
        </w:rPr>
        <w:t xml:space="preserve">The acquirer is a public company. The filter </w:t>
      </w:r>
      <w:r w:rsidR="001B380A" w:rsidRPr="007D14F3">
        <w:rPr>
          <w:rFonts w:ascii="Times New Roman" w:hAnsi="Times New Roman" w:cs="Times New Roman"/>
          <w:sz w:val="24"/>
          <w:szCs w:val="24"/>
        </w:rPr>
        <w:t>i</w:t>
      </w:r>
      <w:r w:rsidRPr="007D14F3">
        <w:rPr>
          <w:rFonts w:ascii="Times New Roman" w:hAnsi="Times New Roman" w:cs="Times New Roman"/>
          <w:sz w:val="24"/>
          <w:szCs w:val="24"/>
        </w:rPr>
        <w:t xml:space="preserve">s applied to ensure availability of </w:t>
      </w:r>
      <w:r w:rsidR="00F500F3" w:rsidRPr="007D14F3">
        <w:rPr>
          <w:rFonts w:ascii="Times New Roman" w:hAnsi="Times New Roman" w:cs="Times New Roman"/>
          <w:sz w:val="24"/>
          <w:szCs w:val="24"/>
        </w:rPr>
        <w:t xml:space="preserve">stock prices and </w:t>
      </w:r>
      <w:r w:rsidRPr="007D14F3">
        <w:rPr>
          <w:rFonts w:ascii="Times New Roman" w:hAnsi="Times New Roman" w:cs="Times New Roman"/>
          <w:sz w:val="24"/>
          <w:szCs w:val="24"/>
        </w:rPr>
        <w:t>fi</w:t>
      </w:r>
      <w:r w:rsidR="004A2AAF" w:rsidRPr="007D14F3">
        <w:rPr>
          <w:rFonts w:ascii="Times New Roman" w:hAnsi="Times New Roman" w:cs="Times New Roman"/>
          <w:sz w:val="24"/>
          <w:szCs w:val="24"/>
        </w:rPr>
        <w:t>nancial data of the bidder,</w:t>
      </w:r>
    </w:p>
    <w:p w:rsidR="004A2783" w:rsidRPr="007D14F3" w:rsidRDefault="004A2783" w:rsidP="009C7202">
      <w:pPr>
        <w:pStyle w:val="ListParagraph"/>
        <w:numPr>
          <w:ilvl w:val="0"/>
          <w:numId w:val="27"/>
        </w:numPr>
        <w:spacing w:before="120"/>
        <w:contextualSpacing w:val="0"/>
        <w:jc w:val="both"/>
        <w:rPr>
          <w:rFonts w:ascii="Times New Roman" w:hAnsi="Times New Roman" w:cs="Times New Roman"/>
          <w:sz w:val="24"/>
          <w:szCs w:val="24"/>
        </w:rPr>
      </w:pPr>
      <w:r w:rsidRPr="007D14F3">
        <w:rPr>
          <w:rFonts w:ascii="Times New Roman" w:hAnsi="Times New Roman" w:cs="Times New Roman"/>
          <w:sz w:val="24"/>
          <w:szCs w:val="24"/>
        </w:rPr>
        <w:t xml:space="preserve">The acquisition announcement took </w:t>
      </w:r>
      <w:r w:rsidR="00A532E8" w:rsidRPr="007D14F3">
        <w:rPr>
          <w:rFonts w:ascii="Times New Roman" w:hAnsi="Times New Roman" w:cs="Times New Roman"/>
          <w:sz w:val="24"/>
          <w:szCs w:val="24"/>
        </w:rPr>
        <w:t>place</w:t>
      </w:r>
      <w:r w:rsidRPr="007D14F3">
        <w:rPr>
          <w:rFonts w:ascii="Times New Roman" w:hAnsi="Times New Roman" w:cs="Times New Roman"/>
          <w:sz w:val="24"/>
          <w:szCs w:val="24"/>
        </w:rPr>
        <w:t xml:space="preserve"> over the period 1 January 200</w:t>
      </w:r>
      <w:r w:rsidR="001A3342" w:rsidRPr="007D14F3">
        <w:rPr>
          <w:rFonts w:ascii="Times New Roman" w:hAnsi="Times New Roman" w:cs="Times New Roman"/>
          <w:sz w:val="24"/>
          <w:szCs w:val="24"/>
        </w:rPr>
        <w:t>8</w:t>
      </w:r>
      <w:r w:rsidRPr="007D14F3">
        <w:rPr>
          <w:rFonts w:ascii="Times New Roman" w:hAnsi="Times New Roman" w:cs="Times New Roman"/>
          <w:sz w:val="24"/>
          <w:szCs w:val="24"/>
        </w:rPr>
        <w:t xml:space="preserve"> – 31 December 201</w:t>
      </w:r>
      <w:r w:rsidR="00B26437" w:rsidRPr="007D14F3">
        <w:rPr>
          <w:rFonts w:ascii="Times New Roman" w:hAnsi="Times New Roman" w:cs="Times New Roman"/>
          <w:sz w:val="24"/>
          <w:szCs w:val="24"/>
        </w:rPr>
        <w:t>7</w:t>
      </w:r>
      <w:r w:rsidRPr="007D14F3">
        <w:rPr>
          <w:rFonts w:ascii="Times New Roman" w:hAnsi="Times New Roman" w:cs="Times New Roman"/>
          <w:sz w:val="24"/>
          <w:szCs w:val="24"/>
        </w:rPr>
        <w:t xml:space="preserve">. The period </w:t>
      </w:r>
      <w:r w:rsidR="001B380A" w:rsidRPr="007D14F3">
        <w:rPr>
          <w:rFonts w:ascii="Times New Roman" w:hAnsi="Times New Roman" w:cs="Times New Roman"/>
          <w:sz w:val="24"/>
          <w:szCs w:val="24"/>
        </w:rPr>
        <w:t>i</w:t>
      </w:r>
      <w:r w:rsidRPr="007D14F3">
        <w:rPr>
          <w:rFonts w:ascii="Times New Roman" w:hAnsi="Times New Roman" w:cs="Times New Roman"/>
          <w:sz w:val="24"/>
          <w:szCs w:val="24"/>
        </w:rPr>
        <w:t xml:space="preserve">s determined by </w:t>
      </w:r>
      <w:r w:rsidR="00962FA1" w:rsidRPr="007D14F3">
        <w:rPr>
          <w:rFonts w:ascii="Times New Roman" w:hAnsi="Times New Roman" w:cs="Times New Roman"/>
          <w:sz w:val="24"/>
          <w:szCs w:val="24"/>
        </w:rPr>
        <w:t xml:space="preserve">the </w:t>
      </w:r>
      <w:r w:rsidR="00A532E8" w:rsidRPr="007D14F3">
        <w:rPr>
          <w:rFonts w:ascii="Times New Roman" w:hAnsi="Times New Roman" w:cs="Times New Roman"/>
          <w:noProof/>
          <w:sz w:val="24"/>
          <w:szCs w:val="24"/>
        </w:rPr>
        <w:t>availability</w:t>
      </w:r>
      <w:r w:rsidRPr="007D14F3">
        <w:rPr>
          <w:rFonts w:ascii="Times New Roman" w:hAnsi="Times New Roman" w:cs="Times New Roman"/>
          <w:sz w:val="24"/>
          <w:szCs w:val="24"/>
        </w:rPr>
        <w:t xml:space="preserve"> of data, especially in the ISS</w:t>
      </w:r>
      <w:r w:rsidR="004D6504" w:rsidRPr="007D14F3">
        <w:rPr>
          <w:rFonts w:ascii="Times New Roman" w:hAnsi="Times New Roman" w:cs="Times New Roman"/>
          <w:sz w:val="24"/>
          <w:szCs w:val="24"/>
        </w:rPr>
        <w:t xml:space="preserve"> database</w:t>
      </w:r>
      <w:r w:rsidRPr="007D14F3">
        <w:rPr>
          <w:rFonts w:ascii="Times New Roman" w:hAnsi="Times New Roman" w:cs="Times New Roman"/>
          <w:sz w:val="24"/>
          <w:szCs w:val="24"/>
        </w:rPr>
        <w:t>,</w:t>
      </w:r>
      <w:r w:rsidR="004A2AAF" w:rsidRPr="007D14F3">
        <w:rPr>
          <w:rFonts w:ascii="Times New Roman" w:hAnsi="Times New Roman" w:cs="Times New Roman"/>
          <w:sz w:val="24"/>
          <w:szCs w:val="24"/>
        </w:rPr>
        <w:t xml:space="preserve"> which provides data since 2007,</w:t>
      </w:r>
    </w:p>
    <w:p w:rsidR="0047555F" w:rsidRPr="007D14F3" w:rsidRDefault="004A2783" w:rsidP="009C7202">
      <w:pPr>
        <w:pStyle w:val="ListParagraph"/>
        <w:numPr>
          <w:ilvl w:val="0"/>
          <w:numId w:val="27"/>
        </w:numPr>
        <w:spacing w:before="120"/>
        <w:contextualSpacing w:val="0"/>
        <w:jc w:val="both"/>
        <w:rPr>
          <w:rFonts w:ascii="Times New Roman" w:hAnsi="Times New Roman" w:cs="Times New Roman"/>
          <w:sz w:val="24"/>
          <w:szCs w:val="24"/>
        </w:rPr>
      </w:pPr>
      <w:r w:rsidRPr="007D14F3">
        <w:rPr>
          <w:rFonts w:ascii="Times New Roman" w:hAnsi="Times New Roman" w:cs="Times New Roman"/>
          <w:sz w:val="24"/>
          <w:szCs w:val="24"/>
        </w:rPr>
        <w:t>The acquisition is completed.</w:t>
      </w:r>
      <w:r w:rsidR="0047555F" w:rsidRPr="007D14F3">
        <w:rPr>
          <w:rFonts w:ascii="Times New Roman" w:hAnsi="Times New Roman" w:cs="Times New Roman"/>
          <w:sz w:val="24"/>
          <w:szCs w:val="24"/>
        </w:rPr>
        <w:t xml:space="preserve"> As the research investigates the</w:t>
      </w:r>
      <w:r w:rsidR="00B1629D" w:rsidRPr="007D14F3">
        <w:rPr>
          <w:rFonts w:ascii="Times New Roman" w:hAnsi="Times New Roman" w:cs="Times New Roman"/>
          <w:sz w:val="24"/>
          <w:szCs w:val="24"/>
        </w:rPr>
        <w:t xml:space="preserve"> </w:t>
      </w:r>
      <w:r w:rsidR="00A03BF2" w:rsidRPr="007D14F3">
        <w:rPr>
          <w:rFonts w:ascii="Times New Roman" w:hAnsi="Times New Roman" w:cs="Times New Roman"/>
          <w:sz w:val="24"/>
          <w:szCs w:val="24"/>
        </w:rPr>
        <w:t>board influence</w:t>
      </w:r>
      <w:r w:rsidR="0047555F" w:rsidRPr="007D14F3">
        <w:rPr>
          <w:rFonts w:ascii="Times New Roman" w:hAnsi="Times New Roman" w:cs="Times New Roman"/>
          <w:sz w:val="24"/>
          <w:szCs w:val="24"/>
        </w:rPr>
        <w:t xml:space="preserve"> on actual deal performance, </w:t>
      </w:r>
      <w:r w:rsidR="00A532E8" w:rsidRPr="007D14F3">
        <w:rPr>
          <w:rFonts w:ascii="Times New Roman" w:hAnsi="Times New Roman" w:cs="Times New Roman"/>
          <w:sz w:val="24"/>
          <w:szCs w:val="24"/>
        </w:rPr>
        <w:t>unfinalized</w:t>
      </w:r>
      <w:r w:rsidR="0047555F" w:rsidRPr="007D14F3">
        <w:rPr>
          <w:rFonts w:ascii="Times New Roman" w:hAnsi="Times New Roman" w:cs="Times New Roman"/>
          <w:sz w:val="24"/>
          <w:szCs w:val="24"/>
        </w:rPr>
        <w:t xml:space="preserve"> </w:t>
      </w:r>
      <w:r w:rsidR="00A532E8" w:rsidRPr="007D14F3">
        <w:rPr>
          <w:rFonts w:ascii="Times New Roman" w:hAnsi="Times New Roman" w:cs="Times New Roman"/>
          <w:sz w:val="24"/>
          <w:szCs w:val="24"/>
        </w:rPr>
        <w:t>acquisitions</w:t>
      </w:r>
      <w:r w:rsidR="004A2AAF" w:rsidRPr="007D14F3">
        <w:rPr>
          <w:rFonts w:ascii="Times New Roman" w:hAnsi="Times New Roman" w:cs="Times New Roman"/>
          <w:sz w:val="24"/>
          <w:szCs w:val="24"/>
        </w:rPr>
        <w:t xml:space="preserve"> are excluded from the sample,</w:t>
      </w:r>
    </w:p>
    <w:p w:rsidR="0047555F" w:rsidRPr="007D14F3" w:rsidRDefault="0047555F" w:rsidP="009C7202">
      <w:pPr>
        <w:pStyle w:val="ListParagraph"/>
        <w:numPr>
          <w:ilvl w:val="0"/>
          <w:numId w:val="27"/>
        </w:numPr>
        <w:spacing w:before="120"/>
        <w:contextualSpacing w:val="0"/>
        <w:jc w:val="both"/>
        <w:rPr>
          <w:rFonts w:ascii="Times New Roman" w:hAnsi="Times New Roman" w:cs="Times New Roman"/>
          <w:sz w:val="24"/>
          <w:szCs w:val="24"/>
        </w:rPr>
      </w:pPr>
      <w:r w:rsidRPr="007D14F3">
        <w:rPr>
          <w:rFonts w:ascii="Times New Roman" w:hAnsi="Times New Roman" w:cs="Times New Roman"/>
          <w:sz w:val="24"/>
          <w:szCs w:val="24"/>
        </w:rPr>
        <w:t xml:space="preserve">The deal value </w:t>
      </w:r>
      <w:r w:rsidR="00A532E8" w:rsidRPr="007D14F3">
        <w:rPr>
          <w:rFonts w:ascii="Times New Roman" w:hAnsi="Times New Roman" w:cs="Times New Roman"/>
          <w:sz w:val="24"/>
          <w:szCs w:val="24"/>
        </w:rPr>
        <w:t>exceeds</w:t>
      </w:r>
      <w:r w:rsidRPr="007D14F3">
        <w:rPr>
          <w:rFonts w:ascii="Times New Roman" w:hAnsi="Times New Roman" w:cs="Times New Roman"/>
          <w:sz w:val="24"/>
          <w:szCs w:val="24"/>
        </w:rPr>
        <w:t xml:space="preserve"> USD 1 million</w:t>
      </w:r>
      <w:r w:rsidR="00BB27D2" w:rsidRPr="007D14F3">
        <w:rPr>
          <w:rFonts w:ascii="Times New Roman" w:hAnsi="Times New Roman" w:cs="Times New Roman"/>
          <w:sz w:val="24"/>
          <w:szCs w:val="24"/>
        </w:rPr>
        <w:t xml:space="preserve">. </w:t>
      </w:r>
      <w:r w:rsidR="004D6504" w:rsidRPr="007D14F3">
        <w:rPr>
          <w:rFonts w:ascii="Times New Roman" w:hAnsi="Times New Roman" w:cs="Times New Roman"/>
          <w:sz w:val="24"/>
          <w:szCs w:val="24"/>
        </w:rPr>
        <w:t>The market reaction to small transactions might be not significant and would bring noise into the analysis (Moeller et al., 2008)</w:t>
      </w:r>
      <w:r w:rsidR="004A2AAF" w:rsidRPr="007D14F3">
        <w:rPr>
          <w:rFonts w:ascii="Times New Roman" w:hAnsi="Times New Roman" w:cs="Times New Roman"/>
          <w:sz w:val="24"/>
          <w:szCs w:val="24"/>
        </w:rPr>
        <w:t>,</w:t>
      </w:r>
    </w:p>
    <w:p w:rsidR="0047555F" w:rsidRPr="007D14F3" w:rsidRDefault="0047555F" w:rsidP="009C7202">
      <w:pPr>
        <w:pStyle w:val="ListParagraph"/>
        <w:numPr>
          <w:ilvl w:val="0"/>
          <w:numId w:val="27"/>
        </w:numPr>
        <w:spacing w:before="120"/>
        <w:contextualSpacing w:val="0"/>
        <w:jc w:val="both"/>
        <w:rPr>
          <w:rFonts w:ascii="Times New Roman" w:hAnsi="Times New Roman" w:cs="Times New Roman"/>
          <w:sz w:val="24"/>
          <w:szCs w:val="24"/>
        </w:rPr>
      </w:pPr>
      <w:r w:rsidRPr="007D14F3">
        <w:rPr>
          <w:rFonts w:ascii="Times New Roman" w:hAnsi="Times New Roman" w:cs="Times New Roman"/>
          <w:sz w:val="24"/>
          <w:szCs w:val="24"/>
        </w:rPr>
        <w:t>The acquirer controls less than 50% of the target’s shares before the announcement and as a</w:t>
      </w:r>
      <w:r w:rsidR="00A532E8" w:rsidRPr="007D14F3">
        <w:rPr>
          <w:rFonts w:ascii="Times New Roman" w:hAnsi="Times New Roman" w:cs="Times New Roman"/>
          <w:sz w:val="24"/>
          <w:szCs w:val="24"/>
        </w:rPr>
        <w:t> </w:t>
      </w:r>
      <w:r w:rsidRPr="007D14F3">
        <w:rPr>
          <w:rFonts w:ascii="Times New Roman" w:hAnsi="Times New Roman" w:cs="Times New Roman"/>
          <w:sz w:val="24"/>
          <w:szCs w:val="24"/>
        </w:rPr>
        <w:t xml:space="preserve">result of the transaction holds </w:t>
      </w:r>
      <w:r w:rsidR="00C552AB" w:rsidRPr="007D14F3">
        <w:rPr>
          <w:rFonts w:ascii="Times New Roman" w:hAnsi="Times New Roman" w:cs="Times New Roman"/>
          <w:sz w:val="24"/>
          <w:szCs w:val="24"/>
        </w:rPr>
        <w:t xml:space="preserve">afterwards </w:t>
      </w:r>
      <w:r w:rsidRPr="007D14F3">
        <w:rPr>
          <w:rFonts w:ascii="Times New Roman" w:hAnsi="Times New Roman" w:cs="Times New Roman"/>
          <w:sz w:val="24"/>
          <w:szCs w:val="24"/>
        </w:rPr>
        <w:t xml:space="preserve">over 50% of the shares. Since it </w:t>
      </w:r>
      <w:r w:rsidR="00A532E8" w:rsidRPr="007D14F3">
        <w:rPr>
          <w:rFonts w:ascii="Times New Roman" w:hAnsi="Times New Roman" w:cs="Times New Roman"/>
          <w:sz w:val="24"/>
          <w:szCs w:val="24"/>
        </w:rPr>
        <w:t>results</w:t>
      </w:r>
      <w:r w:rsidRPr="007D14F3">
        <w:rPr>
          <w:rFonts w:ascii="Times New Roman" w:hAnsi="Times New Roman" w:cs="Times New Roman"/>
          <w:sz w:val="24"/>
          <w:szCs w:val="24"/>
        </w:rPr>
        <w:t xml:space="preserve"> in a control gain over the target firm a significant </w:t>
      </w:r>
      <w:r w:rsidR="00B1629D" w:rsidRPr="007D14F3">
        <w:rPr>
          <w:rFonts w:ascii="Times New Roman" w:hAnsi="Times New Roman" w:cs="Times New Roman"/>
          <w:sz w:val="24"/>
          <w:szCs w:val="24"/>
        </w:rPr>
        <w:t xml:space="preserve">market </w:t>
      </w:r>
      <w:r w:rsidR="00A532E8" w:rsidRPr="007D14F3">
        <w:rPr>
          <w:rFonts w:ascii="Times New Roman" w:hAnsi="Times New Roman" w:cs="Times New Roman"/>
          <w:sz w:val="24"/>
          <w:szCs w:val="24"/>
        </w:rPr>
        <w:t>reaction</w:t>
      </w:r>
      <w:r w:rsidR="00B1629D" w:rsidRPr="007D14F3">
        <w:rPr>
          <w:rFonts w:ascii="Times New Roman" w:hAnsi="Times New Roman" w:cs="Times New Roman"/>
          <w:sz w:val="24"/>
          <w:szCs w:val="24"/>
        </w:rPr>
        <w:t xml:space="preserve"> </w:t>
      </w:r>
      <w:r w:rsidR="00C552AB" w:rsidRPr="007D14F3">
        <w:rPr>
          <w:rFonts w:ascii="Times New Roman" w:hAnsi="Times New Roman" w:cs="Times New Roman"/>
          <w:sz w:val="24"/>
          <w:szCs w:val="24"/>
        </w:rPr>
        <w:t xml:space="preserve">is expected, </w:t>
      </w:r>
      <w:r w:rsidR="00A532E8" w:rsidRPr="007D14F3">
        <w:rPr>
          <w:rFonts w:ascii="Times New Roman" w:hAnsi="Times New Roman" w:cs="Times New Roman"/>
          <w:sz w:val="24"/>
          <w:szCs w:val="24"/>
        </w:rPr>
        <w:t>unlike</w:t>
      </w:r>
      <w:r w:rsidR="00B1629D" w:rsidRPr="007D14F3">
        <w:rPr>
          <w:rFonts w:ascii="Times New Roman" w:hAnsi="Times New Roman" w:cs="Times New Roman"/>
          <w:sz w:val="24"/>
          <w:szCs w:val="24"/>
        </w:rPr>
        <w:t xml:space="preserve"> </w:t>
      </w:r>
      <w:r w:rsidR="00A532E8" w:rsidRPr="007D14F3">
        <w:rPr>
          <w:rFonts w:ascii="Times New Roman" w:hAnsi="Times New Roman" w:cs="Times New Roman"/>
          <w:sz w:val="24"/>
          <w:szCs w:val="24"/>
        </w:rPr>
        <w:t>in the case of an acquisition of a</w:t>
      </w:r>
      <w:r w:rsidR="004A2AAF" w:rsidRPr="007D14F3">
        <w:rPr>
          <w:rFonts w:ascii="Times New Roman" w:hAnsi="Times New Roman" w:cs="Times New Roman"/>
          <w:sz w:val="24"/>
          <w:szCs w:val="24"/>
        </w:rPr>
        <w:t xml:space="preserve"> small percentage of the shares,</w:t>
      </w:r>
    </w:p>
    <w:bookmarkEnd w:id="38"/>
    <w:p w:rsidR="004A2783" w:rsidRPr="007D14F3" w:rsidRDefault="00B1629D" w:rsidP="009C7202">
      <w:pPr>
        <w:pStyle w:val="ListParagraph"/>
        <w:numPr>
          <w:ilvl w:val="0"/>
          <w:numId w:val="27"/>
        </w:numPr>
        <w:spacing w:before="120"/>
        <w:contextualSpacing w:val="0"/>
        <w:jc w:val="both"/>
        <w:rPr>
          <w:rFonts w:ascii="Times New Roman" w:hAnsi="Times New Roman" w:cs="Times New Roman"/>
          <w:sz w:val="24"/>
          <w:szCs w:val="24"/>
        </w:rPr>
      </w:pPr>
      <w:r w:rsidRPr="007D14F3">
        <w:rPr>
          <w:rFonts w:ascii="Times New Roman" w:hAnsi="Times New Roman" w:cs="Times New Roman"/>
          <w:sz w:val="24"/>
          <w:szCs w:val="24"/>
        </w:rPr>
        <w:lastRenderedPageBreak/>
        <w:t>A</w:t>
      </w:r>
      <w:r w:rsidR="0047555F" w:rsidRPr="007D14F3">
        <w:rPr>
          <w:rFonts w:ascii="Times New Roman" w:hAnsi="Times New Roman" w:cs="Times New Roman"/>
          <w:sz w:val="24"/>
          <w:szCs w:val="24"/>
        </w:rPr>
        <w:t xml:space="preserve">ll data needed to obtain </w:t>
      </w:r>
      <w:r w:rsidR="00C552AB" w:rsidRPr="007D14F3">
        <w:rPr>
          <w:rFonts w:ascii="Times New Roman" w:hAnsi="Times New Roman" w:cs="Times New Roman"/>
          <w:sz w:val="24"/>
          <w:szCs w:val="24"/>
        </w:rPr>
        <w:t xml:space="preserve">the </w:t>
      </w:r>
      <w:r w:rsidR="0047555F" w:rsidRPr="007D14F3">
        <w:rPr>
          <w:rFonts w:ascii="Times New Roman" w:hAnsi="Times New Roman" w:cs="Times New Roman"/>
          <w:sz w:val="24"/>
          <w:szCs w:val="24"/>
        </w:rPr>
        <w:t>value</w:t>
      </w:r>
      <w:r w:rsidR="00C552AB" w:rsidRPr="007D14F3">
        <w:rPr>
          <w:rFonts w:ascii="Times New Roman" w:hAnsi="Times New Roman" w:cs="Times New Roman"/>
          <w:sz w:val="24"/>
          <w:szCs w:val="24"/>
        </w:rPr>
        <w:t>s</w:t>
      </w:r>
      <w:r w:rsidR="0047555F" w:rsidRPr="007D14F3">
        <w:rPr>
          <w:rFonts w:ascii="Times New Roman" w:hAnsi="Times New Roman" w:cs="Times New Roman"/>
          <w:sz w:val="24"/>
          <w:szCs w:val="24"/>
        </w:rPr>
        <w:t xml:space="preserve"> of </w:t>
      </w:r>
      <w:r w:rsidR="00C552AB" w:rsidRPr="007D14F3">
        <w:rPr>
          <w:rFonts w:ascii="Times New Roman" w:hAnsi="Times New Roman" w:cs="Times New Roman"/>
          <w:sz w:val="24"/>
          <w:szCs w:val="24"/>
        </w:rPr>
        <w:t xml:space="preserve">the </w:t>
      </w:r>
      <w:r w:rsidR="0047555F" w:rsidRPr="007D14F3">
        <w:rPr>
          <w:rFonts w:ascii="Times New Roman" w:hAnsi="Times New Roman" w:cs="Times New Roman"/>
          <w:sz w:val="24"/>
          <w:szCs w:val="24"/>
        </w:rPr>
        <w:t>independent variables is available.</w:t>
      </w:r>
      <w:r w:rsidR="00737CDF" w:rsidRPr="007D14F3">
        <w:rPr>
          <w:rFonts w:ascii="Times New Roman" w:hAnsi="Times New Roman" w:cs="Times New Roman"/>
          <w:sz w:val="24"/>
          <w:szCs w:val="24"/>
        </w:rPr>
        <w:t xml:space="preserve"> The criterium is necessary to correctly run </w:t>
      </w:r>
      <w:r w:rsidR="00C552AB" w:rsidRPr="007D14F3">
        <w:rPr>
          <w:rFonts w:ascii="Times New Roman" w:hAnsi="Times New Roman" w:cs="Times New Roman"/>
          <w:sz w:val="24"/>
          <w:szCs w:val="24"/>
        </w:rPr>
        <w:t xml:space="preserve">the </w:t>
      </w:r>
      <w:r w:rsidR="004A2AAF" w:rsidRPr="007D14F3">
        <w:rPr>
          <w:rFonts w:ascii="Times New Roman" w:hAnsi="Times New Roman" w:cs="Times New Roman"/>
          <w:sz w:val="24"/>
          <w:szCs w:val="24"/>
        </w:rPr>
        <w:t>OLS regression,</w:t>
      </w:r>
    </w:p>
    <w:p w:rsidR="00E4598F" w:rsidRPr="007D14F3" w:rsidRDefault="004A2AAF" w:rsidP="009C7202">
      <w:pPr>
        <w:spacing w:before="120" w:after="120" w:line="240" w:lineRule="auto"/>
        <w:jc w:val="both"/>
        <w:rPr>
          <w:rFonts w:ascii="Times New Roman" w:hAnsi="Times New Roman" w:cs="Times New Roman"/>
          <w:sz w:val="24"/>
          <w:szCs w:val="24"/>
        </w:rPr>
      </w:pPr>
      <w:r w:rsidRPr="007D14F3">
        <w:rPr>
          <w:rFonts w:ascii="Times New Roman" w:hAnsi="Times New Roman" w:cs="Times New Roman"/>
          <w:sz w:val="24"/>
          <w:szCs w:val="24"/>
        </w:rPr>
        <w:t xml:space="preserve">is retrieved from ThomsonOne, Eventus, Institutional Shareholder Platform (ISS) and Compustat databases. </w:t>
      </w:r>
      <w:r w:rsidR="00A532E8" w:rsidRPr="007D14F3">
        <w:rPr>
          <w:rFonts w:ascii="Times New Roman" w:hAnsi="Times New Roman" w:cs="Times New Roman"/>
          <w:sz w:val="24"/>
          <w:szCs w:val="24"/>
        </w:rPr>
        <w:t>A</w:t>
      </w:r>
      <w:r w:rsidRPr="007D14F3">
        <w:rPr>
          <w:rFonts w:ascii="Times New Roman" w:hAnsi="Times New Roman" w:cs="Times New Roman"/>
          <w:sz w:val="24"/>
          <w:szCs w:val="24"/>
        </w:rPr>
        <w:t xml:space="preserve">pplication of the criteria </w:t>
      </w:r>
      <w:r w:rsidR="002F3F53" w:rsidRPr="007D14F3">
        <w:rPr>
          <w:rFonts w:ascii="Times New Roman" w:hAnsi="Times New Roman" w:cs="Times New Roman"/>
          <w:sz w:val="24"/>
          <w:szCs w:val="24"/>
        </w:rPr>
        <w:t>and e</w:t>
      </w:r>
      <w:r w:rsidR="00885F19" w:rsidRPr="007D14F3">
        <w:rPr>
          <w:rFonts w:ascii="Times New Roman" w:hAnsi="Times New Roman" w:cs="Times New Roman"/>
          <w:sz w:val="24"/>
          <w:szCs w:val="24"/>
        </w:rPr>
        <w:t>xclusion of so-called outliers result</w:t>
      </w:r>
      <w:r w:rsidRPr="007D14F3">
        <w:rPr>
          <w:rFonts w:ascii="Times New Roman" w:hAnsi="Times New Roman" w:cs="Times New Roman"/>
          <w:sz w:val="24"/>
          <w:szCs w:val="24"/>
        </w:rPr>
        <w:t>ed</w:t>
      </w:r>
      <w:r w:rsidR="00885F19" w:rsidRPr="007D14F3">
        <w:rPr>
          <w:rFonts w:ascii="Times New Roman" w:hAnsi="Times New Roman" w:cs="Times New Roman"/>
          <w:sz w:val="24"/>
          <w:szCs w:val="24"/>
        </w:rPr>
        <w:t xml:space="preserve"> in </w:t>
      </w:r>
      <w:r w:rsidR="00A532E8" w:rsidRPr="007D14F3">
        <w:rPr>
          <w:rFonts w:ascii="Times New Roman" w:hAnsi="Times New Roman" w:cs="Times New Roman"/>
          <w:sz w:val="24"/>
          <w:szCs w:val="24"/>
        </w:rPr>
        <w:t>the sample of</w:t>
      </w:r>
      <w:r w:rsidR="00763C62" w:rsidRPr="007D14F3">
        <w:rPr>
          <w:rFonts w:ascii="Times New Roman" w:hAnsi="Times New Roman" w:cs="Times New Roman"/>
          <w:sz w:val="24"/>
          <w:szCs w:val="24"/>
        </w:rPr>
        <w:t xml:space="preserve"> </w:t>
      </w:r>
      <w:r w:rsidR="002F3F53" w:rsidRPr="007D14F3">
        <w:rPr>
          <w:rFonts w:ascii="Times New Roman" w:hAnsi="Times New Roman" w:cs="Times New Roman"/>
          <w:sz w:val="24"/>
          <w:szCs w:val="24"/>
        </w:rPr>
        <w:t>2613 deals</w:t>
      </w:r>
      <w:r w:rsidR="00A532E8" w:rsidRPr="007D14F3">
        <w:rPr>
          <w:rFonts w:ascii="Times New Roman" w:hAnsi="Times New Roman" w:cs="Times New Roman"/>
          <w:sz w:val="24"/>
          <w:szCs w:val="24"/>
        </w:rPr>
        <w:t>.</w:t>
      </w:r>
      <w:r w:rsidR="00FE1DAE" w:rsidRPr="007D14F3">
        <w:rPr>
          <w:rFonts w:ascii="Times New Roman" w:hAnsi="Times New Roman" w:cs="Times New Roman"/>
          <w:sz w:val="24"/>
          <w:szCs w:val="24"/>
        </w:rPr>
        <w:t xml:space="preserve"> </w:t>
      </w:r>
    </w:p>
    <w:p w:rsidR="0007533D" w:rsidRPr="007D14F3" w:rsidRDefault="0007533D" w:rsidP="009C7202">
      <w:pPr>
        <w:pStyle w:val="Heading2"/>
        <w:numPr>
          <w:ilvl w:val="1"/>
          <w:numId w:val="3"/>
        </w:numPr>
        <w:spacing w:before="120" w:after="120" w:line="240" w:lineRule="auto"/>
        <w:rPr>
          <w:rFonts w:cs="Times New Roman"/>
          <w:szCs w:val="24"/>
        </w:rPr>
      </w:pPr>
      <w:bookmarkStart w:id="39" w:name="_Toc516128946"/>
      <w:r w:rsidRPr="007D14F3">
        <w:rPr>
          <w:rFonts w:cs="Times New Roman"/>
          <w:szCs w:val="24"/>
        </w:rPr>
        <w:t>Descriptive statistics</w:t>
      </w:r>
      <w:bookmarkEnd w:id="39"/>
    </w:p>
    <w:p w:rsidR="00A34351" w:rsidRPr="007D14F3" w:rsidRDefault="004159DF" w:rsidP="009C7202">
      <w:pPr>
        <w:spacing w:before="120" w:after="120" w:line="240" w:lineRule="auto"/>
        <w:jc w:val="both"/>
        <w:rPr>
          <w:rFonts w:ascii="Times New Roman" w:hAnsi="Times New Roman" w:cs="Times New Roman"/>
          <w:b/>
          <w:sz w:val="24"/>
          <w:szCs w:val="24"/>
        </w:rPr>
      </w:pPr>
      <w:r w:rsidRPr="007D14F3">
        <w:rPr>
          <w:rFonts w:ascii="Times New Roman" w:hAnsi="Times New Roman" w:cs="Times New Roman"/>
          <w:sz w:val="24"/>
          <w:szCs w:val="24"/>
        </w:rPr>
        <w:t xml:space="preserve">The </w:t>
      </w:r>
      <w:r w:rsidR="00B7578E" w:rsidRPr="007D14F3">
        <w:rPr>
          <w:rFonts w:ascii="Times New Roman" w:hAnsi="Times New Roman" w:cs="Times New Roman"/>
          <w:sz w:val="24"/>
          <w:szCs w:val="24"/>
        </w:rPr>
        <w:t xml:space="preserve">sample includes </w:t>
      </w:r>
      <w:r w:rsidR="00C552AB" w:rsidRPr="007D14F3">
        <w:rPr>
          <w:rFonts w:ascii="Times New Roman" w:hAnsi="Times New Roman" w:cs="Times New Roman"/>
          <w:sz w:val="24"/>
          <w:szCs w:val="24"/>
        </w:rPr>
        <w:t xml:space="preserve">a </w:t>
      </w:r>
      <w:r w:rsidR="00B7578E" w:rsidRPr="007D14F3">
        <w:rPr>
          <w:rFonts w:ascii="Times New Roman" w:hAnsi="Times New Roman" w:cs="Times New Roman"/>
          <w:sz w:val="24"/>
          <w:szCs w:val="24"/>
        </w:rPr>
        <w:t>similar number of acquisitions per year - 1</w:t>
      </w:r>
      <w:r w:rsidR="001B380A" w:rsidRPr="007D14F3">
        <w:rPr>
          <w:rFonts w:ascii="Times New Roman" w:hAnsi="Times New Roman" w:cs="Times New Roman"/>
          <w:sz w:val="24"/>
          <w:szCs w:val="24"/>
        </w:rPr>
        <w:t>8</w:t>
      </w:r>
      <w:r w:rsidR="00B7578E" w:rsidRPr="007D14F3">
        <w:rPr>
          <w:rFonts w:ascii="Times New Roman" w:hAnsi="Times New Roman" w:cs="Times New Roman"/>
          <w:sz w:val="24"/>
          <w:szCs w:val="24"/>
        </w:rPr>
        <w:t xml:space="preserve">1 to </w:t>
      </w:r>
      <w:r w:rsidR="001B380A" w:rsidRPr="007D14F3">
        <w:rPr>
          <w:rFonts w:ascii="Times New Roman" w:hAnsi="Times New Roman" w:cs="Times New Roman"/>
          <w:sz w:val="24"/>
          <w:szCs w:val="24"/>
        </w:rPr>
        <w:t>308</w:t>
      </w:r>
      <w:r w:rsidR="00B7578E" w:rsidRPr="007D14F3">
        <w:rPr>
          <w:rFonts w:ascii="Times New Roman" w:hAnsi="Times New Roman" w:cs="Times New Roman"/>
          <w:sz w:val="24"/>
          <w:szCs w:val="24"/>
        </w:rPr>
        <w:t xml:space="preserve">. </w:t>
      </w:r>
      <w:r w:rsidR="005035EE" w:rsidRPr="007D14F3">
        <w:rPr>
          <w:rFonts w:ascii="Times New Roman" w:hAnsi="Times New Roman" w:cs="Times New Roman"/>
          <w:sz w:val="24"/>
          <w:szCs w:val="24"/>
        </w:rPr>
        <w:t>The a</w:t>
      </w:r>
      <w:r w:rsidR="00B7578E" w:rsidRPr="007D14F3">
        <w:rPr>
          <w:rFonts w:ascii="Times New Roman" w:hAnsi="Times New Roman" w:cs="Times New Roman"/>
          <w:sz w:val="24"/>
          <w:szCs w:val="24"/>
        </w:rPr>
        <w:t>verage abnormal return is positive and rises from 2008 to peak in 2013 and declines afterwards.</w:t>
      </w:r>
      <w:r w:rsidR="007B64CD" w:rsidRPr="007D14F3">
        <w:rPr>
          <w:rFonts w:ascii="Times New Roman" w:hAnsi="Times New Roman" w:cs="Times New Roman"/>
          <w:sz w:val="24"/>
          <w:szCs w:val="24"/>
        </w:rPr>
        <w:t xml:space="preserve"> </w:t>
      </w:r>
      <w:r w:rsidR="00D35FE4" w:rsidRPr="007D14F3">
        <w:rPr>
          <w:rFonts w:ascii="Times New Roman" w:hAnsi="Times New Roman" w:cs="Times New Roman"/>
          <w:sz w:val="24"/>
          <w:szCs w:val="24"/>
        </w:rPr>
        <w:t>A possible explanation for the</w:t>
      </w:r>
      <w:r w:rsidR="007B64CD" w:rsidRPr="007D14F3">
        <w:rPr>
          <w:rFonts w:ascii="Times New Roman" w:hAnsi="Times New Roman" w:cs="Times New Roman"/>
          <w:sz w:val="24"/>
          <w:szCs w:val="24"/>
        </w:rPr>
        <w:t xml:space="preserve"> </w:t>
      </w:r>
      <w:r w:rsidR="00DC756F" w:rsidRPr="007D14F3">
        <w:rPr>
          <w:rFonts w:ascii="Times New Roman" w:hAnsi="Times New Roman" w:cs="Times New Roman"/>
          <w:sz w:val="24"/>
          <w:szCs w:val="24"/>
        </w:rPr>
        <w:t>low</w:t>
      </w:r>
      <w:r w:rsidR="00D35FE4" w:rsidRPr="007D14F3">
        <w:rPr>
          <w:rFonts w:ascii="Times New Roman" w:hAnsi="Times New Roman" w:cs="Times New Roman"/>
          <w:sz w:val="24"/>
          <w:szCs w:val="24"/>
        </w:rPr>
        <w:t xml:space="preserve">er </w:t>
      </w:r>
      <w:r w:rsidR="00DC756F" w:rsidRPr="007D14F3">
        <w:rPr>
          <w:rFonts w:ascii="Times New Roman" w:hAnsi="Times New Roman" w:cs="Times New Roman"/>
          <w:sz w:val="24"/>
          <w:szCs w:val="24"/>
        </w:rPr>
        <w:t xml:space="preserve">number of acquisitions and </w:t>
      </w:r>
      <w:r w:rsidR="00D35FE4" w:rsidRPr="007D14F3">
        <w:rPr>
          <w:rFonts w:ascii="Times New Roman" w:hAnsi="Times New Roman" w:cs="Times New Roman"/>
          <w:sz w:val="24"/>
          <w:szCs w:val="24"/>
        </w:rPr>
        <w:t>below average cumulative</w:t>
      </w:r>
      <w:r w:rsidR="00DC756F" w:rsidRPr="007D14F3">
        <w:rPr>
          <w:rFonts w:ascii="Times New Roman" w:hAnsi="Times New Roman" w:cs="Times New Roman"/>
          <w:sz w:val="24"/>
          <w:szCs w:val="24"/>
        </w:rPr>
        <w:t xml:space="preserve"> abnor</w:t>
      </w:r>
      <w:r w:rsidR="00D35FE4" w:rsidRPr="007D14F3">
        <w:rPr>
          <w:rFonts w:ascii="Times New Roman" w:hAnsi="Times New Roman" w:cs="Times New Roman"/>
          <w:sz w:val="24"/>
          <w:szCs w:val="24"/>
        </w:rPr>
        <w:t>m</w:t>
      </w:r>
      <w:r w:rsidR="00DC756F" w:rsidRPr="007D14F3">
        <w:rPr>
          <w:rFonts w:ascii="Times New Roman" w:hAnsi="Times New Roman" w:cs="Times New Roman"/>
          <w:sz w:val="24"/>
          <w:szCs w:val="24"/>
        </w:rPr>
        <w:t>al returns in 2008 an</w:t>
      </w:r>
      <w:r w:rsidR="00753BD1" w:rsidRPr="007D14F3">
        <w:rPr>
          <w:rFonts w:ascii="Times New Roman" w:hAnsi="Times New Roman" w:cs="Times New Roman"/>
          <w:sz w:val="24"/>
          <w:szCs w:val="24"/>
        </w:rPr>
        <w:t>d</w:t>
      </w:r>
      <w:r w:rsidR="00DC756F" w:rsidRPr="007D14F3">
        <w:rPr>
          <w:rFonts w:ascii="Times New Roman" w:hAnsi="Times New Roman" w:cs="Times New Roman"/>
          <w:sz w:val="24"/>
          <w:szCs w:val="24"/>
        </w:rPr>
        <w:t xml:space="preserve"> 2009 is </w:t>
      </w:r>
      <w:r w:rsidR="00D35FE4" w:rsidRPr="007D14F3">
        <w:rPr>
          <w:rFonts w:ascii="Times New Roman" w:hAnsi="Times New Roman" w:cs="Times New Roman"/>
          <w:sz w:val="24"/>
          <w:szCs w:val="24"/>
        </w:rPr>
        <w:t>reduced</w:t>
      </w:r>
      <w:r w:rsidR="00DC756F" w:rsidRPr="007D14F3">
        <w:rPr>
          <w:rFonts w:ascii="Times New Roman" w:hAnsi="Times New Roman" w:cs="Times New Roman"/>
          <w:sz w:val="24"/>
          <w:szCs w:val="24"/>
        </w:rPr>
        <w:t xml:space="preserve"> M&amp;A activity during the financial crisis in 2007-200</w:t>
      </w:r>
      <w:r w:rsidR="005035EE" w:rsidRPr="007D14F3">
        <w:rPr>
          <w:rFonts w:ascii="Times New Roman" w:hAnsi="Times New Roman" w:cs="Times New Roman"/>
          <w:sz w:val="24"/>
          <w:szCs w:val="24"/>
        </w:rPr>
        <w:t>9</w:t>
      </w:r>
      <w:r w:rsidR="00100D96" w:rsidRPr="007D14F3">
        <w:rPr>
          <w:rFonts w:ascii="Times New Roman" w:hAnsi="Times New Roman" w:cs="Times New Roman"/>
          <w:sz w:val="24"/>
          <w:szCs w:val="24"/>
        </w:rPr>
        <w:t xml:space="preserve"> (Alexandridis et al., 201</w:t>
      </w:r>
      <w:r w:rsidR="00C51AFE" w:rsidRPr="007D14F3">
        <w:rPr>
          <w:rFonts w:ascii="Times New Roman" w:hAnsi="Times New Roman" w:cs="Times New Roman"/>
          <w:sz w:val="24"/>
          <w:szCs w:val="24"/>
        </w:rPr>
        <w:t>2</w:t>
      </w:r>
      <w:r w:rsidR="00100D96" w:rsidRPr="007D14F3">
        <w:rPr>
          <w:rFonts w:ascii="Times New Roman" w:hAnsi="Times New Roman" w:cs="Times New Roman"/>
          <w:sz w:val="24"/>
          <w:szCs w:val="24"/>
        </w:rPr>
        <w:t>)</w:t>
      </w:r>
      <w:r w:rsidR="00D35FE4" w:rsidRPr="007D14F3">
        <w:rPr>
          <w:rFonts w:ascii="Times New Roman" w:hAnsi="Times New Roman" w:cs="Times New Roman"/>
          <w:sz w:val="24"/>
          <w:szCs w:val="24"/>
        </w:rPr>
        <w:t xml:space="preserve">. </w:t>
      </w:r>
      <w:r w:rsidR="005035EE" w:rsidRPr="007D14F3">
        <w:rPr>
          <w:rFonts w:ascii="Times New Roman" w:hAnsi="Times New Roman" w:cs="Times New Roman"/>
          <w:sz w:val="24"/>
          <w:szCs w:val="24"/>
        </w:rPr>
        <w:t>A </w:t>
      </w:r>
      <w:r w:rsidR="00DC756F" w:rsidRPr="007D14F3">
        <w:rPr>
          <w:rFonts w:ascii="Times New Roman" w:hAnsi="Times New Roman" w:cs="Times New Roman"/>
          <w:sz w:val="24"/>
          <w:szCs w:val="24"/>
        </w:rPr>
        <w:t>positive trend in</w:t>
      </w:r>
      <w:r w:rsidR="005035EE" w:rsidRPr="007D14F3">
        <w:rPr>
          <w:rFonts w:ascii="Times New Roman" w:hAnsi="Times New Roman" w:cs="Times New Roman"/>
          <w:sz w:val="24"/>
          <w:szCs w:val="24"/>
        </w:rPr>
        <w:t xml:space="preserve"> the</w:t>
      </w:r>
      <w:r w:rsidR="00DC756F" w:rsidRPr="007D14F3">
        <w:rPr>
          <w:rFonts w:ascii="Times New Roman" w:hAnsi="Times New Roman" w:cs="Times New Roman"/>
          <w:sz w:val="24"/>
          <w:szCs w:val="24"/>
        </w:rPr>
        <w:t xml:space="preserve"> </w:t>
      </w:r>
      <w:r w:rsidR="00D35FE4" w:rsidRPr="007D14F3">
        <w:rPr>
          <w:rFonts w:ascii="Times New Roman" w:hAnsi="Times New Roman" w:cs="Times New Roman"/>
          <w:sz w:val="24"/>
          <w:szCs w:val="24"/>
        </w:rPr>
        <w:t>number of acquisitions</w:t>
      </w:r>
      <w:r w:rsidR="00962FA1" w:rsidRPr="007D14F3">
        <w:rPr>
          <w:rFonts w:ascii="Times New Roman" w:hAnsi="Times New Roman" w:cs="Times New Roman"/>
          <w:sz w:val="24"/>
          <w:szCs w:val="24"/>
        </w:rPr>
        <w:t>, as well as CAR in the following years,</w:t>
      </w:r>
      <w:r w:rsidR="00D35FE4" w:rsidRPr="007D14F3">
        <w:rPr>
          <w:rFonts w:ascii="Times New Roman" w:hAnsi="Times New Roman" w:cs="Times New Roman"/>
          <w:sz w:val="24"/>
          <w:szCs w:val="24"/>
        </w:rPr>
        <w:t xml:space="preserve"> might</w:t>
      </w:r>
      <w:r w:rsidR="005035EE" w:rsidRPr="007D14F3">
        <w:rPr>
          <w:rFonts w:ascii="Times New Roman" w:hAnsi="Times New Roman" w:cs="Times New Roman"/>
          <w:sz w:val="24"/>
          <w:szCs w:val="24"/>
        </w:rPr>
        <w:t xml:space="preserve"> have</w:t>
      </w:r>
      <w:r w:rsidR="00D0042E" w:rsidRPr="007D14F3">
        <w:rPr>
          <w:rFonts w:ascii="Times New Roman" w:hAnsi="Times New Roman" w:cs="Times New Roman"/>
          <w:sz w:val="24"/>
          <w:szCs w:val="24"/>
        </w:rPr>
        <w:t xml:space="preserve"> </w:t>
      </w:r>
      <w:r w:rsidR="00D35FE4" w:rsidRPr="007D14F3">
        <w:rPr>
          <w:rFonts w:ascii="Times New Roman" w:hAnsi="Times New Roman" w:cs="Times New Roman"/>
          <w:sz w:val="24"/>
          <w:szCs w:val="24"/>
        </w:rPr>
        <w:t>result</w:t>
      </w:r>
      <w:r w:rsidR="005035EE" w:rsidRPr="007D14F3">
        <w:rPr>
          <w:rFonts w:ascii="Times New Roman" w:hAnsi="Times New Roman" w:cs="Times New Roman"/>
          <w:sz w:val="24"/>
          <w:szCs w:val="24"/>
        </w:rPr>
        <w:t>ed</w:t>
      </w:r>
      <w:r w:rsidR="00D35FE4" w:rsidRPr="007D14F3">
        <w:rPr>
          <w:rFonts w:ascii="Times New Roman" w:hAnsi="Times New Roman" w:cs="Times New Roman"/>
          <w:sz w:val="24"/>
          <w:szCs w:val="24"/>
        </w:rPr>
        <w:t xml:space="preserve"> from </w:t>
      </w:r>
      <w:r w:rsidR="00C552AB" w:rsidRPr="007D14F3">
        <w:rPr>
          <w:rFonts w:ascii="Times New Roman" w:hAnsi="Times New Roman" w:cs="Times New Roman"/>
          <w:noProof/>
          <w:sz w:val="24"/>
          <w:szCs w:val="24"/>
        </w:rPr>
        <w:t>a</w:t>
      </w:r>
      <w:r w:rsidR="00962FA1" w:rsidRPr="007D14F3">
        <w:rPr>
          <w:rFonts w:ascii="Times New Roman" w:hAnsi="Times New Roman" w:cs="Times New Roman"/>
          <w:noProof/>
          <w:sz w:val="24"/>
          <w:szCs w:val="24"/>
        </w:rPr>
        <w:t>n</w:t>
      </w:r>
      <w:r w:rsidR="00D35FE4" w:rsidRPr="007D14F3">
        <w:rPr>
          <w:rFonts w:ascii="Times New Roman" w:hAnsi="Times New Roman" w:cs="Times New Roman"/>
          <w:noProof/>
          <w:sz w:val="24"/>
          <w:szCs w:val="24"/>
        </w:rPr>
        <w:t xml:space="preserve"> </w:t>
      </w:r>
      <w:r w:rsidR="00DC756F" w:rsidRPr="007D14F3">
        <w:rPr>
          <w:rFonts w:ascii="Times New Roman" w:hAnsi="Times New Roman" w:cs="Times New Roman"/>
          <w:noProof/>
          <w:sz w:val="24"/>
          <w:szCs w:val="24"/>
        </w:rPr>
        <w:t>M&amp;A</w:t>
      </w:r>
      <w:r w:rsidR="00DC756F" w:rsidRPr="007D14F3">
        <w:rPr>
          <w:rFonts w:ascii="Times New Roman" w:hAnsi="Times New Roman" w:cs="Times New Roman"/>
          <w:sz w:val="24"/>
          <w:szCs w:val="24"/>
        </w:rPr>
        <w:t xml:space="preserve"> activity rebound after the crisis.</w:t>
      </w:r>
      <w:r w:rsidR="00341974" w:rsidRPr="007D14F3">
        <w:rPr>
          <w:rFonts w:ascii="Times New Roman" w:hAnsi="Times New Roman" w:cs="Times New Roman"/>
          <w:sz w:val="24"/>
          <w:szCs w:val="24"/>
        </w:rPr>
        <w:t xml:space="preserve"> Due to the visible differences in average cumulative abnormal returns amon</w:t>
      </w:r>
      <w:r w:rsidR="005657BA" w:rsidRPr="007D14F3">
        <w:rPr>
          <w:rFonts w:ascii="Times New Roman" w:hAnsi="Times New Roman" w:cs="Times New Roman"/>
          <w:sz w:val="24"/>
          <w:szCs w:val="24"/>
        </w:rPr>
        <w:t xml:space="preserve">g the years, </w:t>
      </w:r>
      <w:r w:rsidR="00A34351" w:rsidRPr="007D14F3">
        <w:rPr>
          <w:rFonts w:ascii="Times New Roman" w:hAnsi="Times New Roman" w:cs="Times New Roman"/>
          <w:sz w:val="24"/>
          <w:szCs w:val="24"/>
        </w:rPr>
        <w:t xml:space="preserve">the </w:t>
      </w:r>
      <w:r w:rsidR="00341974" w:rsidRPr="007D14F3">
        <w:rPr>
          <w:rFonts w:ascii="Times New Roman" w:hAnsi="Times New Roman" w:cs="Times New Roman"/>
          <w:sz w:val="24"/>
          <w:szCs w:val="24"/>
        </w:rPr>
        <w:t>fixed-time effects</w:t>
      </w:r>
      <w:r w:rsidR="005657BA" w:rsidRPr="007D14F3">
        <w:rPr>
          <w:rFonts w:ascii="Times New Roman" w:hAnsi="Times New Roman" w:cs="Times New Roman"/>
          <w:sz w:val="24"/>
          <w:szCs w:val="24"/>
        </w:rPr>
        <w:t xml:space="preserve"> are controlled for</w:t>
      </w:r>
      <w:r w:rsidR="00341974" w:rsidRPr="007D14F3">
        <w:rPr>
          <w:rFonts w:ascii="Times New Roman" w:hAnsi="Times New Roman" w:cs="Times New Roman"/>
          <w:sz w:val="24"/>
          <w:szCs w:val="24"/>
        </w:rPr>
        <w:t xml:space="preserve"> in the model.</w:t>
      </w:r>
      <w:r w:rsidR="00D0042E" w:rsidRPr="007D14F3">
        <w:rPr>
          <w:rFonts w:ascii="Times New Roman" w:hAnsi="Times New Roman" w:cs="Times New Roman"/>
          <w:sz w:val="24"/>
          <w:szCs w:val="24"/>
        </w:rPr>
        <w:t xml:space="preserve"> </w:t>
      </w:r>
    </w:p>
    <w:p w:rsidR="00F5603F" w:rsidRPr="007D14F3" w:rsidRDefault="006D481A" w:rsidP="009C7202">
      <w:pPr>
        <w:spacing w:before="120" w:after="120" w:line="240" w:lineRule="auto"/>
        <w:jc w:val="center"/>
        <w:rPr>
          <w:rFonts w:ascii="Times New Roman" w:hAnsi="Times New Roman" w:cs="Times New Roman"/>
          <w:b/>
          <w:sz w:val="24"/>
          <w:szCs w:val="24"/>
        </w:rPr>
      </w:pPr>
      <w:r w:rsidRPr="007D14F3">
        <w:rPr>
          <w:rFonts w:ascii="Times New Roman" w:hAnsi="Times New Roman" w:cs="Times New Roman"/>
          <w:b/>
          <w:sz w:val="24"/>
          <w:szCs w:val="24"/>
        </w:rPr>
        <w:t>Table I</w:t>
      </w:r>
    </w:p>
    <w:p w:rsidR="00F5603F" w:rsidRPr="007D14F3" w:rsidRDefault="00F5603F" w:rsidP="009C7202">
      <w:pPr>
        <w:pStyle w:val="ListParagraph"/>
        <w:spacing w:before="120"/>
        <w:ind w:left="360"/>
        <w:contextualSpacing w:val="0"/>
        <w:jc w:val="center"/>
        <w:rPr>
          <w:rFonts w:ascii="Times New Roman" w:hAnsi="Times New Roman" w:cs="Times New Roman"/>
          <w:b/>
          <w:sz w:val="24"/>
          <w:szCs w:val="24"/>
        </w:rPr>
      </w:pPr>
      <w:r w:rsidRPr="007D14F3">
        <w:rPr>
          <w:rFonts w:ascii="Times New Roman" w:hAnsi="Times New Roman" w:cs="Times New Roman"/>
          <w:b/>
          <w:sz w:val="24"/>
          <w:szCs w:val="24"/>
        </w:rPr>
        <w:t>Data sample overview</w:t>
      </w:r>
    </w:p>
    <w:p w:rsidR="00F5603F" w:rsidRPr="007D14F3" w:rsidRDefault="00F5603F" w:rsidP="009C7202">
      <w:pPr>
        <w:spacing w:before="120" w:after="120" w:line="240" w:lineRule="auto"/>
        <w:jc w:val="both"/>
        <w:rPr>
          <w:rFonts w:ascii="Times New Roman" w:hAnsi="Times New Roman" w:cs="Times New Roman"/>
          <w:sz w:val="24"/>
          <w:szCs w:val="24"/>
        </w:rPr>
      </w:pPr>
      <w:r w:rsidRPr="007D14F3">
        <w:rPr>
          <w:rFonts w:ascii="Times New Roman" w:hAnsi="Times New Roman" w:cs="Times New Roman"/>
          <w:sz w:val="24"/>
          <w:szCs w:val="24"/>
        </w:rPr>
        <w:t xml:space="preserve">The table presents the most important characteristics of the deal by </w:t>
      </w:r>
      <w:r w:rsidRPr="009C7202">
        <w:rPr>
          <w:rFonts w:ascii="Times New Roman" w:hAnsi="Times New Roman" w:cs="Times New Roman"/>
          <w:noProof/>
          <w:sz w:val="24"/>
          <w:szCs w:val="24"/>
        </w:rPr>
        <w:t>year</w:t>
      </w:r>
      <w:r w:rsidRPr="007D14F3">
        <w:rPr>
          <w:rFonts w:ascii="Times New Roman" w:hAnsi="Times New Roman" w:cs="Times New Roman"/>
          <w:sz w:val="24"/>
          <w:szCs w:val="24"/>
        </w:rPr>
        <w:t>. The average abnormal return was visibly higher in years 2012-2014.</w:t>
      </w:r>
    </w:p>
    <w:p w:rsidR="00F5603F" w:rsidRPr="007D14F3" w:rsidRDefault="00F5603F" w:rsidP="009C7202">
      <w:pPr>
        <w:spacing w:before="120" w:after="120" w:line="240" w:lineRule="auto"/>
        <w:jc w:val="both"/>
        <w:rPr>
          <w:rFonts w:ascii="Times New Roman" w:hAnsi="Times New Roman" w:cs="Times New Roman"/>
          <w:sz w:val="24"/>
          <w:szCs w:val="24"/>
        </w:rPr>
      </w:pPr>
    </w:p>
    <w:tbl>
      <w:tblPr>
        <w:tblStyle w:val="PlainTable5"/>
        <w:tblW w:w="9783" w:type="dxa"/>
        <w:jc w:val="center"/>
        <w:tblLook w:val="06A0" w:firstRow="1" w:lastRow="0" w:firstColumn="1" w:lastColumn="0" w:noHBand="1" w:noVBand="1"/>
      </w:tblPr>
      <w:tblGrid>
        <w:gridCol w:w="1307"/>
        <w:gridCol w:w="1403"/>
        <w:gridCol w:w="1543"/>
        <w:gridCol w:w="1984"/>
        <w:gridCol w:w="1560"/>
        <w:gridCol w:w="1986"/>
      </w:tblGrid>
      <w:tr w:rsidR="00BE729F" w:rsidRPr="007D14F3" w:rsidTr="00D822B9">
        <w:trPr>
          <w:cnfStyle w:val="100000000000" w:firstRow="1" w:lastRow="0" w:firstColumn="0" w:lastColumn="0" w:oddVBand="0" w:evenVBand="0" w:oddHBand="0" w:evenHBand="0" w:firstRowFirstColumn="0" w:firstRowLastColumn="0" w:lastRowFirstColumn="0" w:lastRowLastColumn="0"/>
          <w:trHeight w:val="380"/>
          <w:jc w:val="center"/>
        </w:trPr>
        <w:tc>
          <w:tcPr>
            <w:cnfStyle w:val="001000000100" w:firstRow="0" w:lastRow="0" w:firstColumn="1" w:lastColumn="0" w:oddVBand="0" w:evenVBand="0" w:oddHBand="0" w:evenHBand="0" w:firstRowFirstColumn="1" w:firstRowLastColumn="0" w:lastRowFirstColumn="0" w:lastRowLastColumn="0"/>
            <w:tcW w:w="1307" w:type="dxa"/>
            <w:noWrap/>
            <w:vAlign w:val="center"/>
            <w:hideMark/>
          </w:tcPr>
          <w:p w:rsidR="00BE729F" w:rsidRPr="007D14F3" w:rsidRDefault="00BE729F" w:rsidP="009C7202">
            <w:pPr>
              <w:spacing w:before="120" w:after="120"/>
              <w:jc w:val="center"/>
              <w:rPr>
                <w:rFonts w:ascii="Times New Roman" w:eastAsiaTheme="minorHAnsi" w:hAnsi="Times New Roman" w:cs="Times New Roman"/>
                <w:sz w:val="24"/>
                <w:szCs w:val="24"/>
              </w:rPr>
            </w:pPr>
            <w:r w:rsidRPr="007D14F3">
              <w:rPr>
                <w:rFonts w:ascii="Times New Roman" w:eastAsiaTheme="minorHAnsi" w:hAnsi="Times New Roman" w:cs="Times New Roman"/>
                <w:sz w:val="24"/>
                <w:szCs w:val="24"/>
              </w:rPr>
              <w:t>Year</w:t>
            </w:r>
          </w:p>
        </w:tc>
        <w:tc>
          <w:tcPr>
            <w:tcW w:w="1403" w:type="dxa"/>
            <w:noWrap/>
            <w:vAlign w:val="center"/>
            <w:hideMark/>
          </w:tcPr>
          <w:p w:rsidR="00BE729F" w:rsidRPr="007D14F3" w:rsidRDefault="00BE729F" w:rsidP="009C7202">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sidRPr="007D14F3">
              <w:rPr>
                <w:rFonts w:ascii="Times New Roman" w:eastAsiaTheme="minorHAnsi" w:hAnsi="Times New Roman" w:cs="Times New Roman"/>
                <w:sz w:val="24"/>
                <w:szCs w:val="24"/>
              </w:rPr>
              <w:t>Number of Acquisitions</w:t>
            </w:r>
          </w:p>
        </w:tc>
        <w:tc>
          <w:tcPr>
            <w:tcW w:w="1543" w:type="dxa"/>
            <w:noWrap/>
            <w:vAlign w:val="center"/>
            <w:hideMark/>
          </w:tcPr>
          <w:p w:rsidR="00BE729F" w:rsidRPr="007D14F3" w:rsidRDefault="00BE729F" w:rsidP="009C7202">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sidRPr="007D14F3">
              <w:rPr>
                <w:rFonts w:ascii="Times New Roman" w:eastAsiaTheme="minorHAnsi" w:hAnsi="Times New Roman" w:cs="Times New Roman"/>
                <w:sz w:val="24"/>
                <w:szCs w:val="24"/>
              </w:rPr>
              <w:t>Percentage of Sample</w:t>
            </w:r>
          </w:p>
        </w:tc>
        <w:tc>
          <w:tcPr>
            <w:tcW w:w="1984" w:type="dxa"/>
            <w:noWrap/>
            <w:vAlign w:val="center"/>
            <w:hideMark/>
          </w:tcPr>
          <w:p w:rsidR="00BE729F" w:rsidRPr="007D14F3" w:rsidRDefault="00BE729F" w:rsidP="009C7202">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sidRPr="007D14F3">
              <w:rPr>
                <w:rFonts w:ascii="Times New Roman" w:eastAsiaTheme="minorHAnsi" w:hAnsi="Times New Roman" w:cs="Times New Roman"/>
                <w:sz w:val="24"/>
                <w:szCs w:val="24"/>
              </w:rPr>
              <w:t>Average 3-day CAR</w:t>
            </w:r>
          </w:p>
        </w:tc>
        <w:tc>
          <w:tcPr>
            <w:tcW w:w="1560" w:type="dxa"/>
            <w:noWrap/>
            <w:vAlign w:val="center"/>
            <w:hideMark/>
          </w:tcPr>
          <w:p w:rsidR="00BE729F" w:rsidRPr="007D14F3" w:rsidRDefault="00BE729F" w:rsidP="009C7202">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sidRPr="007D14F3">
              <w:rPr>
                <w:rFonts w:ascii="Times New Roman" w:eastAsiaTheme="minorHAnsi" w:hAnsi="Times New Roman" w:cs="Times New Roman"/>
                <w:sz w:val="24"/>
                <w:szCs w:val="24"/>
              </w:rPr>
              <w:t>Deal (Median)</w:t>
            </w:r>
            <w:r w:rsidR="002A06B4">
              <w:rPr>
                <w:rFonts w:ascii="Times New Roman" w:eastAsiaTheme="minorHAnsi" w:hAnsi="Times New Roman" w:cs="Times New Roman"/>
                <w:sz w:val="24"/>
                <w:szCs w:val="24"/>
              </w:rPr>
              <w:t>in million</w:t>
            </w:r>
            <w:r w:rsidR="00B233CC" w:rsidRPr="007D14F3">
              <w:rPr>
                <w:rFonts w:ascii="Times New Roman" w:eastAsiaTheme="minorHAnsi" w:hAnsi="Times New Roman" w:cs="Times New Roman"/>
                <w:sz w:val="24"/>
                <w:szCs w:val="24"/>
              </w:rPr>
              <w:t xml:space="preserve"> US$</w:t>
            </w:r>
          </w:p>
        </w:tc>
        <w:tc>
          <w:tcPr>
            <w:tcW w:w="1986" w:type="dxa"/>
            <w:noWrap/>
            <w:vAlign w:val="center"/>
            <w:hideMark/>
          </w:tcPr>
          <w:p w:rsidR="00BE729F" w:rsidRPr="007D14F3" w:rsidRDefault="00BE729F" w:rsidP="009C7202">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Theme="minorHAnsi" w:hAnsi="Times New Roman" w:cs="Times New Roman"/>
                <w:sz w:val="24"/>
                <w:szCs w:val="24"/>
              </w:rPr>
            </w:pPr>
            <w:r w:rsidRPr="007D14F3">
              <w:rPr>
                <w:rFonts w:ascii="Times New Roman" w:eastAsiaTheme="minorHAnsi" w:hAnsi="Times New Roman" w:cs="Times New Roman"/>
                <w:sz w:val="24"/>
                <w:szCs w:val="24"/>
              </w:rPr>
              <w:t>Relative Size (Median)</w:t>
            </w:r>
          </w:p>
        </w:tc>
      </w:tr>
      <w:tr w:rsidR="00B734F9" w:rsidRPr="007D14F3" w:rsidTr="00B734F9">
        <w:trPr>
          <w:trHeight w:val="380"/>
          <w:jc w:val="center"/>
        </w:trPr>
        <w:tc>
          <w:tcPr>
            <w:cnfStyle w:val="001000000000" w:firstRow="0" w:lastRow="0" w:firstColumn="1" w:lastColumn="0" w:oddVBand="0" w:evenVBand="0" w:oddHBand="0" w:evenHBand="0" w:firstRowFirstColumn="0" w:firstRowLastColumn="0" w:lastRowFirstColumn="0" w:lastRowLastColumn="0"/>
            <w:tcW w:w="1307" w:type="dxa"/>
            <w:noWrap/>
            <w:vAlign w:val="center"/>
            <w:hideMark/>
          </w:tcPr>
          <w:p w:rsidR="00B734F9" w:rsidRPr="007D14F3" w:rsidRDefault="00B734F9" w:rsidP="009C7202">
            <w:pPr>
              <w:spacing w:before="120" w:after="120"/>
              <w:jc w:val="center"/>
              <w:rPr>
                <w:rFonts w:ascii="Times New Roman" w:eastAsiaTheme="minorHAnsi" w:hAnsi="Times New Roman" w:cs="Times New Roman"/>
                <w:sz w:val="24"/>
                <w:szCs w:val="24"/>
              </w:rPr>
            </w:pPr>
            <w:r w:rsidRPr="007D14F3">
              <w:rPr>
                <w:rFonts w:ascii="Times New Roman" w:eastAsiaTheme="minorHAnsi" w:hAnsi="Times New Roman" w:cs="Times New Roman"/>
                <w:sz w:val="24"/>
                <w:szCs w:val="24"/>
              </w:rPr>
              <w:t>2008</w:t>
            </w:r>
          </w:p>
        </w:tc>
        <w:tc>
          <w:tcPr>
            <w:tcW w:w="1403" w:type="dxa"/>
            <w:noWrap/>
            <w:vAlign w:val="center"/>
            <w:hideMark/>
          </w:tcPr>
          <w:p w:rsidR="00B734F9" w:rsidRPr="007D14F3" w:rsidRDefault="00B734F9" w:rsidP="009C7202">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4F3">
              <w:rPr>
                <w:rFonts w:ascii="Times New Roman" w:hAnsi="Times New Roman" w:cs="Times New Roman"/>
                <w:sz w:val="24"/>
                <w:szCs w:val="24"/>
              </w:rPr>
              <w:t>195</w:t>
            </w:r>
          </w:p>
        </w:tc>
        <w:tc>
          <w:tcPr>
            <w:tcW w:w="1543" w:type="dxa"/>
            <w:noWrap/>
            <w:vAlign w:val="center"/>
            <w:hideMark/>
          </w:tcPr>
          <w:p w:rsidR="00B734F9" w:rsidRPr="007D14F3" w:rsidRDefault="00B734F9" w:rsidP="009C7202">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7%</w:t>
            </w:r>
          </w:p>
        </w:tc>
        <w:tc>
          <w:tcPr>
            <w:tcW w:w="1984" w:type="dxa"/>
            <w:noWrap/>
            <w:vAlign w:val="center"/>
            <w:hideMark/>
          </w:tcPr>
          <w:p w:rsidR="00B734F9" w:rsidRPr="007D14F3" w:rsidRDefault="00B734F9" w:rsidP="009C7202">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4F3">
              <w:rPr>
                <w:rFonts w:ascii="Times New Roman" w:hAnsi="Times New Roman" w:cs="Times New Roman"/>
                <w:sz w:val="24"/>
                <w:szCs w:val="24"/>
              </w:rPr>
              <w:t>0.02%</w:t>
            </w:r>
          </w:p>
        </w:tc>
        <w:tc>
          <w:tcPr>
            <w:tcW w:w="1560" w:type="dxa"/>
            <w:noWrap/>
            <w:vAlign w:val="center"/>
            <w:hideMark/>
          </w:tcPr>
          <w:p w:rsidR="00B734F9" w:rsidRPr="007D14F3" w:rsidRDefault="00B734F9" w:rsidP="009C7202">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4F3">
              <w:rPr>
                <w:rFonts w:ascii="Times New Roman" w:hAnsi="Times New Roman" w:cs="Times New Roman"/>
                <w:sz w:val="24"/>
                <w:szCs w:val="24"/>
              </w:rPr>
              <w:t>90</w:t>
            </w:r>
          </w:p>
        </w:tc>
        <w:tc>
          <w:tcPr>
            <w:tcW w:w="1986" w:type="dxa"/>
            <w:noWrap/>
            <w:vAlign w:val="center"/>
            <w:hideMark/>
          </w:tcPr>
          <w:p w:rsidR="00B734F9" w:rsidRPr="007D14F3" w:rsidRDefault="00B734F9" w:rsidP="009C7202">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4F3">
              <w:rPr>
                <w:rFonts w:ascii="Times New Roman" w:hAnsi="Times New Roman" w:cs="Times New Roman"/>
                <w:sz w:val="24"/>
                <w:szCs w:val="24"/>
              </w:rPr>
              <w:t>2.95%</w:t>
            </w:r>
          </w:p>
        </w:tc>
      </w:tr>
      <w:tr w:rsidR="00B734F9" w:rsidRPr="007D14F3" w:rsidTr="00B734F9">
        <w:trPr>
          <w:trHeight w:val="380"/>
          <w:jc w:val="center"/>
        </w:trPr>
        <w:tc>
          <w:tcPr>
            <w:cnfStyle w:val="001000000000" w:firstRow="0" w:lastRow="0" w:firstColumn="1" w:lastColumn="0" w:oddVBand="0" w:evenVBand="0" w:oddHBand="0" w:evenHBand="0" w:firstRowFirstColumn="0" w:firstRowLastColumn="0" w:lastRowFirstColumn="0" w:lastRowLastColumn="0"/>
            <w:tcW w:w="1307" w:type="dxa"/>
            <w:noWrap/>
            <w:vAlign w:val="center"/>
            <w:hideMark/>
          </w:tcPr>
          <w:p w:rsidR="00B734F9" w:rsidRPr="007D14F3" w:rsidRDefault="00B734F9" w:rsidP="009C7202">
            <w:pPr>
              <w:spacing w:before="120" w:after="120"/>
              <w:jc w:val="center"/>
              <w:rPr>
                <w:rFonts w:ascii="Times New Roman" w:eastAsiaTheme="minorHAnsi" w:hAnsi="Times New Roman" w:cs="Times New Roman"/>
                <w:sz w:val="24"/>
                <w:szCs w:val="24"/>
              </w:rPr>
            </w:pPr>
            <w:r w:rsidRPr="007D14F3">
              <w:rPr>
                <w:rFonts w:ascii="Times New Roman" w:eastAsiaTheme="minorHAnsi" w:hAnsi="Times New Roman" w:cs="Times New Roman"/>
                <w:sz w:val="24"/>
                <w:szCs w:val="24"/>
              </w:rPr>
              <w:t>2009</w:t>
            </w:r>
          </w:p>
        </w:tc>
        <w:tc>
          <w:tcPr>
            <w:tcW w:w="1403" w:type="dxa"/>
            <w:noWrap/>
            <w:vAlign w:val="center"/>
            <w:hideMark/>
          </w:tcPr>
          <w:p w:rsidR="00B734F9" w:rsidRPr="007D14F3" w:rsidRDefault="00B734F9" w:rsidP="009C7202">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4F3">
              <w:rPr>
                <w:rFonts w:ascii="Times New Roman" w:hAnsi="Times New Roman" w:cs="Times New Roman"/>
                <w:sz w:val="24"/>
                <w:szCs w:val="24"/>
              </w:rPr>
              <w:t>181</w:t>
            </w:r>
          </w:p>
        </w:tc>
        <w:tc>
          <w:tcPr>
            <w:tcW w:w="1543" w:type="dxa"/>
            <w:noWrap/>
            <w:vAlign w:val="center"/>
            <w:hideMark/>
          </w:tcPr>
          <w:p w:rsidR="00B734F9" w:rsidRPr="007D14F3" w:rsidRDefault="00B734F9" w:rsidP="009C7202">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7%</w:t>
            </w:r>
          </w:p>
        </w:tc>
        <w:tc>
          <w:tcPr>
            <w:tcW w:w="1984" w:type="dxa"/>
            <w:noWrap/>
            <w:vAlign w:val="center"/>
            <w:hideMark/>
          </w:tcPr>
          <w:p w:rsidR="00B734F9" w:rsidRPr="007D14F3" w:rsidRDefault="00B734F9" w:rsidP="009C7202">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4F3">
              <w:rPr>
                <w:rFonts w:ascii="Times New Roman" w:hAnsi="Times New Roman" w:cs="Times New Roman"/>
                <w:sz w:val="24"/>
                <w:szCs w:val="24"/>
              </w:rPr>
              <w:t>0.09%</w:t>
            </w:r>
          </w:p>
        </w:tc>
        <w:tc>
          <w:tcPr>
            <w:tcW w:w="1560" w:type="dxa"/>
            <w:noWrap/>
            <w:vAlign w:val="center"/>
            <w:hideMark/>
          </w:tcPr>
          <w:p w:rsidR="00B734F9" w:rsidRPr="007D14F3" w:rsidRDefault="00B734F9" w:rsidP="009C7202">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4F3">
              <w:rPr>
                <w:rFonts w:ascii="Times New Roman" w:hAnsi="Times New Roman" w:cs="Times New Roman"/>
                <w:sz w:val="24"/>
                <w:szCs w:val="24"/>
              </w:rPr>
              <w:t>88</w:t>
            </w:r>
          </w:p>
        </w:tc>
        <w:tc>
          <w:tcPr>
            <w:tcW w:w="1986" w:type="dxa"/>
            <w:noWrap/>
            <w:vAlign w:val="center"/>
            <w:hideMark/>
          </w:tcPr>
          <w:p w:rsidR="00B734F9" w:rsidRPr="007D14F3" w:rsidRDefault="00B734F9" w:rsidP="009C7202">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4F3">
              <w:rPr>
                <w:rFonts w:ascii="Times New Roman" w:hAnsi="Times New Roman" w:cs="Times New Roman"/>
                <w:sz w:val="24"/>
                <w:szCs w:val="24"/>
              </w:rPr>
              <w:t>2.90%</w:t>
            </w:r>
          </w:p>
        </w:tc>
      </w:tr>
      <w:tr w:rsidR="00B734F9" w:rsidRPr="007D14F3" w:rsidTr="00B734F9">
        <w:trPr>
          <w:trHeight w:val="380"/>
          <w:jc w:val="center"/>
        </w:trPr>
        <w:tc>
          <w:tcPr>
            <w:cnfStyle w:val="001000000000" w:firstRow="0" w:lastRow="0" w:firstColumn="1" w:lastColumn="0" w:oddVBand="0" w:evenVBand="0" w:oddHBand="0" w:evenHBand="0" w:firstRowFirstColumn="0" w:firstRowLastColumn="0" w:lastRowFirstColumn="0" w:lastRowLastColumn="0"/>
            <w:tcW w:w="1307" w:type="dxa"/>
            <w:noWrap/>
            <w:vAlign w:val="center"/>
            <w:hideMark/>
          </w:tcPr>
          <w:p w:rsidR="00B734F9" w:rsidRPr="007D14F3" w:rsidRDefault="00B734F9" w:rsidP="009C7202">
            <w:pPr>
              <w:spacing w:before="120" w:after="120"/>
              <w:jc w:val="center"/>
              <w:rPr>
                <w:rFonts w:ascii="Times New Roman" w:eastAsiaTheme="minorHAnsi" w:hAnsi="Times New Roman" w:cs="Times New Roman"/>
                <w:sz w:val="24"/>
                <w:szCs w:val="24"/>
              </w:rPr>
            </w:pPr>
            <w:r w:rsidRPr="007D14F3">
              <w:rPr>
                <w:rFonts w:ascii="Times New Roman" w:eastAsiaTheme="minorHAnsi" w:hAnsi="Times New Roman" w:cs="Times New Roman"/>
                <w:sz w:val="24"/>
                <w:szCs w:val="24"/>
              </w:rPr>
              <w:t>2010</w:t>
            </w:r>
          </w:p>
        </w:tc>
        <w:tc>
          <w:tcPr>
            <w:tcW w:w="1403" w:type="dxa"/>
            <w:noWrap/>
            <w:vAlign w:val="center"/>
            <w:hideMark/>
          </w:tcPr>
          <w:p w:rsidR="00B734F9" w:rsidRPr="007D14F3" w:rsidRDefault="00B734F9" w:rsidP="009C7202">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4F3">
              <w:rPr>
                <w:rFonts w:ascii="Times New Roman" w:hAnsi="Times New Roman" w:cs="Times New Roman"/>
                <w:sz w:val="24"/>
                <w:szCs w:val="24"/>
              </w:rPr>
              <w:t>271</w:t>
            </w:r>
          </w:p>
        </w:tc>
        <w:tc>
          <w:tcPr>
            <w:tcW w:w="1543" w:type="dxa"/>
            <w:noWrap/>
            <w:vAlign w:val="center"/>
            <w:hideMark/>
          </w:tcPr>
          <w:p w:rsidR="00B734F9" w:rsidRPr="007D14F3" w:rsidRDefault="00B734F9" w:rsidP="009C7202">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10%</w:t>
            </w:r>
          </w:p>
        </w:tc>
        <w:tc>
          <w:tcPr>
            <w:tcW w:w="1984" w:type="dxa"/>
            <w:noWrap/>
            <w:vAlign w:val="center"/>
            <w:hideMark/>
          </w:tcPr>
          <w:p w:rsidR="00B734F9" w:rsidRPr="007D14F3" w:rsidRDefault="00B734F9" w:rsidP="009C7202">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4F3">
              <w:rPr>
                <w:rFonts w:ascii="Times New Roman" w:hAnsi="Times New Roman" w:cs="Times New Roman"/>
                <w:sz w:val="24"/>
                <w:szCs w:val="24"/>
              </w:rPr>
              <w:t>0.40%</w:t>
            </w:r>
          </w:p>
        </w:tc>
        <w:tc>
          <w:tcPr>
            <w:tcW w:w="1560" w:type="dxa"/>
            <w:noWrap/>
            <w:vAlign w:val="center"/>
            <w:hideMark/>
          </w:tcPr>
          <w:p w:rsidR="00B734F9" w:rsidRPr="007D14F3" w:rsidRDefault="00B734F9" w:rsidP="009C7202">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4F3">
              <w:rPr>
                <w:rFonts w:ascii="Times New Roman" w:hAnsi="Times New Roman" w:cs="Times New Roman"/>
                <w:sz w:val="24"/>
                <w:szCs w:val="24"/>
              </w:rPr>
              <w:t>152</w:t>
            </w:r>
          </w:p>
        </w:tc>
        <w:tc>
          <w:tcPr>
            <w:tcW w:w="1986" w:type="dxa"/>
            <w:noWrap/>
            <w:vAlign w:val="center"/>
            <w:hideMark/>
          </w:tcPr>
          <w:p w:rsidR="00B734F9" w:rsidRPr="007D14F3" w:rsidRDefault="00B734F9" w:rsidP="009C7202">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4F3">
              <w:rPr>
                <w:rFonts w:ascii="Times New Roman" w:hAnsi="Times New Roman" w:cs="Times New Roman"/>
                <w:sz w:val="24"/>
                <w:szCs w:val="24"/>
              </w:rPr>
              <w:t>4.96%</w:t>
            </w:r>
          </w:p>
        </w:tc>
      </w:tr>
      <w:tr w:rsidR="00B734F9" w:rsidRPr="007D14F3" w:rsidTr="00B734F9">
        <w:trPr>
          <w:trHeight w:val="380"/>
          <w:jc w:val="center"/>
        </w:trPr>
        <w:tc>
          <w:tcPr>
            <w:cnfStyle w:val="001000000000" w:firstRow="0" w:lastRow="0" w:firstColumn="1" w:lastColumn="0" w:oddVBand="0" w:evenVBand="0" w:oddHBand="0" w:evenHBand="0" w:firstRowFirstColumn="0" w:firstRowLastColumn="0" w:lastRowFirstColumn="0" w:lastRowLastColumn="0"/>
            <w:tcW w:w="1307" w:type="dxa"/>
            <w:noWrap/>
            <w:vAlign w:val="center"/>
            <w:hideMark/>
          </w:tcPr>
          <w:p w:rsidR="00B734F9" w:rsidRPr="007D14F3" w:rsidRDefault="00B734F9" w:rsidP="009C7202">
            <w:pPr>
              <w:spacing w:before="120" w:after="120"/>
              <w:jc w:val="center"/>
              <w:rPr>
                <w:rFonts w:ascii="Times New Roman" w:eastAsiaTheme="minorHAnsi" w:hAnsi="Times New Roman" w:cs="Times New Roman"/>
                <w:sz w:val="24"/>
                <w:szCs w:val="24"/>
              </w:rPr>
            </w:pPr>
            <w:r w:rsidRPr="007D14F3">
              <w:rPr>
                <w:rFonts w:ascii="Times New Roman" w:eastAsiaTheme="minorHAnsi" w:hAnsi="Times New Roman" w:cs="Times New Roman"/>
                <w:sz w:val="24"/>
                <w:szCs w:val="24"/>
              </w:rPr>
              <w:t>2011</w:t>
            </w:r>
          </w:p>
        </w:tc>
        <w:tc>
          <w:tcPr>
            <w:tcW w:w="1403" w:type="dxa"/>
            <w:noWrap/>
            <w:vAlign w:val="center"/>
            <w:hideMark/>
          </w:tcPr>
          <w:p w:rsidR="00B734F9" w:rsidRPr="007D14F3" w:rsidRDefault="00B734F9" w:rsidP="009C7202">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4F3">
              <w:rPr>
                <w:rFonts w:ascii="Times New Roman" w:hAnsi="Times New Roman" w:cs="Times New Roman"/>
                <w:sz w:val="24"/>
                <w:szCs w:val="24"/>
              </w:rPr>
              <w:t>287</w:t>
            </w:r>
          </w:p>
        </w:tc>
        <w:tc>
          <w:tcPr>
            <w:tcW w:w="1543" w:type="dxa"/>
            <w:noWrap/>
            <w:vAlign w:val="center"/>
            <w:hideMark/>
          </w:tcPr>
          <w:p w:rsidR="00B734F9" w:rsidRPr="007D14F3" w:rsidRDefault="00B734F9" w:rsidP="009C7202">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11%</w:t>
            </w:r>
          </w:p>
        </w:tc>
        <w:tc>
          <w:tcPr>
            <w:tcW w:w="1984" w:type="dxa"/>
            <w:noWrap/>
            <w:vAlign w:val="center"/>
            <w:hideMark/>
          </w:tcPr>
          <w:p w:rsidR="00B734F9" w:rsidRPr="007D14F3" w:rsidRDefault="00B734F9" w:rsidP="009C7202">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4F3">
              <w:rPr>
                <w:rFonts w:ascii="Times New Roman" w:hAnsi="Times New Roman" w:cs="Times New Roman"/>
                <w:sz w:val="24"/>
                <w:szCs w:val="24"/>
              </w:rPr>
              <w:t>0.50%</w:t>
            </w:r>
          </w:p>
        </w:tc>
        <w:tc>
          <w:tcPr>
            <w:tcW w:w="1560" w:type="dxa"/>
            <w:noWrap/>
            <w:vAlign w:val="center"/>
            <w:hideMark/>
          </w:tcPr>
          <w:p w:rsidR="00B734F9" w:rsidRPr="007D14F3" w:rsidRDefault="00B734F9" w:rsidP="009C7202">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4F3">
              <w:rPr>
                <w:rFonts w:ascii="Times New Roman" w:hAnsi="Times New Roman" w:cs="Times New Roman"/>
                <w:sz w:val="24"/>
                <w:szCs w:val="24"/>
              </w:rPr>
              <w:t>120</w:t>
            </w:r>
          </w:p>
        </w:tc>
        <w:tc>
          <w:tcPr>
            <w:tcW w:w="1986" w:type="dxa"/>
            <w:noWrap/>
            <w:vAlign w:val="center"/>
            <w:hideMark/>
          </w:tcPr>
          <w:p w:rsidR="00B734F9" w:rsidRPr="007D14F3" w:rsidRDefault="00B734F9" w:rsidP="009C7202">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4F3">
              <w:rPr>
                <w:rFonts w:ascii="Times New Roman" w:hAnsi="Times New Roman" w:cs="Times New Roman"/>
                <w:sz w:val="24"/>
                <w:szCs w:val="24"/>
              </w:rPr>
              <w:t>3.74%</w:t>
            </w:r>
          </w:p>
        </w:tc>
      </w:tr>
      <w:tr w:rsidR="00B734F9" w:rsidRPr="007D14F3" w:rsidTr="00B734F9">
        <w:trPr>
          <w:trHeight w:val="380"/>
          <w:jc w:val="center"/>
        </w:trPr>
        <w:tc>
          <w:tcPr>
            <w:cnfStyle w:val="001000000000" w:firstRow="0" w:lastRow="0" w:firstColumn="1" w:lastColumn="0" w:oddVBand="0" w:evenVBand="0" w:oddHBand="0" w:evenHBand="0" w:firstRowFirstColumn="0" w:firstRowLastColumn="0" w:lastRowFirstColumn="0" w:lastRowLastColumn="0"/>
            <w:tcW w:w="1307" w:type="dxa"/>
            <w:noWrap/>
            <w:vAlign w:val="center"/>
            <w:hideMark/>
          </w:tcPr>
          <w:p w:rsidR="00B734F9" w:rsidRPr="007D14F3" w:rsidRDefault="00B734F9" w:rsidP="009C7202">
            <w:pPr>
              <w:spacing w:before="120" w:after="120"/>
              <w:jc w:val="center"/>
              <w:rPr>
                <w:rFonts w:ascii="Times New Roman" w:eastAsiaTheme="minorHAnsi" w:hAnsi="Times New Roman" w:cs="Times New Roman"/>
                <w:sz w:val="24"/>
                <w:szCs w:val="24"/>
              </w:rPr>
            </w:pPr>
            <w:r w:rsidRPr="007D14F3">
              <w:rPr>
                <w:rFonts w:ascii="Times New Roman" w:eastAsiaTheme="minorHAnsi" w:hAnsi="Times New Roman" w:cs="Times New Roman"/>
                <w:sz w:val="24"/>
                <w:szCs w:val="24"/>
              </w:rPr>
              <w:t>2012</w:t>
            </w:r>
          </w:p>
        </w:tc>
        <w:tc>
          <w:tcPr>
            <w:tcW w:w="1403" w:type="dxa"/>
            <w:noWrap/>
            <w:vAlign w:val="center"/>
            <w:hideMark/>
          </w:tcPr>
          <w:p w:rsidR="00B734F9" w:rsidRPr="007D14F3" w:rsidRDefault="00B734F9" w:rsidP="009C7202">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4F3">
              <w:rPr>
                <w:rFonts w:ascii="Times New Roman" w:hAnsi="Times New Roman" w:cs="Times New Roman"/>
                <w:sz w:val="24"/>
                <w:szCs w:val="24"/>
              </w:rPr>
              <w:t>308</w:t>
            </w:r>
          </w:p>
        </w:tc>
        <w:tc>
          <w:tcPr>
            <w:tcW w:w="1543" w:type="dxa"/>
            <w:noWrap/>
            <w:vAlign w:val="center"/>
            <w:hideMark/>
          </w:tcPr>
          <w:p w:rsidR="00B734F9" w:rsidRPr="007D14F3" w:rsidRDefault="00B734F9" w:rsidP="009C7202">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12%</w:t>
            </w:r>
          </w:p>
        </w:tc>
        <w:tc>
          <w:tcPr>
            <w:tcW w:w="1984" w:type="dxa"/>
            <w:noWrap/>
            <w:vAlign w:val="center"/>
            <w:hideMark/>
          </w:tcPr>
          <w:p w:rsidR="00B734F9" w:rsidRPr="007D14F3" w:rsidRDefault="00B734F9" w:rsidP="009C7202">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4F3">
              <w:rPr>
                <w:rFonts w:ascii="Times New Roman" w:hAnsi="Times New Roman" w:cs="Times New Roman"/>
                <w:sz w:val="24"/>
                <w:szCs w:val="24"/>
              </w:rPr>
              <w:t>0.79%</w:t>
            </w:r>
          </w:p>
        </w:tc>
        <w:tc>
          <w:tcPr>
            <w:tcW w:w="1560" w:type="dxa"/>
            <w:noWrap/>
            <w:vAlign w:val="center"/>
            <w:hideMark/>
          </w:tcPr>
          <w:p w:rsidR="00B734F9" w:rsidRPr="007D14F3" w:rsidRDefault="00B734F9" w:rsidP="009C7202">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4F3">
              <w:rPr>
                <w:rFonts w:ascii="Times New Roman" w:hAnsi="Times New Roman" w:cs="Times New Roman"/>
                <w:sz w:val="24"/>
                <w:szCs w:val="24"/>
              </w:rPr>
              <w:t>129</w:t>
            </w:r>
          </w:p>
        </w:tc>
        <w:tc>
          <w:tcPr>
            <w:tcW w:w="1986" w:type="dxa"/>
            <w:noWrap/>
            <w:vAlign w:val="center"/>
            <w:hideMark/>
          </w:tcPr>
          <w:p w:rsidR="00B734F9" w:rsidRPr="007D14F3" w:rsidRDefault="00B734F9" w:rsidP="009C7202">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4F3">
              <w:rPr>
                <w:rFonts w:ascii="Times New Roman" w:hAnsi="Times New Roman" w:cs="Times New Roman"/>
                <w:sz w:val="24"/>
                <w:szCs w:val="24"/>
              </w:rPr>
              <w:t>4.83%</w:t>
            </w:r>
          </w:p>
        </w:tc>
      </w:tr>
      <w:tr w:rsidR="00B734F9" w:rsidRPr="007D14F3" w:rsidTr="00B734F9">
        <w:trPr>
          <w:trHeight w:val="380"/>
          <w:jc w:val="center"/>
        </w:trPr>
        <w:tc>
          <w:tcPr>
            <w:cnfStyle w:val="001000000000" w:firstRow="0" w:lastRow="0" w:firstColumn="1" w:lastColumn="0" w:oddVBand="0" w:evenVBand="0" w:oddHBand="0" w:evenHBand="0" w:firstRowFirstColumn="0" w:firstRowLastColumn="0" w:lastRowFirstColumn="0" w:lastRowLastColumn="0"/>
            <w:tcW w:w="1307" w:type="dxa"/>
            <w:noWrap/>
            <w:vAlign w:val="center"/>
            <w:hideMark/>
          </w:tcPr>
          <w:p w:rsidR="00B734F9" w:rsidRPr="007D14F3" w:rsidRDefault="00B734F9" w:rsidP="009C7202">
            <w:pPr>
              <w:spacing w:before="120" w:after="120"/>
              <w:jc w:val="center"/>
              <w:rPr>
                <w:rFonts w:ascii="Times New Roman" w:eastAsiaTheme="minorHAnsi" w:hAnsi="Times New Roman" w:cs="Times New Roman"/>
                <w:sz w:val="24"/>
                <w:szCs w:val="24"/>
              </w:rPr>
            </w:pPr>
            <w:r w:rsidRPr="007D14F3">
              <w:rPr>
                <w:rFonts w:ascii="Times New Roman" w:eastAsiaTheme="minorHAnsi" w:hAnsi="Times New Roman" w:cs="Times New Roman"/>
                <w:sz w:val="24"/>
                <w:szCs w:val="24"/>
              </w:rPr>
              <w:t>2013</w:t>
            </w:r>
          </w:p>
        </w:tc>
        <w:tc>
          <w:tcPr>
            <w:tcW w:w="1403" w:type="dxa"/>
            <w:noWrap/>
            <w:vAlign w:val="center"/>
            <w:hideMark/>
          </w:tcPr>
          <w:p w:rsidR="00B734F9" w:rsidRPr="007D14F3" w:rsidRDefault="00B734F9" w:rsidP="009C7202">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4F3">
              <w:rPr>
                <w:rFonts w:ascii="Times New Roman" w:hAnsi="Times New Roman" w:cs="Times New Roman"/>
                <w:sz w:val="24"/>
                <w:szCs w:val="24"/>
              </w:rPr>
              <w:t>277</w:t>
            </w:r>
          </w:p>
        </w:tc>
        <w:tc>
          <w:tcPr>
            <w:tcW w:w="1543" w:type="dxa"/>
            <w:noWrap/>
            <w:vAlign w:val="center"/>
            <w:hideMark/>
          </w:tcPr>
          <w:p w:rsidR="00B734F9" w:rsidRPr="007D14F3" w:rsidRDefault="00B734F9" w:rsidP="009C7202">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11%</w:t>
            </w:r>
          </w:p>
        </w:tc>
        <w:tc>
          <w:tcPr>
            <w:tcW w:w="1984" w:type="dxa"/>
            <w:noWrap/>
            <w:vAlign w:val="center"/>
            <w:hideMark/>
          </w:tcPr>
          <w:p w:rsidR="00B734F9" w:rsidRPr="007D14F3" w:rsidRDefault="00B734F9" w:rsidP="009C7202">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4F3">
              <w:rPr>
                <w:rFonts w:ascii="Times New Roman" w:hAnsi="Times New Roman" w:cs="Times New Roman"/>
                <w:sz w:val="24"/>
                <w:szCs w:val="24"/>
              </w:rPr>
              <w:t>1.17%</w:t>
            </w:r>
          </w:p>
        </w:tc>
        <w:tc>
          <w:tcPr>
            <w:tcW w:w="1560" w:type="dxa"/>
            <w:noWrap/>
            <w:vAlign w:val="center"/>
            <w:hideMark/>
          </w:tcPr>
          <w:p w:rsidR="00B734F9" w:rsidRPr="007D14F3" w:rsidRDefault="00B734F9" w:rsidP="009C7202">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4F3">
              <w:rPr>
                <w:rFonts w:ascii="Times New Roman" w:hAnsi="Times New Roman" w:cs="Times New Roman"/>
                <w:sz w:val="24"/>
                <w:szCs w:val="24"/>
              </w:rPr>
              <w:t>147</w:t>
            </w:r>
          </w:p>
        </w:tc>
        <w:tc>
          <w:tcPr>
            <w:tcW w:w="1986" w:type="dxa"/>
            <w:noWrap/>
            <w:vAlign w:val="center"/>
            <w:hideMark/>
          </w:tcPr>
          <w:p w:rsidR="00B734F9" w:rsidRPr="007D14F3" w:rsidRDefault="00B734F9" w:rsidP="009C7202">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4F3">
              <w:rPr>
                <w:rFonts w:ascii="Times New Roman" w:hAnsi="Times New Roman" w:cs="Times New Roman"/>
                <w:sz w:val="24"/>
                <w:szCs w:val="24"/>
              </w:rPr>
              <w:t>5.83%</w:t>
            </w:r>
          </w:p>
        </w:tc>
      </w:tr>
      <w:tr w:rsidR="00B734F9" w:rsidRPr="007D14F3" w:rsidTr="00B734F9">
        <w:trPr>
          <w:trHeight w:val="380"/>
          <w:jc w:val="center"/>
        </w:trPr>
        <w:tc>
          <w:tcPr>
            <w:cnfStyle w:val="001000000000" w:firstRow="0" w:lastRow="0" w:firstColumn="1" w:lastColumn="0" w:oddVBand="0" w:evenVBand="0" w:oddHBand="0" w:evenHBand="0" w:firstRowFirstColumn="0" w:firstRowLastColumn="0" w:lastRowFirstColumn="0" w:lastRowLastColumn="0"/>
            <w:tcW w:w="1307" w:type="dxa"/>
            <w:noWrap/>
            <w:vAlign w:val="center"/>
            <w:hideMark/>
          </w:tcPr>
          <w:p w:rsidR="00B734F9" w:rsidRPr="007D14F3" w:rsidRDefault="00B734F9" w:rsidP="009C7202">
            <w:pPr>
              <w:spacing w:before="120" w:after="120"/>
              <w:jc w:val="center"/>
              <w:rPr>
                <w:rFonts w:ascii="Times New Roman" w:eastAsiaTheme="minorHAnsi" w:hAnsi="Times New Roman" w:cs="Times New Roman"/>
                <w:sz w:val="24"/>
                <w:szCs w:val="24"/>
              </w:rPr>
            </w:pPr>
            <w:r w:rsidRPr="007D14F3">
              <w:rPr>
                <w:rFonts w:ascii="Times New Roman" w:eastAsiaTheme="minorHAnsi" w:hAnsi="Times New Roman" w:cs="Times New Roman"/>
                <w:sz w:val="24"/>
                <w:szCs w:val="24"/>
              </w:rPr>
              <w:t>2014</w:t>
            </w:r>
          </w:p>
        </w:tc>
        <w:tc>
          <w:tcPr>
            <w:tcW w:w="1403" w:type="dxa"/>
            <w:noWrap/>
            <w:vAlign w:val="center"/>
            <w:hideMark/>
          </w:tcPr>
          <w:p w:rsidR="00B734F9" w:rsidRPr="007D14F3" w:rsidRDefault="00B734F9" w:rsidP="009C7202">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4F3">
              <w:rPr>
                <w:rFonts w:ascii="Times New Roman" w:hAnsi="Times New Roman" w:cs="Times New Roman"/>
                <w:sz w:val="24"/>
                <w:szCs w:val="24"/>
              </w:rPr>
              <w:t>290</w:t>
            </w:r>
          </w:p>
        </w:tc>
        <w:tc>
          <w:tcPr>
            <w:tcW w:w="1543" w:type="dxa"/>
            <w:noWrap/>
            <w:vAlign w:val="center"/>
            <w:hideMark/>
          </w:tcPr>
          <w:p w:rsidR="00B734F9" w:rsidRPr="007D14F3" w:rsidRDefault="00B734F9" w:rsidP="009C7202">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11%</w:t>
            </w:r>
          </w:p>
        </w:tc>
        <w:tc>
          <w:tcPr>
            <w:tcW w:w="1984" w:type="dxa"/>
            <w:noWrap/>
            <w:vAlign w:val="center"/>
            <w:hideMark/>
          </w:tcPr>
          <w:p w:rsidR="00B734F9" w:rsidRPr="007D14F3" w:rsidRDefault="00B734F9" w:rsidP="009C7202">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4F3">
              <w:rPr>
                <w:rFonts w:ascii="Times New Roman" w:hAnsi="Times New Roman" w:cs="Times New Roman"/>
                <w:sz w:val="24"/>
                <w:szCs w:val="24"/>
              </w:rPr>
              <w:t>1.01%</w:t>
            </w:r>
          </w:p>
        </w:tc>
        <w:tc>
          <w:tcPr>
            <w:tcW w:w="1560" w:type="dxa"/>
            <w:noWrap/>
            <w:vAlign w:val="center"/>
            <w:hideMark/>
          </w:tcPr>
          <w:p w:rsidR="00B734F9" w:rsidRPr="007D14F3" w:rsidRDefault="00B734F9" w:rsidP="009C7202">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4F3">
              <w:rPr>
                <w:rFonts w:ascii="Times New Roman" w:hAnsi="Times New Roman" w:cs="Times New Roman"/>
                <w:sz w:val="24"/>
                <w:szCs w:val="24"/>
              </w:rPr>
              <w:t>159</w:t>
            </w:r>
          </w:p>
        </w:tc>
        <w:tc>
          <w:tcPr>
            <w:tcW w:w="1986" w:type="dxa"/>
            <w:noWrap/>
            <w:vAlign w:val="center"/>
            <w:hideMark/>
          </w:tcPr>
          <w:p w:rsidR="00B734F9" w:rsidRPr="007D14F3" w:rsidRDefault="00B734F9" w:rsidP="009C7202">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4F3">
              <w:rPr>
                <w:rFonts w:ascii="Times New Roman" w:hAnsi="Times New Roman" w:cs="Times New Roman"/>
                <w:sz w:val="24"/>
                <w:szCs w:val="24"/>
              </w:rPr>
              <w:t>4.06%</w:t>
            </w:r>
          </w:p>
        </w:tc>
      </w:tr>
      <w:tr w:rsidR="00B734F9" w:rsidRPr="007D14F3" w:rsidTr="00B734F9">
        <w:trPr>
          <w:trHeight w:val="380"/>
          <w:jc w:val="center"/>
        </w:trPr>
        <w:tc>
          <w:tcPr>
            <w:cnfStyle w:val="001000000000" w:firstRow="0" w:lastRow="0" w:firstColumn="1" w:lastColumn="0" w:oddVBand="0" w:evenVBand="0" w:oddHBand="0" w:evenHBand="0" w:firstRowFirstColumn="0" w:firstRowLastColumn="0" w:lastRowFirstColumn="0" w:lastRowLastColumn="0"/>
            <w:tcW w:w="1307" w:type="dxa"/>
            <w:noWrap/>
            <w:vAlign w:val="center"/>
            <w:hideMark/>
          </w:tcPr>
          <w:p w:rsidR="00B734F9" w:rsidRPr="007D14F3" w:rsidRDefault="00B734F9" w:rsidP="009C7202">
            <w:pPr>
              <w:spacing w:before="120" w:after="120"/>
              <w:jc w:val="center"/>
              <w:rPr>
                <w:rFonts w:ascii="Times New Roman" w:eastAsiaTheme="minorHAnsi" w:hAnsi="Times New Roman" w:cs="Times New Roman"/>
                <w:sz w:val="24"/>
                <w:szCs w:val="24"/>
              </w:rPr>
            </w:pPr>
            <w:r w:rsidRPr="007D14F3">
              <w:rPr>
                <w:rFonts w:ascii="Times New Roman" w:eastAsiaTheme="minorHAnsi" w:hAnsi="Times New Roman" w:cs="Times New Roman"/>
                <w:sz w:val="24"/>
                <w:szCs w:val="24"/>
              </w:rPr>
              <w:t>2015</w:t>
            </w:r>
          </w:p>
        </w:tc>
        <w:tc>
          <w:tcPr>
            <w:tcW w:w="1403" w:type="dxa"/>
            <w:noWrap/>
            <w:vAlign w:val="center"/>
            <w:hideMark/>
          </w:tcPr>
          <w:p w:rsidR="00B734F9" w:rsidRPr="007D14F3" w:rsidRDefault="00B734F9" w:rsidP="009C7202">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4F3">
              <w:rPr>
                <w:rFonts w:ascii="Times New Roman" w:hAnsi="Times New Roman" w:cs="Times New Roman"/>
                <w:sz w:val="24"/>
                <w:szCs w:val="24"/>
              </w:rPr>
              <w:t>281</w:t>
            </w:r>
          </w:p>
        </w:tc>
        <w:tc>
          <w:tcPr>
            <w:tcW w:w="1543" w:type="dxa"/>
            <w:noWrap/>
            <w:vAlign w:val="center"/>
            <w:hideMark/>
          </w:tcPr>
          <w:p w:rsidR="00B734F9" w:rsidRPr="007D14F3" w:rsidRDefault="00B734F9" w:rsidP="009C7202">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11%</w:t>
            </w:r>
          </w:p>
        </w:tc>
        <w:tc>
          <w:tcPr>
            <w:tcW w:w="1984" w:type="dxa"/>
            <w:noWrap/>
            <w:vAlign w:val="center"/>
            <w:hideMark/>
          </w:tcPr>
          <w:p w:rsidR="00B734F9" w:rsidRPr="007D14F3" w:rsidRDefault="00B734F9" w:rsidP="009C7202">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4F3">
              <w:rPr>
                <w:rFonts w:ascii="Times New Roman" w:hAnsi="Times New Roman" w:cs="Times New Roman"/>
                <w:sz w:val="24"/>
                <w:szCs w:val="24"/>
              </w:rPr>
              <w:t>0.63%</w:t>
            </w:r>
          </w:p>
        </w:tc>
        <w:tc>
          <w:tcPr>
            <w:tcW w:w="1560" w:type="dxa"/>
            <w:noWrap/>
            <w:vAlign w:val="center"/>
            <w:hideMark/>
          </w:tcPr>
          <w:p w:rsidR="00B734F9" w:rsidRPr="007D14F3" w:rsidRDefault="00B734F9" w:rsidP="009C7202">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4F3">
              <w:rPr>
                <w:rFonts w:ascii="Times New Roman" w:hAnsi="Times New Roman" w:cs="Times New Roman"/>
                <w:sz w:val="24"/>
                <w:szCs w:val="24"/>
              </w:rPr>
              <w:t>235</w:t>
            </w:r>
          </w:p>
        </w:tc>
        <w:tc>
          <w:tcPr>
            <w:tcW w:w="1986" w:type="dxa"/>
            <w:noWrap/>
            <w:vAlign w:val="center"/>
            <w:hideMark/>
          </w:tcPr>
          <w:p w:rsidR="00B734F9" w:rsidRPr="007D14F3" w:rsidRDefault="00B734F9" w:rsidP="009C7202">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4F3">
              <w:rPr>
                <w:rFonts w:ascii="Times New Roman" w:hAnsi="Times New Roman" w:cs="Times New Roman"/>
                <w:sz w:val="24"/>
                <w:szCs w:val="24"/>
              </w:rPr>
              <w:t>5.84%</w:t>
            </w:r>
          </w:p>
        </w:tc>
      </w:tr>
      <w:tr w:rsidR="00B734F9" w:rsidRPr="007D14F3" w:rsidTr="00B734F9">
        <w:trPr>
          <w:trHeight w:val="380"/>
          <w:jc w:val="center"/>
        </w:trPr>
        <w:tc>
          <w:tcPr>
            <w:cnfStyle w:val="001000000000" w:firstRow="0" w:lastRow="0" w:firstColumn="1" w:lastColumn="0" w:oddVBand="0" w:evenVBand="0" w:oddHBand="0" w:evenHBand="0" w:firstRowFirstColumn="0" w:firstRowLastColumn="0" w:lastRowFirstColumn="0" w:lastRowLastColumn="0"/>
            <w:tcW w:w="1307" w:type="dxa"/>
            <w:noWrap/>
            <w:vAlign w:val="center"/>
            <w:hideMark/>
          </w:tcPr>
          <w:p w:rsidR="00B734F9" w:rsidRPr="007D14F3" w:rsidRDefault="00B734F9" w:rsidP="009C7202">
            <w:pPr>
              <w:spacing w:before="120" w:after="120"/>
              <w:jc w:val="center"/>
              <w:rPr>
                <w:rFonts w:ascii="Times New Roman" w:eastAsiaTheme="minorHAnsi" w:hAnsi="Times New Roman" w:cs="Times New Roman"/>
                <w:sz w:val="24"/>
                <w:szCs w:val="24"/>
              </w:rPr>
            </w:pPr>
            <w:r w:rsidRPr="007D14F3">
              <w:rPr>
                <w:rFonts w:ascii="Times New Roman" w:eastAsiaTheme="minorHAnsi" w:hAnsi="Times New Roman" w:cs="Times New Roman"/>
                <w:sz w:val="24"/>
                <w:szCs w:val="24"/>
              </w:rPr>
              <w:t>2016</w:t>
            </w:r>
          </w:p>
        </w:tc>
        <w:tc>
          <w:tcPr>
            <w:tcW w:w="1403" w:type="dxa"/>
            <w:noWrap/>
            <w:vAlign w:val="center"/>
            <w:hideMark/>
          </w:tcPr>
          <w:p w:rsidR="00B734F9" w:rsidRPr="007D14F3" w:rsidRDefault="00B734F9" w:rsidP="009C7202">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4F3">
              <w:rPr>
                <w:rFonts w:ascii="Times New Roman" w:hAnsi="Times New Roman" w:cs="Times New Roman"/>
                <w:sz w:val="24"/>
                <w:szCs w:val="24"/>
              </w:rPr>
              <w:t>284</w:t>
            </w:r>
          </w:p>
        </w:tc>
        <w:tc>
          <w:tcPr>
            <w:tcW w:w="1543" w:type="dxa"/>
            <w:noWrap/>
            <w:vAlign w:val="center"/>
            <w:hideMark/>
          </w:tcPr>
          <w:p w:rsidR="00B734F9" w:rsidRPr="007D14F3" w:rsidRDefault="00B734F9" w:rsidP="009C7202">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11%</w:t>
            </w:r>
          </w:p>
        </w:tc>
        <w:tc>
          <w:tcPr>
            <w:tcW w:w="1984" w:type="dxa"/>
            <w:noWrap/>
            <w:vAlign w:val="center"/>
            <w:hideMark/>
          </w:tcPr>
          <w:p w:rsidR="00B734F9" w:rsidRPr="007D14F3" w:rsidRDefault="00B734F9" w:rsidP="009C7202">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4F3">
              <w:rPr>
                <w:rFonts w:ascii="Times New Roman" w:hAnsi="Times New Roman" w:cs="Times New Roman"/>
                <w:sz w:val="24"/>
                <w:szCs w:val="24"/>
              </w:rPr>
              <w:t>0.10%</w:t>
            </w:r>
          </w:p>
        </w:tc>
        <w:tc>
          <w:tcPr>
            <w:tcW w:w="1560" w:type="dxa"/>
            <w:noWrap/>
            <w:vAlign w:val="center"/>
            <w:hideMark/>
          </w:tcPr>
          <w:p w:rsidR="00B734F9" w:rsidRPr="007D14F3" w:rsidRDefault="00B734F9" w:rsidP="009C7202">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4F3">
              <w:rPr>
                <w:rFonts w:ascii="Times New Roman" w:hAnsi="Times New Roman" w:cs="Times New Roman"/>
                <w:sz w:val="24"/>
                <w:szCs w:val="24"/>
              </w:rPr>
              <w:t>206</w:t>
            </w:r>
          </w:p>
        </w:tc>
        <w:tc>
          <w:tcPr>
            <w:tcW w:w="1986" w:type="dxa"/>
            <w:noWrap/>
            <w:vAlign w:val="center"/>
            <w:hideMark/>
          </w:tcPr>
          <w:p w:rsidR="00B734F9" w:rsidRPr="007D14F3" w:rsidRDefault="00B734F9" w:rsidP="009C7202">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4F3">
              <w:rPr>
                <w:rFonts w:ascii="Times New Roman" w:hAnsi="Times New Roman" w:cs="Times New Roman"/>
                <w:sz w:val="24"/>
                <w:szCs w:val="24"/>
              </w:rPr>
              <w:t>4.94%</w:t>
            </w:r>
          </w:p>
        </w:tc>
      </w:tr>
      <w:tr w:rsidR="00B734F9" w:rsidRPr="007D14F3" w:rsidTr="00B734F9">
        <w:trPr>
          <w:trHeight w:val="380"/>
          <w:jc w:val="center"/>
        </w:trPr>
        <w:tc>
          <w:tcPr>
            <w:cnfStyle w:val="001000000000" w:firstRow="0" w:lastRow="0" w:firstColumn="1" w:lastColumn="0" w:oddVBand="0" w:evenVBand="0" w:oddHBand="0" w:evenHBand="0" w:firstRowFirstColumn="0" w:firstRowLastColumn="0" w:lastRowFirstColumn="0" w:lastRowLastColumn="0"/>
            <w:tcW w:w="1307" w:type="dxa"/>
            <w:noWrap/>
            <w:vAlign w:val="center"/>
            <w:hideMark/>
          </w:tcPr>
          <w:p w:rsidR="00B734F9" w:rsidRPr="007D14F3" w:rsidRDefault="00B734F9" w:rsidP="009C7202">
            <w:pPr>
              <w:spacing w:before="120" w:after="120"/>
              <w:jc w:val="center"/>
              <w:rPr>
                <w:rFonts w:ascii="Times New Roman" w:eastAsiaTheme="minorHAnsi" w:hAnsi="Times New Roman" w:cs="Times New Roman"/>
                <w:sz w:val="24"/>
                <w:szCs w:val="24"/>
              </w:rPr>
            </w:pPr>
            <w:r w:rsidRPr="007D14F3">
              <w:rPr>
                <w:rFonts w:ascii="Times New Roman" w:eastAsiaTheme="minorHAnsi" w:hAnsi="Times New Roman" w:cs="Times New Roman"/>
                <w:sz w:val="24"/>
                <w:szCs w:val="24"/>
              </w:rPr>
              <w:t>2017</w:t>
            </w:r>
          </w:p>
        </w:tc>
        <w:tc>
          <w:tcPr>
            <w:tcW w:w="1403" w:type="dxa"/>
            <w:noWrap/>
            <w:vAlign w:val="center"/>
            <w:hideMark/>
          </w:tcPr>
          <w:p w:rsidR="00B734F9" w:rsidRPr="007D14F3" w:rsidRDefault="00B734F9" w:rsidP="009C7202">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4F3">
              <w:rPr>
                <w:rFonts w:ascii="Times New Roman" w:hAnsi="Times New Roman" w:cs="Times New Roman"/>
                <w:sz w:val="24"/>
                <w:szCs w:val="24"/>
              </w:rPr>
              <w:t>239</w:t>
            </w:r>
          </w:p>
        </w:tc>
        <w:tc>
          <w:tcPr>
            <w:tcW w:w="1543" w:type="dxa"/>
            <w:noWrap/>
            <w:vAlign w:val="center"/>
            <w:hideMark/>
          </w:tcPr>
          <w:p w:rsidR="00B734F9" w:rsidRPr="007D14F3" w:rsidRDefault="00B734F9" w:rsidP="009C7202">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9%</w:t>
            </w:r>
          </w:p>
        </w:tc>
        <w:tc>
          <w:tcPr>
            <w:tcW w:w="1984" w:type="dxa"/>
            <w:noWrap/>
            <w:vAlign w:val="center"/>
            <w:hideMark/>
          </w:tcPr>
          <w:p w:rsidR="00B734F9" w:rsidRPr="007D14F3" w:rsidRDefault="00B734F9" w:rsidP="009C7202">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4F3">
              <w:rPr>
                <w:rFonts w:ascii="Times New Roman" w:hAnsi="Times New Roman" w:cs="Times New Roman"/>
                <w:sz w:val="24"/>
                <w:szCs w:val="24"/>
              </w:rPr>
              <w:t>0.53%</w:t>
            </w:r>
          </w:p>
        </w:tc>
        <w:tc>
          <w:tcPr>
            <w:tcW w:w="1560" w:type="dxa"/>
            <w:noWrap/>
            <w:vAlign w:val="center"/>
            <w:hideMark/>
          </w:tcPr>
          <w:p w:rsidR="00B734F9" w:rsidRPr="007D14F3" w:rsidRDefault="00B734F9" w:rsidP="009C7202">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4F3">
              <w:rPr>
                <w:rFonts w:ascii="Times New Roman" w:hAnsi="Times New Roman" w:cs="Times New Roman"/>
                <w:sz w:val="24"/>
                <w:szCs w:val="24"/>
              </w:rPr>
              <w:t>180</w:t>
            </w:r>
          </w:p>
        </w:tc>
        <w:tc>
          <w:tcPr>
            <w:tcW w:w="1986" w:type="dxa"/>
            <w:noWrap/>
            <w:vAlign w:val="center"/>
            <w:hideMark/>
          </w:tcPr>
          <w:p w:rsidR="00B734F9" w:rsidRPr="007D14F3" w:rsidRDefault="00B734F9" w:rsidP="009C7202">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7D14F3">
              <w:rPr>
                <w:rFonts w:ascii="Times New Roman" w:hAnsi="Times New Roman" w:cs="Times New Roman"/>
                <w:sz w:val="24"/>
                <w:szCs w:val="24"/>
              </w:rPr>
              <w:t>4.33%</w:t>
            </w:r>
          </w:p>
        </w:tc>
      </w:tr>
    </w:tbl>
    <w:p w:rsidR="002F3F53" w:rsidRPr="007D14F3" w:rsidRDefault="002F3F53" w:rsidP="009C7202">
      <w:pPr>
        <w:pStyle w:val="ListParagraph"/>
        <w:spacing w:before="120"/>
        <w:ind w:left="0"/>
        <w:contextualSpacing w:val="0"/>
        <w:jc w:val="both"/>
        <w:rPr>
          <w:rFonts w:ascii="Times New Roman" w:hAnsi="Times New Roman" w:cs="Times New Roman"/>
          <w:sz w:val="24"/>
          <w:szCs w:val="24"/>
        </w:rPr>
      </w:pPr>
    </w:p>
    <w:p w:rsidR="00A34351" w:rsidRPr="007D14F3" w:rsidRDefault="0007533D" w:rsidP="009C7202">
      <w:pPr>
        <w:pStyle w:val="ListParagraph"/>
        <w:spacing w:before="120"/>
        <w:ind w:left="0"/>
        <w:contextualSpacing w:val="0"/>
        <w:jc w:val="both"/>
        <w:rPr>
          <w:rFonts w:ascii="Times New Roman" w:hAnsi="Times New Roman" w:cs="Times New Roman"/>
          <w:sz w:val="24"/>
          <w:szCs w:val="24"/>
        </w:rPr>
      </w:pPr>
      <w:r w:rsidRPr="007D14F3">
        <w:rPr>
          <w:rFonts w:ascii="Times New Roman" w:hAnsi="Times New Roman" w:cs="Times New Roman"/>
          <w:sz w:val="24"/>
          <w:szCs w:val="24"/>
        </w:rPr>
        <w:lastRenderedPageBreak/>
        <w:t>The average abnormal return of 0.</w:t>
      </w:r>
      <w:r w:rsidR="00E24A13" w:rsidRPr="007D14F3">
        <w:rPr>
          <w:rFonts w:ascii="Times New Roman" w:hAnsi="Times New Roman" w:cs="Times New Roman"/>
          <w:sz w:val="24"/>
          <w:szCs w:val="24"/>
        </w:rPr>
        <w:t>53</w:t>
      </w:r>
      <w:r w:rsidRPr="007D14F3">
        <w:rPr>
          <w:rFonts w:ascii="Times New Roman" w:hAnsi="Times New Roman" w:cs="Times New Roman"/>
          <w:sz w:val="24"/>
          <w:szCs w:val="24"/>
        </w:rPr>
        <w:t>% is slightly lower than the average return in the data sets of similar studies, which amounts to</w:t>
      </w:r>
      <w:r w:rsidR="00E24A13" w:rsidRPr="007D14F3">
        <w:rPr>
          <w:rFonts w:ascii="Times New Roman" w:hAnsi="Times New Roman" w:cs="Times New Roman"/>
          <w:sz w:val="24"/>
          <w:szCs w:val="24"/>
        </w:rPr>
        <w:t xml:space="preserve"> approximately</w:t>
      </w:r>
      <w:r w:rsidRPr="007D14F3">
        <w:rPr>
          <w:rFonts w:ascii="Times New Roman" w:hAnsi="Times New Roman" w:cs="Times New Roman"/>
          <w:sz w:val="24"/>
          <w:szCs w:val="24"/>
        </w:rPr>
        <w:t xml:space="preserve"> 1% (Amar et al., 2011), (Masulis et al., 2007).</w:t>
      </w:r>
      <w:r w:rsidR="008F3B5C" w:rsidRPr="007D14F3">
        <w:rPr>
          <w:rFonts w:ascii="Times New Roman" w:hAnsi="Times New Roman" w:cs="Times New Roman"/>
          <w:sz w:val="24"/>
          <w:szCs w:val="24"/>
        </w:rPr>
        <w:t xml:space="preserve"> The average CAR is significantly different from zero at </w:t>
      </w:r>
      <w:r w:rsidR="005035EE" w:rsidRPr="007D14F3">
        <w:rPr>
          <w:rFonts w:ascii="Times New Roman" w:hAnsi="Times New Roman" w:cs="Times New Roman"/>
          <w:sz w:val="24"/>
          <w:szCs w:val="24"/>
        </w:rPr>
        <w:t xml:space="preserve">the </w:t>
      </w:r>
      <w:r w:rsidR="008F3B5C" w:rsidRPr="007D14F3">
        <w:rPr>
          <w:rFonts w:ascii="Times New Roman" w:hAnsi="Times New Roman" w:cs="Times New Roman"/>
          <w:sz w:val="24"/>
          <w:szCs w:val="24"/>
        </w:rPr>
        <w:t>1% significance level. The CAR for all</w:t>
      </w:r>
      <w:r w:rsidR="00EA7F0E" w:rsidRPr="007D14F3">
        <w:rPr>
          <w:rFonts w:ascii="Times New Roman" w:hAnsi="Times New Roman" w:cs="Times New Roman"/>
          <w:sz w:val="24"/>
          <w:szCs w:val="24"/>
        </w:rPr>
        <w:t>-</w:t>
      </w:r>
      <w:r w:rsidR="008F3B5C" w:rsidRPr="007D14F3">
        <w:rPr>
          <w:rFonts w:ascii="Times New Roman" w:hAnsi="Times New Roman" w:cs="Times New Roman"/>
          <w:sz w:val="24"/>
          <w:szCs w:val="24"/>
        </w:rPr>
        <w:t>cash deals equals to 0.</w:t>
      </w:r>
      <w:r w:rsidR="00E24A13" w:rsidRPr="007D14F3">
        <w:rPr>
          <w:rFonts w:ascii="Times New Roman" w:hAnsi="Times New Roman" w:cs="Times New Roman"/>
          <w:sz w:val="24"/>
          <w:szCs w:val="24"/>
        </w:rPr>
        <w:t>82</w:t>
      </w:r>
      <w:r w:rsidR="008F3B5C" w:rsidRPr="007D14F3">
        <w:rPr>
          <w:rFonts w:ascii="Times New Roman" w:hAnsi="Times New Roman" w:cs="Times New Roman"/>
          <w:sz w:val="24"/>
          <w:szCs w:val="24"/>
        </w:rPr>
        <w:t xml:space="preserve">% and is </w:t>
      </w:r>
      <w:r w:rsidR="00B36312" w:rsidRPr="007D14F3">
        <w:rPr>
          <w:rFonts w:ascii="Times New Roman" w:hAnsi="Times New Roman" w:cs="Times New Roman"/>
          <w:sz w:val="24"/>
          <w:szCs w:val="24"/>
        </w:rPr>
        <w:t xml:space="preserve">different from the CAR of the </w:t>
      </w:r>
      <w:r w:rsidR="009D1B6D" w:rsidRPr="007D14F3">
        <w:rPr>
          <w:rFonts w:ascii="Times New Roman" w:hAnsi="Times New Roman" w:cs="Times New Roman"/>
          <w:sz w:val="24"/>
          <w:szCs w:val="24"/>
        </w:rPr>
        <w:t>deals partially paid in stock</w:t>
      </w:r>
      <w:r w:rsidR="00B36312" w:rsidRPr="007D14F3">
        <w:rPr>
          <w:rFonts w:ascii="Times New Roman" w:hAnsi="Times New Roman" w:cs="Times New Roman"/>
          <w:sz w:val="24"/>
          <w:szCs w:val="24"/>
        </w:rPr>
        <w:t xml:space="preserve"> at the 5% significance level.</w:t>
      </w:r>
      <w:r w:rsidR="00EA7F0E" w:rsidRPr="007D14F3">
        <w:rPr>
          <w:rFonts w:ascii="Times New Roman" w:hAnsi="Times New Roman" w:cs="Times New Roman"/>
          <w:sz w:val="24"/>
          <w:szCs w:val="24"/>
        </w:rPr>
        <w:t xml:space="preserve"> The </w:t>
      </w:r>
      <w:r w:rsidR="00E62ACE" w:rsidRPr="007D14F3">
        <w:rPr>
          <w:rFonts w:ascii="Times New Roman" w:hAnsi="Times New Roman" w:cs="Times New Roman"/>
          <w:sz w:val="24"/>
          <w:szCs w:val="24"/>
        </w:rPr>
        <w:t xml:space="preserve">difference between the </w:t>
      </w:r>
      <w:r w:rsidR="00897750" w:rsidRPr="007D14F3">
        <w:rPr>
          <w:rFonts w:ascii="Times New Roman" w:hAnsi="Times New Roman" w:cs="Times New Roman"/>
          <w:sz w:val="24"/>
          <w:szCs w:val="24"/>
        </w:rPr>
        <w:t xml:space="preserve">average abnormal return </w:t>
      </w:r>
      <w:r w:rsidR="00E24A13" w:rsidRPr="007D14F3">
        <w:rPr>
          <w:rFonts w:ascii="Times New Roman" w:hAnsi="Times New Roman" w:cs="Times New Roman"/>
          <w:sz w:val="24"/>
          <w:szCs w:val="24"/>
        </w:rPr>
        <w:t xml:space="preserve">when announcing an acquisition of a public target </w:t>
      </w:r>
      <w:r w:rsidR="00E62ACE" w:rsidRPr="007D14F3">
        <w:rPr>
          <w:rFonts w:ascii="Times New Roman" w:hAnsi="Times New Roman" w:cs="Times New Roman"/>
          <w:sz w:val="24"/>
          <w:szCs w:val="24"/>
        </w:rPr>
        <w:t>and</w:t>
      </w:r>
      <w:r w:rsidR="005035EE" w:rsidRPr="007D14F3">
        <w:rPr>
          <w:rFonts w:ascii="Times New Roman" w:hAnsi="Times New Roman" w:cs="Times New Roman"/>
          <w:sz w:val="24"/>
          <w:szCs w:val="24"/>
        </w:rPr>
        <w:t xml:space="preserve"> </w:t>
      </w:r>
      <w:r w:rsidR="00E24A13" w:rsidRPr="007D14F3">
        <w:rPr>
          <w:rFonts w:ascii="Times New Roman" w:hAnsi="Times New Roman" w:cs="Times New Roman"/>
          <w:sz w:val="24"/>
          <w:szCs w:val="24"/>
        </w:rPr>
        <w:t>a priv</w:t>
      </w:r>
      <w:r w:rsidR="00C552AB" w:rsidRPr="007D14F3">
        <w:rPr>
          <w:rFonts w:ascii="Times New Roman" w:hAnsi="Times New Roman" w:cs="Times New Roman"/>
          <w:sz w:val="24"/>
          <w:szCs w:val="24"/>
        </w:rPr>
        <w:t>a</w:t>
      </w:r>
      <w:r w:rsidR="00E24A13" w:rsidRPr="007D14F3">
        <w:rPr>
          <w:rFonts w:ascii="Times New Roman" w:hAnsi="Times New Roman" w:cs="Times New Roman"/>
          <w:sz w:val="24"/>
          <w:szCs w:val="24"/>
        </w:rPr>
        <w:t>t</w:t>
      </w:r>
      <w:r w:rsidR="00C552AB" w:rsidRPr="007D14F3">
        <w:rPr>
          <w:rFonts w:ascii="Times New Roman" w:hAnsi="Times New Roman" w:cs="Times New Roman"/>
          <w:sz w:val="24"/>
          <w:szCs w:val="24"/>
        </w:rPr>
        <w:t>e</w:t>
      </w:r>
      <w:r w:rsidR="00E24A13" w:rsidRPr="007D14F3">
        <w:rPr>
          <w:rFonts w:ascii="Times New Roman" w:hAnsi="Times New Roman" w:cs="Times New Roman"/>
          <w:sz w:val="24"/>
          <w:szCs w:val="24"/>
        </w:rPr>
        <w:t xml:space="preserve"> target</w:t>
      </w:r>
      <w:r w:rsidR="00E62ACE" w:rsidRPr="007D14F3">
        <w:rPr>
          <w:rFonts w:ascii="Times New Roman" w:hAnsi="Times New Roman" w:cs="Times New Roman"/>
          <w:sz w:val="24"/>
          <w:szCs w:val="24"/>
        </w:rPr>
        <w:t xml:space="preserve"> </w:t>
      </w:r>
      <w:r w:rsidR="00E24A13" w:rsidRPr="007D14F3">
        <w:rPr>
          <w:rFonts w:ascii="Times New Roman" w:hAnsi="Times New Roman" w:cs="Times New Roman"/>
          <w:sz w:val="24"/>
          <w:szCs w:val="24"/>
        </w:rPr>
        <w:t>is</w:t>
      </w:r>
      <w:r w:rsidR="00EA7F0E" w:rsidRPr="007D14F3">
        <w:rPr>
          <w:rFonts w:ascii="Times New Roman" w:hAnsi="Times New Roman" w:cs="Times New Roman"/>
          <w:sz w:val="24"/>
          <w:szCs w:val="24"/>
        </w:rPr>
        <w:t xml:space="preserve"> insignificant. </w:t>
      </w:r>
      <w:r w:rsidR="00C07BD6" w:rsidRPr="007D14F3">
        <w:rPr>
          <w:rFonts w:ascii="Times New Roman" w:hAnsi="Times New Roman" w:cs="Times New Roman"/>
          <w:sz w:val="24"/>
          <w:szCs w:val="24"/>
        </w:rPr>
        <w:t xml:space="preserve">An announcement of the acquisition of a subsidiary resulted </w:t>
      </w:r>
      <w:r w:rsidR="005035EE" w:rsidRPr="007D14F3">
        <w:rPr>
          <w:rFonts w:ascii="Times New Roman" w:hAnsi="Times New Roman" w:cs="Times New Roman"/>
          <w:sz w:val="24"/>
          <w:szCs w:val="24"/>
        </w:rPr>
        <w:t xml:space="preserve">on average </w:t>
      </w:r>
      <w:r w:rsidR="00C07BD6" w:rsidRPr="007D14F3">
        <w:rPr>
          <w:rFonts w:ascii="Times New Roman" w:hAnsi="Times New Roman" w:cs="Times New Roman"/>
          <w:sz w:val="24"/>
          <w:szCs w:val="24"/>
        </w:rPr>
        <w:t>in the 1.</w:t>
      </w:r>
      <w:r w:rsidR="00E24A13" w:rsidRPr="007D14F3">
        <w:rPr>
          <w:rFonts w:ascii="Times New Roman" w:hAnsi="Times New Roman" w:cs="Times New Roman"/>
          <w:sz w:val="24"/>
          <w:szCs w:val="24"/>
        </w:rPr>
        <w:t>56</w:t>
      </w:r>
      <w:r w:rsidR="00C07BD6" w:rsidRPr="007D14F3">
        <w:rPr>
          <w:rFonts w:ascii="Times New Roman" w:hAnsi="Times New Roman" w:cs="Times New Roman"/>
          <w:sz w:val="24"/>
          <w:szCs w:val="24"/>
        </w:rPr>
        <w:t xml:space="preserve">% abnormal return and it was significantly higher than the CAR </w:t>
      </w:r>
      <w:r w:rsidR="00F5586D" w:rsidRPr="007D14F3">
        <w:rPr>
          <w:rFonts w:ascii="Times New Roman" w:hAnsi="Times New Roman" w:cs="Times New Roman"/>
          <w:sz w:val="24"/>
          <w:szCs w:val="24"/>
        </w:rPr>
        <w:t xml:space="preserve">over the </w:t>
      </w:r>
      <w:r w:rsidR="00897750" w:rsidRPr="007D14F3">
        <w:rPr>
          <w:rFonts w:ascii="Times New Roman" w:hAnsi="Times New Roman" w:cs="Times New Roman"/>
          <w:sz w:val="24"/>
          <w:szCs w:val="24"/>
        </w:rPr>
        <w:t>announcement</w:t>
      </w:r>
      <w:r w:rsidR="00F5586D" w:rsidRPr="007D14F3">
        <w:rPr>
          <w:rFonts w:ascii="Times New Roman" w:hAnsi="Times New Roman" w:cs="Times New Roman"/>
          <w:sz w:val="24"/>
          <w:szCs w:val="24"/>
        </w:rPr>
        <w:t xml:space="preserve"> period of an acquisition of a public or private subsidiary, which is </w:t>
      </w:r>
      <w:proofErr w:type="gramStart"/>
      <w:r w:rsidR="00F5586D" w:rsidRPr="007D14F3">
        <w:rPr>
          <w:rFonts w:ascii="Times New Roman" w:hAnsi="Times New Roman" w:cs="Times New Roman"/>
          <w:sz w:val="24"/>
          <w:szCs w:val="24"/>
        </w:rPr>
        <w:t>similar to</w:t>
      </w:r>
      <w:proofErr w:type="gramEnd"/>
      <w:r w:rsidR="00F5586D" w:rsidRPr="007D14F3">
        <w:rPr>
          <w:rFonts w:ascii="Times New Roman" w:hAnsi="Times New Roman" w:cs="Times New Roman"/>
          <w:sz w:val="24"/>
          <w:szCs w:val="24"/>
        </w:rPr>
        <w:t xml:space="preserve"> the differences documented in Moeller et al.</w:t>
      </w:r>
      <w:r w:rsidR="005035EE" w:rsidRPr="007D14F3">
        <w:rPr>
          <w:rFonts w:ascii="Times New Roman" w:hAnsi="Times New Roman" w:cs="Times New Roman"/>
          <w:sz w:val="24"/>
          <w:szCs w:val="24"/>
        </w:rPr>
        <w:t xml:space="preserve"> </w:t>
      </w:r>
      <w:r w:rsidR="00897750" w:rsidRPr="007D14F3">
        <w:rPr>
          <w:rFonts w:ascii="Times New Roman" w:hAnsi="Times New Roman" w:cs="Times New Roman"/>
          <w:sz w:val="24"/>
          <w:szCs w:val="24"/>
        </w:rPr>
        <w:t>(</w:t>
      </w:r>
      <w:r w:rsidR="00F5586D" w:rsidRPr="007D14F3">
        <w:rPr>
          <w:rFonts w:ascii="Times New Roman" w:hAnsi="Times New Roman" w:cs="Times New Roman"/>
          <w:sz w:val="24"/>
          <w:szCs w:val="24"/>
        </w:rPr>
        <w:t>2003).</w:t>
      </w:r>
      <w:r w:rsidR="00BB27D2" w:rsidRPr="007D14F3">
        <w:rPr>
          <w:rFonts w:ascii="Times New Roman" w:hAnsi="Times New Roman" w:cs="Times New Roman"/>
          <w:sz w:val="24"/>
          <w:szCs w:val="24"/>
        </w:rPr>
        <w:t xml:space="preserve"> </w:t>
      </w:r>
    </w:p>
    <w:p w:rsidR="00BB27D2" w:rsidRPr="007D14F3" w:rsidRDefault="00BB27D2" w:rsidP="009C7202">
      <w:pPr>
        <w:pStyle w:val="ListParagraph"/>
        <w:spacing w:before="120"/>
        <w:ind w:left="0"/>
        <w:contextualSpacing w:val="0"/>
        <w:jc w:val="both"/>
        <w:rPr>
          <w:rFonts w:ascii="Times New Roman" w:hAnsi="Times New Roman" w:cs="Times New Roman"/>
          <w:b/>
          <w:sz w:val="24"/>
          <w:szCs w:val="24"/>
        </w:rPr>
      </w:pPr>
    </w:p>
    <w:p w:rsidR="00F5603F" w:rsidRPr="007D14F3" w:rsidRDefault="006D481A" w:rsidP="009C7202">
      <w:pPr>
        <w:pStyle w:val="ListParagraph"/>
        <w:spacing w:before="120"/>
        <w:ind w:left="360"/>
        <w:contextualSpacing w:val="0"/>
        <w:jc w:val="center"/>
        <w:rPr>
          <w:rFonts w:ascii="Times New Roman" w:hAnsi="Times New Roman" w:cs="Times New Roman"/>
          <w:b/>
          <w:sz w:val="24"/>
          <w:szCs w:val="24"/>
        </w:rPr>
      </w:pPr>
      <w:r w:rsidRPr="007D14F3">
        <w:rPr>
          <w:rFonts w:ascii="Times New Roman" w:hAnsi="Times New Roman" w:cs="Times New Roman"/>
          <w:b/>
          <w:sz w:val="24"/>
          <w:szCs w:val="24"/>
        </w:rPr>
        <w:t>Table II</w:t>
      </w:r>
    </w:p>
    <w:p w:rsidR="00F5603F" w:rsidRPr="007D14F3" w:rsidRDefault="008E7E97" w:rsidP="009C7202">
      <w:pPr>
        <w:pStyle w:val="ListParagraph"/>
        <w:spacing w:before="120"/>
        <w:ind w:left="360"/>
        <w:contextualSpacing w:val="0"/>
        <w:jc w:val="center"/>
        <w:rPr>
          <w:rFonts w:ascii="Times New Roman" w:hAnsi="Times New Roman" w:cs="Times New Roman"/>
          <w:b/>
          <w:sz w:val="24"/>
          <w:szCs w:val="24"/>
        </w:rPr>
      </w:pPr>
      <w:r w:rsidRPr="007D14F3">
        <w:rPr>
          <w:rFonts w:ascii="Times New Roman" w:hAnsi="Times New Roman" w:cs="Times New Roman"/>
          <w:b/>
          <w:sz w:val="24"/>
          <w:szCs w:val="24"/>
        </w:rPr>
        <w:t>Market reaction vs deal characteristics</w:t>
      </w:r>
    </w:p>
    <w:p w:rsidR="00F5603F" w:rsidRPr="007D14F3" w:rsidRDefault="00F5603F" w:rsidP="009C7202">
      <w:pPr>
        <w:spacing w:before="120" w:after="120" w:line="240" w:lineRule="auto"/>
        <w:jc w:val="both"/>
        <w:rPr>
          <w:rFonts w:ascii="Times New Roman" w:hAnsi="Times New Roman" w:cs="Times New Roman"/>
          <w:sz w:val="24"/>
          <w:szCs w:val="24"/>
        </w:rPr>
      </w:pPr>
      <w:r w:rsidRPr="007D14F3">
        <w:rPr>
          <w:rFonts w:ascii="Times New Roman" w:hAnsi="Times New Roman" w:cs="Times New Roman"/>
          <w:sz w:val="24"/>
          <w:szCs w:val="24"/>
        </w:rPr>
        <w:t xml:space="preserve">The table presents the average abnormal return by specific deal characteristics. The number in the brackets is a p-value </w:t>
      </w:r>
      <w:r w:rsidR="0069559B" w:rsidRPr="007D14F3">
        <w:rPr>
          <w:rFonts w:ascii="Times New Roman" w:hAnsi="Times New Roman" w:cs="Times New Roman"/>
          <w:sz w:val="24"/>
          <w:szCs w:val="24"/>
        </w:rPr>
        <w:t>obtained in o</w:t>
      </w:r>
      <w:r w:rsidRPr="007D14F3">
        <w:rPr>
          <w:rFonts w:ascii="Times New Roman" w:hAnsi="Times New Roman" w:cs="Times New Roman"/>
          <w:sz w:val="24"/>
          <w:szCs w:val="24"/>
        </w:rPr>
        <w:t>ne-sample</w:t>
      </w:r>
      <w:r w:rsidR="008E7E97" w:rsidRPr="007D14F3">
        <w:rPr>
          <w:rFonts w:ascii="Times New Roman" w:hAnsi="Times New Roman" w:cs="Times New Roman"/>
          <w:sz w:val="24"/>
          <w:szCs w:val="24"/>
        </w:rPr>
        <w:t>, two-sided</w:t>
      </w:r>
      <w:r w:rsidRPr="007D14F3">
        <w:rPr>
          <w:rFonts w:ascii="Times New Roman" w:hAnsi="Times New Roman" w:cs="Times New Roman"/>
          <w:sz w:val="24"/>
          <w:szCs w:val="24"/>
        </w:rPr>
        <w:t xml:space="preserve"> t</w:t>
      </w:r>
      <w:r w:rsidR="00F9421B" w:rsidRPr="007D14F3">
        <w:rPr>
          <w:rFonts w:ascii="Times New Roman" w:hAnsi="Times New Roman" w:cs="Times New Roman"/>
          <w:sz w:val="24"/>
          <w:szCs w:val="24"/>
        </w:rPr>
        <w:t>-</w:t>
      </w:r>
      <w:r w:rsidRPr="007D14F3">
        <w:rPr>
          <w:rFonts w:ascii="Times New Roman" w:hAnsi="Times New Roman" w:cs="Times New Roman"/>
          <w:sz w:val="24"/>
          <w:szCs w:val="24"/>
        </w:rPr>
        <w:t>test</w:t>
      </w:r>
      <w:r w:rsidR="0069559B" w:rsidRPr="007D14F3">
        <w:rPr>
          <w:rFonts w:ascii="Times New Roman" w:hAnsi="Times New Roman" w:cs="Times New Roman"/>
          <w:sz w:val="24"/>
          <w:szCs w:val="24"/>
        </w:rPr>
        <w:t xml:space="preserve">. ***, **, * stands for significance at the 1%, 5% and 10% level, respectively, </w:t>
      </w:r>
    </w:p>
    <w:p w:rsidR="00F5603F" w:rsidRPr="007D14F3" w:rsidRDefault="00F5603F" w:rsidP="009C7202">
      <w:pPr>
        <w:spacing w:before="120" w:after="120" w:line="240" w:lineRule="auto"/>
        <w:rPr>
          <w:rFonts w:ascii="Times New Roman" w:hAnsi="Times New Roman" w:cs="Times New Roman"/>
          <w:sz w:val="24"/>
          <w:szCs w:val="24"/>
        </w:rPr>
      </w:pPr>
    </w:p>
    <w:tbl>
      <w:tblPr>
        <w:tblStyle w:val="PlainTable5"/>
        <w:tblW w:w="9382" w:type="dxa"/>
        <w:jc w:val="center"/>
        <w:tblLook w:val="06A0" w:firstRow="1" w:lastRow="0" w:firstColumn="1" w:lastColumn="0" w:noHBand="1" w:noVBand="1"/>
      </w:tblPr>
      <w:tblGrid>
        <w:gridCol w:w="1676"/>
        <w:gridCol w:w="1326"/>
        <w:gridCol w:w="1248"/>
        <w:gridCol w:w="1252"/>
        <w:gridCol w:w="1228"/>
        <w:gridCol w:w="1326"/>
        <w:gridCol w:w="1326"/>
      </w:tblGrid>
      <w:tr w:rsidR="00897750" w:rsidRPr="007D14F3" w:rsidTr="00897750">
        <w:trPr>
          <w:cnfStyle w:val="100000000000" w:firstRow="1" w:lastRow="0" w:firstColumn="0" w:lastColumn="0" w:oddVBand="0" w:evenVBand="0" w:oddHBand="0" w:evenHBand="0" w:firstRowFirstColumn="0" w:firstRowLastColumn="0" w:lastRowFirstColumn="0" w:lastRowLastColumn="0"/>
          <w:trHeight w:val="290"/>
          <w:jc w:val="center"/>
        </w:trPr>
        <w:tc>
          <w:tcPr>
            <w:cnfStyle w:val="001000000100" w:firstRow="0" w:lastRow="0" w:firstColumn="1" w:lastColumn="0" w:oddVBand="0" w:evenVBand="0" w:oddHBand="0" w:evenHBand="0" w:firstRowFirstColumn="1" w:firstRowLastColumn="0" w:lastRowFirstColumn="0" w:lastRowLastColumn="0"/>
            <w:tcW w:w="1676" w:type="dxa"/>
            <w:noWrap/>
            <w:vAlign w:val="center"/>
            <w:hideMark/>
          </w:tcPr>
          <w:p w:rsidR="00897750" w:rsidRPr="007D14F3" w:rsidRDefault="00897750" w:rsidP="009C7202">
            <w:pPr>
              <w:spacing w:before="120" w:after="120"/>
              <w:jc w:val="center"/>
              <w:rPr>
                <w:rFonts w:ascii="Times New Roman" w:eastAsia="Times New Roman" w:hAnsi="Times New Roman" w:cs="Times New Roman"/>
                <w:sz w:val="24"/>
                <w:szCs w:val="24"/>
                <w:lang w:eastAsia="en-GB"/>
              </w:rPr>
            </w:pPr>
            <w:r w:rsidRPr="007D14F3">
              <w:rPr>
                <w:rFonts w:ascii="Times New Roman" w:eastAsia="Times New Roman" w:hAnsi="Times New Roman" w:cs="Times New Roman"/>
                <w:sz w:val="24"/>
                <w:szCs w:val="24"/>
                <w:lang w:eastAsia="en-GB"/>
              </w:rPr>
              <w:t>CAR (-1,1)</w:t>
            </w:r>
          </w:p>
        </w:tc>
        <w:tc>
          <w:tcPr>
            <w:tcW w:w="1326" w:type="dxa"/>
            <w:noWrap/>
            <w:vAlign w:val="center"/>
            <w:hideMark/>
          </w:tcPr>
          <w:p w:rsidR="00897750" w:rsidRPr="007D14F3" w:rsidRDefault="00897750" w:rsidP="009C7202">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7D14F3">
              <w:rPr>
                <w:rFonts w:ascii="Times New Roman" w:eastAsia="Times New Roman" w:hAnsi="Times New Roman" w:cs="Times New Roman"/>
                <w:color w:val="000000"/>
                <w:sz w:val="24"/>
                <w:szCs w:val="24"/>
                <w:lang w:eastAsia="en-GB"/>
              </w:rPr>
              <w:t>Whole Sample (1)</w:t>
            </w:r>
          </w:p>
        </w:tc>
        <w:tc>
          <w:tcPr>
            <w:tcW w:w="1248" w:type="dxa"/>
            <w:noWrap/>
            <w:vAlign w:val="center"/>
            <w:hideMark/>
          </w:tcPr>
          <w:p w:rsidR="00897750" w:rsidRPr="007D14F3" w:rsidRDefault="00897750" w:rsidP="009C7202">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7D14F3">
              <w:rPr>
                <w:rFonts w:ascii="Times New Roman" w:eastAsia="Times New Roman" w:hAnsi="Times New Roman" w:cs="Times New Roman"/>
                <w:color w:val="000000"/>
                <w:sz w:val="24"/>
                <w:szCs w:val="24"/>
                <w:lang w:eastAsia="en-GB"/>
              </w:rPr>
              <w:t>All Cash (2)</w:t>
            </w:r>
          </w:p>
        </w:tc>
        <w:tc>
          <w:tcPr>
            <w:tcW w:w="1252" w:type="dxa"/>
            <w:noWrap/>
            <w:vAlign w:val="center"/>
            <w:hideMark/>
          </w:tcPr>
          <w:p w:rsidR="00897750" w:rsidRPr="007D14F3" w:rsidRDefault="00897750" w:rsidP="009C7202">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7D14F3">
              <w:rPr>
                <w:rFonts w:ascii="Times New Roman" w:eastAsia="Times New Roman" w:hAnsi="Times New Roman" w:cs="Times New Roman"/>
                <w:color w:val="000000"/>
                <w:sz w:val="24"/>
                <w:szCs w:val="24"/>
                <w:lang w:eastAsia="en-GB"/>
              </w:rPr>
              <w:t>&gt;10% of Stock (3)</w:t>
            </w:r>
          </w:p>
        </w:tc>
        <w:tc>
          <w:tcPr>
            <w:tcW w:w="1228" w:type="dxa"/>
          </w:tcPr>
          <w:p w:rsidR="00897750" w:rsidRPr="007D14F3" w:rsidRDefault="00897750" w:rsidP="009C7202">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7D14F3">
              <w:rPr>
                <w:rFonts w:ascii="Times New Roman" w:eastAsia="Times New Roman" w:hAnsi="Times New Roman" w:cs="Times New Roman"/>
                <w:color w:val="000000"/>
                <w:sz w:val="24"/>
                <w:szCs w:val="24"/>
                <w:lang w:eastAsia="en-GB"/>
              </w:rPr>
              <w:t>Public Target (4)</w:t>
            </w:r>
          </w:p>
        </w:tc>
        <w:tc>
          <w:tcPr>
            <w:tcW w:w="1326" w:type="dxa"/>
            <w:noWrap/>
            <w:vAlign w:val="center"/>
            <w:hideMark/>
          </w:tcPr>
          <w:p w:rsidR="00897750" w:rsidRPr="007D14F3" w:rsidRDefault="00897750" w:rsidP="009C7202">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7D14F3">
              <w:rPr>
                <w:rFonts w:ascii="Times New Roman" w:eastAsia="Times New Roman" w:hAnsi="Times New Roman" w:cs="Times New Roman"/>
                <w:color w:val="000000"/>
                <w:sz w:val="24"/>
                <w:szCs w:val="24"/>
                <w:lang w:eastAsia="en-GB"/>
              </w:rPr>
              <w:t>Private Target (5)</w:t>
            </w:r>
          </w:p>
        </w:tc>
        <w:tc>
          <w:tcPr>
            <w:tcW w:w="1326" w:type="dxa"/>
            <w:noWrap/>
            <w:vAlign w:val="center"/>
            <w:hideMark/>
          </w:tcPr>
          <w:p w:rsidR="00897750" w:rsidRPr="007D14F3" w:rsidRDefault="00897750" w:rsidP="009C7202">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7D14F3">
              <w:rPr>
                <w:rFonts w:ascii="Times New Roman" w:eastAsia="Times New Roman" w:hAnsi="Times New Roman" w:cs="Times New Roman"/>
                <w:color w:val="000000"/>
                <w:sz w:val="24"/>
                <w:szCs w:val="24"/>
                <w:lang w:eastAsia="en-GB"/>
              </w:rPr>
              <w:t>Subsidiary Target (6)</w:t>
            </w:r>
          </w:p>
        </w:tc>
      </w:tr>
      <w:tr w:rsidR="00897750" w:rsidRPr="007D14F3" w:rsidTr="00897750">
        <w:trPr>
          <w:trHeight w:val="290"/>
          <w:jc w:val="center"/>
        </w:trPr>
        <w:tc>
          <w:tcPr>
            <w:cnfStyle w:val="001000000000" w:firstRow="0" w:lastRow="0" w:firstColumn="1" w:lastColumn="0" w:oddVBand="0" w:evenVBand="0" w:oddHBand="0" w:evenHBand="0" w:firstRowFirstColumn="0" w:firstRowLastColumn="0" w:lastRowFirstColumn="0" w:lastRowLastColumn="0"/>
            <w:tcW w:w="1676" w:type="dxa"/>
            <w:noWrap/>
            <w:vAlign w:val="center"/>
            <w:hideMark/>
          </w:tcPr>
          <w:p w:rsidR="00897750" w:rsidRPr="007D14F3" w:rsidRDefault="00897750" w:rsidP="009C7202">
            <w:pPr>
              <w:spacing w:before="120" w:after="120"/>
              <w:jc w:val="center"/>
              <w:rPr>
                <w:rFonts w:ascii="Times New Roman" w:eastAsia="Times New Roman" w:hAnsi="Times New Roman" w:cs="Times New Roman"/>
                <w:color w:val="000000"/>
                <w:sz w:val="24"/>
                <w:szCs w:val="24"/>
                <w:lang w:eastAsia="en-GB"/>
              </w:rPr>
            </w:pPr>
            <w:r w:rsidRPr="007D14F3">
              <w:rPr>
                <w:rFonts w:ascii="Times New Roman" w:eastAsia="Times New Roman" w:hAnsi="Times New Roman" w:cs="Times New Roman"/>
                <w:color w:val="000000"/>
                <w:sz w:val="24"/>
                <w:szCs w:val="24"/>
                <w:lang w:eastAsia="en-GB"/>
              </w:rPr>
              <w:t>Mean</w:t>
            </w:r>
          </w:p>
        </w:tc>
        <w:tc>
          <w:tcPr>
            <w:tcW w:w="1326" w:type="dxa"/>
            <w:noWrap/>
            <w:vAlign w:val="center"/>
            <w:hideMark/>
          </w:tcPr>
          <w:p w:rsidR="00897750" w:rsidRPr="007D14F3" w:rsidRDefault="00897750" w:rsidP="009C7202">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7D14F3">
              <w:rPr>
                <w:rFonts w:ascii="Times New Roman" w:eastAsia="Times New Roman" w:hAnsi="Times New Roman" w:cs="Times New Roman"/>
                <w:color w:val="000000"/>
                <w:sz w:val="24"/>
                <w:szCs w:val="24"/>
                <w:lang w:eastAsia="en-GB"/>
              </w:rPr>
              <w:t>0.53% (</w:t>
            </w:r>
            <w:proofErr w:type="gramStart"/>
            <w:r w:rsidRPr="007D14F3">
              <w:rPr>
                <w:rFonts w:ascii="Times New Roman" w:eastAsia="Times New Roman" w:hAnsi="Times New Roman" w:cs="Times New Roman"/>
                <w:color w:val="000000"/>
                <w:sz w:val="24"/>
                <w:szCs w:val="24"/>
                <w:lang w:eastAsia="en-GB"/>
              </w:rPr>
              <w:t>0.00)*</w:t>
            </w:r>
            <w:proofErr w:type="gramEnd"/>
            <w:r w:rsidRPr="007D14F3">
              <w:rPr>
                <w:rFonts w:ascii="Times New Roman" w:eastAsia="Times New Roman" w:hAnsi="Times New Roman" w:cs="Times New Roman"/>
                <w:color w:val="000000"/>
                <w:sz w:val="24"/>
                <w:szCs w:val="24"/>
                <w:lang w:eastAsia="en-GB"/>
              </w:rPr>
              <w:t>**</w:t>
            </w:r>
          </w:p>
        </w:tc>
        <w:tc>
          <w:tcPr>
            <w:tcW w:w="1248" w:type="dxa"/>
            <w:noWrap/>
            <w:vAlign w:val="center"/>
            <w:hideMark/>
          </w:tcPr>
          <w:p w:rsidR="00897750" w:rsidRPr="007D14F3" w:rsidRDefault="00897750" w:rsidP="009C7202">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7D14F3">
              <w:rPr>
                <w:rFonts w:ascii="Times New Roman" w:eastAsia="Times New Roman" w:hAnsi="Times New Roman" w:cs="Times New Roman"/>
                <w:color w:val="000000"/>
                <w:sz w:val="24"/>
                <w:szCs w:val="24"/>
                <w:lang w:eastAsia="en-GB"/>
              </w:rPr>
              <w:t>0.82% (</w:t>
            </w:r>
            <w:proofErr w:type="gramStart"/>
            <w:r w:rsidRPr="007D14F3">
              <w:rPr>
                <w:rFonts w:ascii="Times New Roman" w:eastAsia="Times New Roman" w:hAnsi="Times New Roman" w:cs="Times New Roman"/>
                <w:color w:val="000000"/>
                <w:sz w:val="24"/>
                <w:szCs w:val="24"/>
                <w:lang w:eastAsia="en-GB"/>
              </w:rPr>
              <w:t>0.00)*</w:t>
            </w:r>
            <w:proofErr w:type="gramEnd"/>
            <w:r w:rsidRPr="007D14F3">
              <w:rPr>
                <w:rFonts w:ascii="Times New Roman" w:eastAsia="Times New Roman" w:hAnsi="Times New Roman" w:cs="Times New Roman"/>
                <w:color w:val="000000"/>
                <w:sz w:val="24"/>
                <w:szCs w:val="24"/>
                <w:lang w:eastAsia="en-GB"/>
              </w:rPr>
              <w:t>**</w:t>
            </w:r>
          </w:p>
        </w:tc>
        <w:tc>
          <w:tcPr>
            <w:tcW w:w="1252" w:type="dxa"/>
            <w:noWrap/>
            <w:vAlign w:val="center"/>
            <w:hideMark/>
          </w:tcPr>
          <w:p w:rsidR="00897750" w:rsidRPr="007D14F3" w:rsidRDefault="00897750" w:rsidP="009C7202">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7D14F3">
              <w:rPr>
                <w:rFonts w:ascii="Times New Roman" w:eastAsia="Times New Roman" w:hAnsi="Times New Roman" w:cs="Times New Roman"/>
                <w:color w:val="000000"/>
                <w:sz w:val="24"/>
                <w:szCs w:val="24"/>
                <w:lang w:eastAsia="en-GB"/>
              </w:rPr>
              <w:t>0.07% (0.86)</w:t>
            </w:r>
          </w:p>
        </w:tc>
        <w:tc>
          <w:tcPr>
            <w:tcW w:w="1228" w:type="dxa"/>
            <w:vAlign w:val="center"/>
          </w:tcPr>
          <w:p w:rsidR="00897750" w:rsidRPr="007D14F3" w:rsidRDefault="00897750" w:rsidP="009C7202">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7D14F3">
              <w:rPr>
                <w:rFonts w:ascii="Times New Roman" w:eastAsia="Times New Roman" w:hAnsi="Times New Roman" w:cs="Times New Roman"/>
                <w:color w:val="000000"/>
                <w:sz w:val="24"/>
                <w:szCs w:val="24"/>
                <w:lang w:eastAsia="en-GB"/>
              </w:rPr>
              <w:t>0.29%</w:t>
            </w:r>
          </w:p>
          <w:p w:rsidR="00897750" w:rsidRPr="007D14F3" w:rsidRDefault="00897750" w:rsidP="009C7202">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7D14F3">
              <w:rPr>
                <w:rFonts w:ascii="Times New Roman" w:eastAsia="Times New Roman" w:hAnsi="Times New Roman" w:cs="Times New Roman"/>
                <w:color w:val="000000"/>
                <w:sz w:val="24"/>
                <w:szCs w:val="24"/>
                <w:lang w:eastAsia="en-GB"/>
              </w:rPr>
              <w:t>(0.21)</w:t>
            </w:r>
          </w:p>
        </w:tc>
        <w:tc>
          <w:tcPr>
            <w:tcW w:w="1326" w:type="dxa"/>
            <w:noWrap/>
            <w:vAlign w:val="center"/>
            <w:hideMark/>
          </w:tcPr>
          <w:p w:rsidR="00897750" w:rsidRPr="007D14F3" w:rsidRDefault="00897750" w:rsidP="009C7202">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7D14F3">
              <w:rPr>
                <w:rFonts w:ascii="Times New Roman" w:eastAsia="Times New Roman" w:hAnsi="Times New Roman" w:cs="Times New Roman"/>
                <w:color w:val="000000"/>
                <w:sz w:val="24"/>
                <w:szCs w:val="24"/>
                <w:lang w:eastAsia="en-GB"/>
              </w:rPr>
              <w:t>0.53% (</w:t>
            </w:r>
            <w:proofErr w:type="gramStart"/>
            <w:r w:rsidRPr="007D14F3">
              <w:rPr>
                <w:rFonts w:ascii="Times New Roman" w:eastAsia="Times New Roman" w:hAnsi="Times New Roman" w:cs="Times New Roman"/>
                <w:color w:val="000000"/>
                <w:sz w:val="24"/>
                <w:szCs w:val="24"/>
                <w:lang w:eastAsia="en-GB"/>
              </w:rPr>
              <w:t>0.00)*</w:t>
            </w:r>
            <w:proofErr w:type="gramEnd"/>
            <w:r w:rsidRPr="007D14F3">
              <w:rPr>
                <w:rFonts w:ascii="Times New Roman" w:eastAsia="Times New Roman" w:hAnsi="Times New Roman" w:cs="Times New Roman"/>
                <w:color w:val="000000"/>
                <w:sz w:val="24"/>
                <w:szCs w:val="24"/>
                <w:lang w:eastAsia="en-GB"/>
              </w:rPr>
              <w:t>**</w:t>
            </w:r>
          </w:p>
        </w:tc>
        <w:tc>
          <w:tcPr>
            <w:tcW w:w="1326" w:type="dxa"/>
            <w:noWrap/>
            <w:vAlign w:val="center"/>
            <w:hideMark/>
          </w:tcPr>
          <w:p w:rsidR="00897750" w:rsidRPr="007D14F3" w:rsidRDefault="00897750" w:rsidP="009C7202">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7D14F3">
              <w:rPr>
                <w:rFonts w:ascii="Times New Roman" w:eastAsia="Times New Roman" w:hAnsi="Times New Roman" w:cs="Times New Roman"/>
                <w:color w:val="000000"/>
                <w:sz w:val="24"/>
                <w:szCs w:val="24"/>
                <w:lang w:eastAsia="en-GB"/>
              </w:rPr>
              <w:t>1.56% (</w:t>
            </w:r>
            <w:proofErr w:type="gramStart"/>
            <w:r w:rsidRPr="007D14F3">
              <w:rPr>
                <w:rFonts w:ascii="Times New Roman" w:eastAsia="Times New Roman" w:hAnsi="Times New Roman" w:cs="Times New Roman"/>
                <w:color w:val="000000"/>
                <w:sz w:val="24"/>
                <w:szCs w:val="24"/>
                <w:lang w:eastAsia="en-GB"/>
              </w:rPr>
              <w:t>0.00)*</w:t>
            </w:r>
            <w:proofErr w:type="gramEnd"/>
            <w:r w:rsidRPr="007D14F3">
              <w:rPr>
                <w:rFonts w:ascii="Times New Roman" w:eastAsia="Times New Roman" w:hAnsi="Times New Roman" w:cs="Times New Roman"/>
                <w:color w:val="000000"/>
                <w:sz w:val="24"/>
                <w:szCs w:val="24"/>
                <w:lang w:eastAsia="en-GB"/>
              </w:rPr>
              <w:t>**</w:t>
            </w:r>
          </w:p>
        </w:tc>
      </w:tr>
      <w:tr w:rsidR="00897750" w:rsidRPr="007D14F3" w:rsidTr="00897750">
        <w:trPr>
          <w:trHeight w:val="290"/>
          <w:jc w:val="center"/>
        </w:trPr>
        <w:tc>
          <w:tcPr>
            <w:cnfStyle w:val="001000000000" w:firstRow="0" w:lastRow="0" w:firstColumn="1" w:lastColumn="0" w:oddVBand="0" w:evenVBand="0" w:oddHBand="0" w:evenHBand="0" w:firstRowFirstColumn="0" w:firstRowLastColumn="0" w:lastRowFirstColumn="0" w:lastRowLastColumn="0"/>
            <w:tcW w:w="1676" w:type="dxa"/>
            <w:noWrap/>
            <w:vAlign w:val="center"/>
            <w:hideMark/>
          </w:tcPr>
          <w:p w:rsidR="00897750" w:rsidRPr="007D14F3" w:rsidRDefault="00897750" w:rsidP="009C7202">
            <w:pPr>
              <w:spacing w:before="120" w:after="120"/>
              <w:jc w:val="center"/>
              <w:rPr>
                <w:rFonts w:ascii="Times New Roman" w:eastAsia="Times New Roman" w:hAnsi="Times New Roman" w:cs="Times New Roman"/>
                <w:color w:val="000000"/>
                <w:sz w:val="24"/>
                <w:szCs w:val="24"/>
                <w:lang w:eastAsia="en-GB"/>
              </w:rPr>
            </w:pPr>
            <w:r w:rsidRPr="007D14F3">
              <w:rPr>
                <w:rFonts w:ascii="Times New Roman" w:eastAsia="Times New Roman" w:hAnsi="Times New Roman" w:cs="Times New Roman"/>
                <w:color w:val="000000"/>
                <w:sz w:val="24"/>
                <w:szCs w:val="24"/>
                <w:lang w:eastAsia="en-GB"/>
              </w:rPr>
              <w:t>Number of Observations</w:t>
            </w:r>
          </w:p>
        </w:tc>
        <w:tc>
          <w:tcPr>
            <w:tcW w:w="1326" w:type="dxa"/>
            <w:noWrap/>
            <w:vAlign w:val="center"/>
            <w:hideMark/>
          </w:tcPr>
          <w:p w:rsidR="00897750" w:rsidRPr="007D14F3" w:rsidRDefault="00897750" w:rsidP="009C7202">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7D14F3">
              <w:rPr>
                <w:rFonts w:ascii="Times New Roman" w:eastAsia="Times New Roman" w:hAnsi="Times New Roman" w:cs="Times New Roman"/>
                <w:color w:val="000000"/>
                <w:sz w:val="24"/>
                <w:szCs w:val="24"/>
                <w:lang w:eastAsia="en-GB"/>
              </w:rPr>
              <w:t>2613</w:t>
            </w:r>
          </w:p>
        </w:tc>
        <w:tc>
          <w:tcPr>
            <w:tcW w:w="1248" w:type="dxa"/>
            <w:noWrap/>
            <w:vAlign w:val="center"/>
            <w:hideMark/>
          </w:tcPr>
          <w:p w:rsidR="00897750" w:rsidRPr="007D14F3" w:rsidRDefault="00897750" w:rsidP="009C7202">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7D14F3">
              <w:rPr>
                <w:rFonts w:ascii="Times New Roman" w:eastAsia="Times New Roman" w:hAnsi="Times New Roman" w:cs="Times New Roman"/>
                <w:color w:val="000000"/>
                <w:sz w:val="24"/>
                <w:szCs w:val="24"/>
                <w:lang w:eastAsia="en-GB"/>
              </w:rPr>
              <w:t>1039</w:t>
            </w:r>
          </w:p>
        </w:tc>
        <w:tc>
          <w:tcPr>
            <w:tcW w:w="1252" w:type="dxa"/>
            <w:noWrap/>
            <w:vAlign w:val="center"/>
            <w:hideMark/>
          </w:tcPr>
          <w:p w:rsidR="00897750" w:rsidRPr="007D14F3" w:rsidRDefault="00897750" w:rsidP="009C7202">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7D14F3">
              <w:rPr>
                <w:rFonts w:ascii="Times New Roman" w:eastAsia="Times New Roman" w:hAnsi="Times New Roman" w:cs="Times New Roman"/>
                <w:color w:val="000000"/>
                <w:sz w:val="24"/>
                <w:szCs w:val="24"/>
                <w:lang w:eastAsia="en-GB"/>
              </w:rPr>
              <w:t>375</w:t>
            </w:r>
          </w:p>
        </w:tc>
        <w:tc>
          <w:tcPr>
            <w:tcW w:w="1228" w:type="dxa"/>
            <w:vAlign w:val="center"/>
          </w:tcPr>
          <w:p w:rsidR="00897750" w:rsidRPr="007D14F3" w:rsidRDefault="00897750" w:rsidP="009C7202">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7D14F3">
              <w:rPr>
                <w:rFonts w:ascii="Times New Roman" w:eastAsia="Times New Roman" w:hAnsi="Times New Roman" w:cs="Times New Roman"/>
                <w:color w:val="000000"/>
                <w:sz w:val="24"/>
                <w:szCs w:val="24"/>
                <w:lang w:eastAsia="en-GB"/>
              </w:rPr>
              <w:t>801</w:t>
            </w:r>
          </w:p>
        </w:tc>
        <w:tc>
          <w:tcPr>
            <w:tcW w:w="1326" w:type="dxa"/>
            <w:noWrap/>
            <w:vAlign w:val="center"/>
            <w:hideMark/>
          </w:tcPr>
          <w:p w:rsidR="00897750" w:rsidRPr="007D14F3" w:rsidRDefault="00897750" w:rsidP="009C7202">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7D14F3">
              <w:rPr>
                <w:rFonts w:ascii="Times New Roman" w:eastAsia="Times New Roman" w:hAnsi="Times New Roman" w:cs="Times New Roman"/>
                <w:color w:val="000000"/>
                <w:sz w:val="24"/>
                <w:szCs w:val="24"/>
                <w:lang w:eastAsia="en-GB"/>
              </w:rPr>
              <w:t>1564</w:t>
            </w:r>
          </w:p>
        </w:tc>
        <w:tc>
          <w:tcPr>
            <w:tcW w:w="1326" w:type="dxa"/>
            <w:noWrap/>
            <w:vAlign w:val="center"/>
            <w:hideMark/>
          </w:tcPr>
          <w:p w:rsidR="00897750" w:rsidRPr="007D14F3" w:rsidRDefault="00897750" w:rsidP="009C7202">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7D14F3">
              <w:rPr>
                <w:rFonts w:ascii="Times New Roman" w:eastAsia="Times New Roman" w:hAnsi="Times New Roman" w:cs="Times New Roman"/>
                <w:color w:val="000000"/>
                <w:sz w:val="24"/>
                <w:szCs w:val="24"/>
                <w:lang w:eastAsia="en-GB"/>
              </w:rPr>
              <w:t>227</w:t>
            </w:r>
          </w:p>
        </w:tc>
      </w:tr>
    </w:tbl>
    <w:p w:rsidR="00D822B9" w:rsidRPr="007D14F3" w:rsidRDefault="00D822B9" w:rsidP="009C7202">
      <w:pPr>
        <w:spacing w:before="120" w:after="120" w:line="240" w:lineRule="auto"/>
        <w:rPr>
          <w:rFonts w:ascii="Times New Roman" w:hAnsi="Times New Roman" w:cs="Times New Roman"/>
          <w:sz w:val="24"/>
          <w:szCs w:val="24"/>
        </w:rPr>
      </w:pPr>
    </w:p>
    <w:tbl>
      <w:tblPr>
        <w:tblStyle w:val="PlainTable5"/>
        <w:tblW w:w="9810" w:type="dxa"/>
        <w:jc w:val="center"/>
        <w:tblLayout w:type="fixed"/>
        <w:tblLook w:val="06A0" w:firstRow="1" w:lastRow="0" w:firstColumn="1" w:lastColumn="0" w:noHBand="1" w:noVBand="1"/>
      </w:tblPr>
      <w:tblGrid>
        <w:gridCol w:w="1800"/>
        <w:gridCol w:w="1890"/>
        <w:gridCol w:w="1890"/>
        <w:gridCol w:w="2160"/>
        <w:gridCol w:w="1800"/>
        <w:gridCol w:w="270"/>
      </w:tblGrid>
      <w:tr w:rsidR="009B1E95" w:rsidRPr="007D14F3" w:rsidTr="009C7202">
        <w:trPr>
          <w:gridAfter w:val="1"/>
          <w:cnfStyle w:val="100000000000" w:firstRow="1" w:lastRow="0" w:firstColumn="0" w:lastColumn="0" w:oddVBand="0" w:evenVBand="0" w:oddHBand="0" w:evenHBand="0" w:firstRowFirstColumn="0" w:firstRowLastColumn="0" w:lastRowFirstColumn="0" w:lastRowLastColumn="0"/>
          <w:wAfter w:w="270" w:type="dxa"/>
          <w:trHeight w:val="586"/>
          <w:jc w:val="center"/>
        </w:trPr>
        <w:tc>
          <w:tcPr>
            <w:cnfStyle w:val="001000000100" w:firstRow="0" w:lastRow="0" w:firstColumn="1" w:lastColumn="0" w:oddVBand="0" w:evenVBand="0" w:oddHBand="0" w:evenHBand="0" w:firstRowFirstColumn="1" w:firstRowLastColumn="0" w:lastRowFirstColumn="0" w:lastRowLastColumn="0"/>
            <w:tcW w:w="1800" w:type="dxa"/>
            <w:noWrap/>
            <w:vAlign w:val="center"/>
          </w:tcPr>
          <w:p w:rsidR="009B1E95" w:rsidRPr="007D14F3" w:rsidRDefault="00F5586D" w:rsidP="009C7202">
            <w:pPr>
              <w:spacing w:before="120" w:after="120"/>
              <w:jc w:val="center"/>
              <w:rPr>
                <w:rFonts w:ascii="Times New Roman" w:eastAsia="Times New Roman" w:hAnsi="Times New Roman" w:cs="Times New Roman"/>
                <w:sz w:val="24"/>
                <w:szCs w:val="24"/>
                <w:lang w:eastAsia="en-GB"/>
              </w:rPr>
            </w:pPr>
            <w:r w:rsidRPr="007D14F3">
              <w:rPr>
                <w:rFonts w:ascii="Times New Roman" w:eastAsia="Times New Roman" w:hAnsi="Times New Roman" w:cs="Times New Roman"/>
                <w:sz w:val="24"/>
                <w:szCs w:val="24"/>
                <w:lang w:eastAsia="en-GB"/>
              </w:rPr>
              <w:t>CAR (-1,1)</w:t>
            </w:r>
          </w:p>
        </w:tc>
        <w:tc>
          <w:tcPr>
            <w:tcW w:w="7740" w:type="dxa"/>
            <w:gridSpan w:val="4"/>
            <w:noWrap/>
            <w:vAlign w:val="center"/>
          </w:tcPr>
          <w:p w:rsidR="009B1E95" w:rsidRPr="007D14F3" w:rsidRDefault="009B1E95" w:rsidP="009C7202">
            <w:pPr>
              <w:spacing w:before="120" w:after="12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7D14F3">
              <w:rPr>
                <w:rFonts w:ascii="Times New Roman" w:eastAsia="Times New Roman" w:hAnsi="Times New Roman" w:cs="Times New Roman"/>
                <w:color w:val="000000"/>
                <w:sz w:val="24"/>
                <w:szCs w:val="24"/>
                <w:lang w:eastAsia="en-GB"/>
              </w:rPr>
              <w:t>Difference test</w:t>
            </w:r>
          </w:p>
        </w:tc>
      </w:tr>
      <w:tr w:rsidR="00912C48" w:rsidRPr="007D14F3" w:rsidTr="00912C48">
        <w:trPr>
          <w:trHeight w:val="586"/>
          <w:jc w:val="center"/>
        </w:trPr>
        <w:tc>
          <w:tcPr>
            <w:cnfStyle w:val="001000000000" w:firstRow="0" w:lastRow="0" w:firstColumn="1" w:lastColumn="0" w:oddVBand="0" w:evenVBand="0" w:oddHBand="0" w:evenHBand="0" w:firstRowFirstColumn="0" w:firstRowLastColumn="0" w:lastRowFirstColumn="0" w:lastRowLastColumn="0"/>
            <w:tcW w:w="1800" w:type="dxa"/>
            <w:noWrap/>
            <w:vAlign w:val="center"/>
            <w:hideMark/>
          </w:tcPr>
          <w:p w:rsidR="00F5586D" w:rsidRPr="007D14F3" w:rsidRDefault="00F5586D" w:rsidP="009C7202">
            <w:pPr>
              <w:spacing w:before="120" w:after="120"/>
              <w:jc w:val="center"/>
              <w:rPr>
                <w:rFonts w:ascii="Times New Roman" w:eastAsia="Times New Roman" w:hAnsi="Times New Roman" w:cs="Times New Roman"/>
                <w:sz w:val="24"/>
                <w:szCs w:val="24"/>
                <w:lang w:eastAsia="en-GB"/>
              </w:rPr>
            </w:pPr>
          </w:p>
        </w:tc>
        <w:tc>
          <w:tcPr>
            <w:tcW w:w="1890" w:type="dxa"/>
            <w:noWrap/>
            <w:vAlign w:val="center"/>
            <w:hideMark/>
          </w:tcPr>
          <w:p w:rsidR="00F5586D" w:rsidRPr="009C7202" w:rsidRDefault="00F5586D" w:rsidP="009C7202">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sz w:val="24"/>
                <w:szCs w:val="24"/>
                <w:lang w:eastAsia="en-GB"/>
              </w:rPr>
            </w:pPr>
            <w:r w:rsidRPr="009C7202">
              <w:rPr>
                <w:rFonts w:ascii="Times New Roman" w:eastAsia="Times New Roman" w:hAnsi="Times New Roman" w:cs="Times New Roman"/>
                <w:i/>
                <w:color w:val="000000"/>
                <w:sz w:val="24"/>
                <w:szCs w:val="24"/>
                <w:lang w:eastAsia="en-GB"/>
              </w:rPr>
              <w:t>Cash-Stock</w:t>
            </w:r>
          </w:p>
          <w:p w:rsidR="00F5586D" w:rsidRPr="009C7202" w:rsidRDefault="00F5586D" w:rsidP="009C7202">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sz w:val="24"/>
                <w:szCs w:val="24"/>
                <w:lang w:eastAsia="en-GB"/>
              </w:rPr>
            </w:pPr>
            <w:r w:rsidRPr="009C7202">
              <w:rPr>
                <w:rFonts w:ascii="Times New Roman" w:eastAsia="Times New Roman" w:hAnsi="Times New Roman" w:cs="Times New Roman"/>
                <w:i/>
                <w:color w:val="000000"/>
                <w:sz w:val="24"/>
                <w:szCs w:val="24"/>
                <w:lang w:eastAsia="en-GB"/>
              </w:rPr>
              <w:t>(2)-(3)</w:t>
            </w:r>
          </w:p>
        </w:tc>
        <w:tc>
          <w:tcPr>
            <w:tcW w:w="1890" w:type="dxa"/>
            <w:noWrap/>
            <w:vAlign w:val="center"/>
            <w:hideMark/>
          </w:tcPr>
          <w:p w:rsidR="00F5586D" w:rsidRPr="009C7202" w:rsidRDefault="00F5586D" w:rsidP="009C7202">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sz w:val="24"/>
                <w:szCs w:val="24"/>
                <w:lang w:eastAsia="en-GB"/>
              </w:rPr>
            </w:pPr>
            <w:r w:rsidRPr="009C7202">
              <w:rPr>
                <w:rFonts w:ascii="Times New Roman" w:eastAsia="Times New Roman" w:hAnsi="Times New Roman" w:cs="Times New Roman"/>
                <w:i/>
                <w:color w:val="000000"/>
                <w:sz w:val="24"/>
                <w:szCs w:val="24"/>
                <w:lang w:eastAsia="en-GB"/>
              </w:rPr>
              <w:t>Public-Private</w:t>
            </w:r>
          </w:p>
          <w:p w:rsidR="00F5586D" w:rsidRPr="009C7202" w:rsidRDefault="00F5586D" w:rsidP="009C7202">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sz w:val="24"/>
                <w:szCs w:val="24"/>
                <w:lang w:eastAsia="en-GB"/>
              </w:rPr>
            </w:pPr>
            <w:r w:rsidRPr="009C7202">
              <w:rPr>
                <w:rFonts w:ascii="Times New Roman" w:eastAsia="Times New Roman" w:hAnsi="Times New Roman" w:cs="Times New Roman"/>
                <w:i/>
                <w:color w:val="000000"/>
                <w:sz w:val="24"/>
                <w:szCs w:val="24"/>
                <w:lang w:eastAsia="en-GB"/>
              </w:rPr>
              <w:t>(4)-(5)</w:t>
            </w:r>
          </w:p>
        </w:tc>
        <w:tc>
          <w:tcPr>
            <w:tcW w:w="2160" w:type="dxa"/>
            <w:noWrap/>
            <w:vAlign w:val="center"/>
            <w:hideMark/>
          </w:tcPr>
          <w:p w:rsidR="00F5586D" w:rsidRPr="009C7202" w:rsidRDefault="00F5586D" w:rsidP="009C7202">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sz w:val="24"/>
                <w:szCs w:val="24"/>
                <w:lang w:eastAsia="en-GB"/>
              </w:rPr>
            </w:pPr>
            <w:r w:rsidRPr="009C7202">
              <w:rPr>
                <w:rFonts w:ascii="Times New Roman" w:eastAsia="Times New Roman" w:hAnsi="Times New Roman" w:cs="Times New Roman"/>
                <w:i/>
                <w:color w:val="000000"/>
                <w:sz w:val="24"/>
                <w:szCs w:val="24"/>
                <w:lang w:eastAsia="en-GB"/>
              </w:rPr>
              <w:t>Public-Subsidiary</w:t>
            </w:r>
          </w:p>
          <w:p w:rsidR="00F5586D" w:rsidRPr="009C7202" w:rsidRDefault="00F5586D" w:rsidP="009C7202">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sz w:val="24"/>
                <w:szCs w:val="24"/>
                <w:lang w:eastAsia="en-GB"/>
              </w:rPr>
            </w:pPr>
            <w:r w:rsidRPr="009C7202">
              <w:rPr>
                <w:rFonts w:ascii="Times New Roman" w:eastAsia="Times New Roman" w:hAnsi="Times New Roman" w:cs="Times New Roman"/>
                <w:i/>
                <w:color w:val="000000"/>
                <w:sz w:val="24"/>
                <w:szCs w:val="24"/>
                <w:lang w:eastAsia="en-GB"/>
              </w:rPr>
              <w:t>(4)-(6)</w:t>
            </w:r>
          </w:p>
        </w:tc>
        <w:tc>
          <w:tcPr>
            <w:tcW w:w="2070" w:type="dxa"/>
            <w:gridSpan w:val="2"/>
            <w:noWrap/>
            <w:vAlign w:val="center"/>
            <w:hideMark/>
          </w:tcPr>
          <w:p w:rsidR="00F5586D" w:rsidRPr="009C7202" w:rsidRDefault="00F5586D" w:rsidP="009C7202">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sz w:val="24"/>
                <w:szCs w:val="24"/>
                <w:lang w:eastAsia="en-GB"/>
              </w:rPr>
            </w:pPr>
            <w:r w:rsidRPr="009C7202">
              <w:rPr>
                <w:rFonts w:ascii="Times New Roman" w:eastAsia="Times New Roman" w:hAnsi="Times New Roman" w:cs="Times New Roman"/>
                <w:i/>
                <w:color w:val="000000"/>
                <w:sz w:val="24"/>
                <w:szCs w:val="24"/>
                <w:lang w:eastAsia="en-GB"/>
              </w:rPr>
              <w:t>Private-Subsidiary</w:t>
            </w:r>
          </w:p>
          <w:p w:rsidR="00F5586D" w:rsidRPr="009C7202" w:rsidRDefault="00F5586D" w:rsidP="009C7202">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000000"/>
                <w:sz w:val="24"/>
                <w:szCs w:val="24"/>
                <w:lang w:eastAsia="en-GB"/>
              </w:rPr>
            </w:pPr>
            <w:r w:rsidRPr="009C7202">
              <w:rPr>
                <w:rFonts w:ascii="Times New Roman" w:eastAsia="Times New Roman" w:hAnsi="Times New Roman" w:cs="Times New Roman"/>
                <w:i/>
                <w:color w:val="000000"/>
                <w:sz w:val="24"/>
                <w:szCs w:val="24"/>
                <w:lang w:eastAsia="en-GB"/>
              </w:rPr>
              <w:t>(5)-(6)</w:t>
            </w:r>
          </w:p>
        </w:tc>
      </w:tr>
      <w:tr w:rsidR="00912C48" w:rsidRPr="007D14F3" w:rsidTr="00912C48">
        <w:trPr>
          <w:trHeight w:val="586"/>
          <w:jc w:val="center"/>
        </w:trPr>
        <w:tc>
          <w:tcPr>
            <w:cnfStyle w:val="001000000000" w:firstRow="0" w:lastRow="0" w:firstColumn="1" w:lastColumn="0" w:oddVBand="0" w:evenVBand="0" w:oddHBand="0" w:evenHBand="0" w:firstRowFirstColumn="0" w:firstRowLastColumn="0" w:lastRowFirstColumn="0" w:lastRowLastColumn="0"/>
            <w:tcW w:w="1800" w:type="dxa"/>
            <w:noWrap/>
            <w:vAlign w:val="center"/>
            <w:hideMark/>
          </w:tcPr>
          <w:p w:rsidR="00F5586D" w:rsidRPr="007D14F3" w:rsidRDefault="00F5586D" w:rsidP="009C7202">
            <w:pPr>
              <w:spacing w:before="120" w:after="120"/>
              <w:jc w:val="center"/>
              <w:rPr>
                <w:rFonts w:ascii="Times New Roman" w:eastAsia="Times New Roman" w:hAnsi="Times New Roman" w:cs="Times New Roman"/>
                <w:color w:val="000000"/>
                <w:sz w:val="24"/>
                <w:szCs w:val="24"/>
                <w:lang w:eastAsia="en-GB"/>
              </w:rPr>
            </w:pPr>
            <w:r w:rsidRPr="007D14F3">
              <w:rPr>
                <w:rFonts w:ascii="Times New Roman" w:eastAsia="Times New Roman" w:hAnsi="Times New Roman" w:cs="Times New Roman"/>
                <w:color w:val="000000"/>
                <w:sz w:val="24"/>
                <w:szCs w:val="24"/>
                <w:lang w:eastAsia="en-GB"/>
              </w:rPr>
              <w:t>Difference</w:t>
            </w:r>
          </w:p>
        </w:tc>
        <w:tc>
          <w:tcPr>
            <w:tcW w:w="1890" w:type="dxa"/>
            <w:noWrap/>
            <w:vAlign w:val="center"/>
            <w:hideMark/>
          </w:tcPr>
          <w:p w:rsidR="00F5586D" w:rsidRPr="007D14F3" w:rsidRDefault="00F5586D" w:rsidP="009C7202">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7D14F3">
              <w:rPr>
                <w:rFonts w:ascii="Times New Roman" w:eastAsia="Times New Roman" w:hAnsi="Times New Roman" w:cs="Times New Roman"/>
                <w:color w:val="000000"/>
                <w:sz w:val="24"/>
                <w:szCs w:val="24"/>
                <w:lang w:eastAsia="en-GB"/>
              </w:rPr>
              <w:t>0.</w:t>
            </w:r>
            <w:r w:rsidR="008379B9" w:rsidRPr="007D14F3">
              <w:rPr>
                <w:rFonts w:ascii="Times New Roman" w:eastAsia="Times New Roman" w:hAnsi="Times New Roman" w:cs="Times New Roman"/>
                <w:color w:val="000000"/>
                <w:sz w:val="24"/>
                <w:szCs w:val="24"/>
                <w:lang w:eastAsia="en-GB"/>
              </w:rPr>
              <w:t>75</w:t>
            </w:r>
            <w:r w:rsidRPr="007D14F3">
              <w:rPr>
                <w:rFonts w:ascii="Times New Roman" w:eastAsia="Times New Roman" w:hAnsi="Times New Roman" w:cs="Times New Roman"/>
                <w:color w:val="000000"/>
                <w:sz w:val="24"/>
                <w:szCs w:val="24"/>
                <w:lang w:eastAsia="en-GB"/>
              </w:rPr>
              <w:t>%</w:t>
            </w:r>
            <w:r w:rsidR="009C7202">
              <w:rPr>
                <w:rFonts w:ascii="Times New Roman" w:eastAsia="Times New Roman" w:hAnsi="Times New Roman" w:cs="Times New Roman"/>
                <w:color w:val="000000"/>
                <w:sz w:val="24"/>
                <w:szCs w:val="24"/>
                <w:lang w:eastAsia="en-GB"/>
              </w:rPr>
              <w:t xml:space="preserve"> </w:t>
            </w:r>
            <w:r w:rsidRPr="007D14F3">
              <w:rPr>
                <w:rFonts w:ascii="Times New Roman" w:eastAsia="Times New Roman" w:hAnsi="Times New Roman" w:cs="Times New Roman"/>
                <w:color w:val="000000"/>
                <w:sz w:val="24"/>
                <w:szCs w:val="24"/>
                <w:lang w:eastAsia="en-GB"/>
              </w:rPr>
              <w:t>(</w:t>
            </w:r>
            <w:proofErr w:type="gramStart"/>
            <w:r w:rsidRPr="007D14F3">
              <w:rPr>
                <w:rFonts w:ascii="Times New Roman" w:eastAsia="Times New Roman" w:hAnsi="Times New Roman" w:cs="Times New Roman"/>
                <w:color w:val="000000"/>
                <w:sz w:val="24"/>
                <w:szCs w:val="24"/>
                <w:lang w:eastAsia="en-GB"/>
              </w:rPr>
              <w:t>0.0</w:t>
            </w:r>
            <w:r w:rsidR="008379B9" w:rsidRPr="007D14F3">
              <w:rPr>
                <w:rFonts w:ascii="Times New Roman" w:eastAsia="Times New Roman" w:hAnsi="Times New Roman" w:cs="Times New Roman"/>
                <w:color w:val="000000"/>
                <w:sz w:val="24"/>
                <w:szCs w:val="24"/>
                <w:lang w:eastAsia="en-GB"/>
              </w:rPr>
              <w:t>4</w:t>
            </w:r>
            <w:r w:rsidRPr="007D14F3">
              <w:rPr>
                <w:rFonts w:ascii="Times New Roman" w:eastAsia="Times New Roman" w:hAnsi="Times New Roman" w:cs="Times New Roman"/>
                <w:color w:val="000000"/>
                <w:sz w:val="24"/>
                <w:szCs w:val="24"/>
                <w:lang w:eastAsia="en-GB"/>
              </w:rPr>
              <w:t>)*</w:t>
            </w:r>
            <w:proofErr w:type="gramEnd"/>
            <w:r w:rsidRPr="007D14F3">
              <w:rPr>
                <w:rFonts w:ascii="Times New Roman" w:eastAsia="Times New Roman" w:hAnsi="Times New Roman" w:cs="Times New Roman"/>
                <w:color w:val="000000"/>
                <w:sz w:val="24"/>
                <w:szCs w:val="24"/>
                <w:lang w:eastAsia="en-GB"/>
              </w:rPr>
              <w:t>*</w:t>
            </w:r>
          </w:p>
        </w:tc>
        <w:tc>
          <w:tcPr>
            <w:tcW w:w="1890" w:type="dxa"/>
            <w:noWrap/>
            <w:vAlign w:val="center"/>
            <w:hideMark/>
          </w:tcPr>
          <w:p w:rsidR="00F5586D" w:rsidRPr="007D14F3" w:rsidRDefault="00F5586D" w:rsidP="009C7202">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7D14F3">
              <w:rPr>
                <w:rFonts w:ascii="Times New Roman" w:eastAsia="Times New Roman" w:hAnsi="Times New Roman" w:cs="Times New Roman"/>
                <w:color w:val="000000"/>
                <w:sz w:val="24"/>
                <w:szCs w:val="24"/>
                <w:lang w:eastAsia="en-GB"/>
              </w:rPr>
              <w:t>-0.2</w:t>
            </w:r>
            <w:r w:rsidR="00001E5B" w:rsidRPr="007D14F3">
              <w:rPr>
                <w:rFonts w:ascii="Times New Roman" w:eastAsia="Times New Roman" w:hAnsi="Times New Roman" w:cs="Times New Roman"/>
                <w:color w:val="000000"/>
                <w:sz w:val="24"/>
                <w:szCs w:val="24"/>
                <w:lang w:eastAsia="en-GB"/>
              </w:rPr>
              <w:t>4</w:t>
            </w:r>
            <w:r w:rsidR="009C7202">
              <w:rPr>
                <w:rFonts w:ascii="Times New Roman" w:eastAsia="Times New Roman" w:hAnsi="Times New Roman" w:cs="Times New Roman"/>
                <w:color w:val="000000"/>
                <w:sz w:val="24"/>
                <w:szCs w:val="24"/>
                <w:lang w:eastAsia="en-GB"/>
              </w:rPr>
              <w:t xml:space="preserve">% </w:t>
            </w:r>
            <w:r w:rsidRPr="007D14F3">
              <w:rPr>
                <w:rFonts w:ascii="Times New Roman" w:eastAsia="Times New Roman" w:hAnsi="Times New Roman" w:cs="Times New Roman"/>
                <w:color w:val="000000"/>
                <w:sz w:val="24"/>
                <w:szCs w:val="24"/>
                <w:lang w:eastAsia="en-GB"/>
              </w:rPr>
              <w:t>(0.3</w:t>
            </w:r>
            <w:r w:rsidR="00001E5B" w:rsidRPr="007D14F3">
              <w:rPr>
                <w:rFonts w:ascii="Times New Roman" w:eastAsia="Times New Roman" w:hAnsi="Times New Roman" w:cs="Times New Roman"/>
                <w:color w:val="000000"/>
                <w:sz w:val="24"/>
                <w:szCs w:val="24"/>
                <w:lang w:eastAsia="en-GB"/>
              </w:rPr>
              <w:t>0</w:t>
            </w:r>
            <w:r w:rsidRPr="007D14F3">
              <w:rPr>
                <w:rFonts w:ascii="Times New Roman" w:eastAsia="Times New Roman" w:hAnsi="Times New Roman" w:cs="Times New Roman"/>
                <w:color w:val="000000"/>
                <w:sz w:val="24"/>
                <w:szCs w:val="24"/>
                <w:lang w:eastAsia="en-GB"/>
              </w:rPr>
              <w:t>)</w:t>
            </w:r>
          </w:p>
        </w:tc>
        <w:tc>
          <w:tcPr>
            <w:tcW w:w="2160" w:type="dxa"/>
            <w:noWrap/>
            <w:vAlign w:val="center"/>
            <w:hideMark/>
          </w:tcPr>
          <w:p w:rsidR="00F5586D" w:rsidRPr="007D14F3" w:rsidRDefault="00F5586D" w:rsidP="009C7202">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7D14F3">
              <w:rPr>
                <w:rFonts w:ascii="Times New Roman" w:eastAsia="Times New Roman" w:hAnsi="Times New Roman" w:cs="Times New Roman"/>
                <w:color w:val="000000"/>
                <w:sz w:val="24"/>
                <w:szCs w:val="24"/>
                <w:lang w:eastAsia="en-GB"/>
              </w:rPr>
              <w:t>-1.</w:t>
            </w:r>
            <w:r w:rsidR="008379B9" w:rsidRPr="007D14F3">
              <w:rPr>
                <w:rFonts w:ascii="Times New Roman" w:eastAsia="Times New Roman" w:hAnsi="Times New Roman" w:cs="Times New Roman"/>
                <w:color w:val="000000"/>
                <w:sz w:val="24"/>
                <w:szCs w:val="24"/>
                <w:lang w:eastAsia="en-GB"/>
              </w:rPr>
              <w:t>27</w:t>
            </w:r>
            <w:r w:rsidRPr="007D14F3">
              <w:rPr>
                <w:rFonts w:ascii="Times New Roman" w:eastAsia="Times New Roman" w:hAnsi="Times New Roman" w:cs="Times New Roman"/>
                <w:color w:val="000000"/>
                <w:sz w:val="24"/>
                <w:szCs w:val="24"/>
                <w:lang w:eastAsia="en-GB"/>
              </w:rPr>
              <w:t>% (</w:t>
            </w:r>
            <w:proofErr w:type="gramStart"/>
            <w:r w:rsidRPr="007D14F3">
              <w:rPr>
                <w:rFonts w:ascii="Times New Roman" w:eastAsia="Times New Roman" w:hAnsi="Times New Roman" w:cs="Times New Roman"/>
                <w:color w:val="000000"/>
                <w:sz w:val="24"/>
                <w:szCs w:val="24"/>
                <w:lang w:eastAsia="en-GB"/>
              </w:rPr>
              <w:t>0.00)*</w:t>
            </w:r>
            <w:proofErr w:type="gramEnd"/>
            <w:r w:rsidRPr="007D14F3">
              <w:rPr>
                <w:rFonts w:ascii="Times New Roman" w:eastAsia="Times New Roman" w:hAnsi="Times New Roman" w:cs="Times New Roman"/>
                <w:color w:val="000000"/>
                <w:sz w:val="24"/>
                <w:szCs w:val="24"/>
                <w:lang w:eastAsia="en-GB"/>
              </w:rPr>
              <w:t>**</w:t>
            </w:r>
          </w:p>
        </w:tc>
        <w:tc>
          <w:tcPr>
            <w:tcW w:w="2070" w:type="dxa"/>
            <w:gridSpan w:val="2"/>
            <w:noWrap/>
            <w:vAlign w:val="center"/>
            <w:hideMark/>
          </w:tcPr>
          <w:p w:rsidR="00F5586D" w:rsidRPr="007D14F3" w:rsidRDefault="00F5586D" w:rsidP="009C7202">
            <w:pPr>
              <w:spacing w:before="120" w:after="12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7D14F3">
              <w:rPr>
                <w:rFonts w:ascii="Times New Roman" w:eastAsia="Times New Roman" w:hAnsi="Times New Roman" w:cs="Times New Roman"/>
                <w:color w:val="000000"/>
                <w:sz w:val="24"/>
                <w:szCs w:val="24"/>
                <w:lang w:eastAsia="en-GB"/>
              </w:rPr>
              <w:t>-1.</w:t>
            </w:r>
            <w:r w:rsidR="008379B9" w:rsidRPr="007D14F3">
              <w:rPr>
                <w:rFonts w:ascii="Times New Roman" w:eastAsia="Times New Roman" w:hAnsi="Times New Roman" w:cs="Times New Roman"/>
                <w:color w:val="000000"/>
                <w:sz w:val="24"/>
                <w:szCs w:val="24"/>
                <w:lang w:eastAsia="en-GB"/>
              </w:rPr>
              <w:t>03</w:t>
            </w:r>
            <w:r w:rsidRPr="007D14F3">
              <w:rPr>
                <w:rFonts w:ascii="Times New Roman" w:eastAsia="Times New Roman" w:hAnsi="Times New Roman" w:cs="Times New Roman"/>
                <w:color w:val="000000"/>
                <w:sz w:val="24"/>
                <w:szCs w:val="24"/>
                <w:lang w:eastAsia="en-GB"/>
              </w:rPr>
              <w:t>% (</w:t>
            </w:r>
            <w:proofErr w:type="gramStart"/>
            <w:r w:rsidRPr="007D14F3">
              <w:rPr>
                <w:rFonts w:ascii="Times New Roman" w:eastAsia="Times New Roman" w:hAnsi="Times New Roman" w:cs="Times New Roman"/>
                <w:color w:val="000000"/>
                <w:sz w:val="24"/>
                <w:szCs w:val="24"/>
                <w:lang w:eastAsia="en-GB"/>
              </w:rPr>
              <w:t>0.00)*</w:t>
            </w:r>
            <w:proofErr w:type="gramEnd"/>
            <w:r w:rsidRPr="007D14F3">
              <w:rPr>
                <w:rFonts w:ascii="Times New Roman" w:eastAsia="Times New Roman" w:hAnsi="Times New Roman" w:cs="Times New Roman"/>
                <w:color w:val="000000"/>
                <w:sz w:val="24"/>
                <w:szCs w:val="24"/>
                <w:lang w:eastAsia="en-GB"/>
              </w:rPr>
              <w:t>**</w:t>
            </w:r>
          </w:p>
        </w:tc>
      </w:tr>
    </w:tbl>
    <w:p w:rsidR="009B1E95" w:rsidRPr="007D14F3" w:rsidRDefault="009B1E95" w:rsidP="009C7202">
      <w:pPr>
        <w:spacing w:before="120" w:after="120" w:line="240" w:lineRule="auto"/>
        <w:rPr>
          <w:rFonts w:ascii="Times New Roman" w:hAnsi="Times New Roman" w:cs="Times New Roman"/>
          <w:sz w:val="24"/>
          <w:szCs w:val="24"/>
        </w:rPr>
      </w:pPr>
    </w:p>
    <w:p w:rsidR="005F2CC8" w:rsidRPr="005E40C0" w:rsidRDefault="005035EE" w:rsidP="005E40C0">
      <w:pPr>
        <w:spacing w:before="120" w:after="120" w:line="240" w:lineRule="auto"/>
        <w:jc w:val="both"/>
        <w:rPr>
          <w:rFonts w:ascii="Times New Roman" w:hAnsi="Times New Roman" w:cs="Times New Roman"/>
          <w:sz w:val="24"/>
          <w:szCs w:val="24"/>
        </w:rPr>
      </w:pPr>
      <w:r w:rsidRPr="007D14F3">
        <w:rPr>
          <w:rFonts w:ascii="Times New Roman" w:hAnsi="Times New Roman" w:cs="Times New Roman"/>
          <w:sz w:val="24"/>
          <w:szCs w:val="24"/>
        </w:rPr>
        <w:t>An</w:t>
      </w:r>
      <w:r w:rsidR="00611768" w:rsidRPr="007D14F3">
        <w:rPr>
          <w:rFonts w:ascii="Times New Roman" w:hAnsi="Times New Roman" w:cs="Times New Roman"/>
          <w:sz w:val="24"/>
          <w:szCs w:val="24"/>
        </w:rPr>
        <w:t xml:space="preserve"> average board in the sample is not-classified</w:t>
      </w:r>
      <w:r w:rsidR="001B380A" w:rsidRPr="007D14F3">
        <w:rPr>
          <w:rFonts w:ascii="Times New Roman" w:hAnsi="Times New Roman" w:cs="Times New Roman"/>
          <w:sz w:val="24"/>
          <w:szCs w:val="24"/>
        </w:rPr>
        <w:t xml:space="preserve">, </w:t>
      </w:r>
      <w:r w:rsidR="00611768" w:rsidRPr="007D14F3">
        <w:rPr>
          <w:rFonts w:ascii="Times New Roman" w:hAnsi="Times New Roman" w:cs="Times New Roman"/>
          <w:sz w:val="24"/>
          <w:szCs w:val="24"/>
        </w:rPr>
        <w:t xml:space="preserve">consists of 9.31 board members, 79% of which are independent </w:t>
      </w:r>
      <w:r w:rsidR="00E24A13" w:rsidRPr="007D14F3">
        <w:rPr>
          <w:rFonts w:ascii="Times New Roman" w:hAnsi="Times New Roman" w:cs="Times New Roman"/>
          <w:sz w:val="24"/>
          <w:szCs w:val="24"/>
        </w:rPr>
        <w:t>directors</w:t>
      </w:r>
      <w:r w:rsidR="00611768" w:rsidRPr="007D14F3">
        <w:rPr>
          <w:rFonts w:ascii="Times New Roman" w:hAnsi="Times New Roman" w:cs="Times New Roman"/>
          <w:sz w:val="24"/>
          <w:szCs w:val="24"/>
        </w:rPr>
        <w:t xml:space="preserve"> and 13% women. The CEO was also the chairman of the board of the acquiring company in 49% of the deals.</w:t>
      </w:r>
      <w:r w:rsidR="005B6223" w:rsidRPr="007D14F3">
        <w:rPr>
          <w:rFonts w:ascii="Times New Roman" w:hAnsi="Times New Roman" w:cs="Times New Roman"/>
          <w:sz w:val="24"/>
          <w:szCs w:val="24"/>
        </w:rPr>
        <w:t xml:space="preserve"> </w:t>
      </w:r>
      <w:r w:rsidR="00E24FF1" w:rsidRPr="007D14F3">
        <w:rPr>
          <w:rFonts w:ascii="Times New Roman" w:hAnsi="Times New Roman" w:cs="Times New Roman"/>
          <w:sz w:val="24"/>
          <w:szCs w:val="24"/>
        </w:rPr>
        <w:t xml:space="preserve">The average </w:t>
      </w:r>
      <w:r w:rsidR="00E24A13" w:rsidRPr="007D14F3">
        <w:rPr>
          <w:rFonts w:ascii="Times New Roman" w:hAnsi="Times New Roman" w:cs="Times New Roman"/>
          <w:sz w:val="24"/>
          <w:szCs w:val="24"/>
        </w:rPr>
        <w:t>acquirer</w:t>
      </w:r>
      <w:r w:rsidR="00E24FF1" w:rsidRPr="007D14F3">
        <w:rPr>
          <w:rFonts w:ascii="Times New Roman" w:hAnsi="Times New Roman" w:cs="Times New Roman"/>
          <w:sz w:val="24"/>
          <w:szCs w:val="24"/>
        </w:rPr>
        <w:t xml:space="preserve"> had a </w:t>
      </w:r>
      <w:r w:rsidR="00E24A13" w:rsidRPr="007D14F3">
        <w:rPr>
          <w:rFonts w:ascii="Times New Roman" w:hAnsi="Times New Roman" w:cs="Times New Roman"/>
          <w:sz w:val="24"/>
          <w:szCs w:val="24"/>
        </w:rPr>
        <w:t>leverage</w:t>
      </w:r>
      <w:r w:rsidR="00E24FF1" w:rsidRPr="007D14F3">
        <w:rPr>
          <w:rFonts w:ascii="Times New Roman" w:hAnsi="Times New Roman" w:cs="Times New Roman"/>
          <w:sz w:val="24"/>
          <w:szCs w:val="24"/>
        </w:rPr>
        <w:t xml:space="preserve"> of 0.22</w:t>
      </w:r>
      <w:r w:rsidR="001A762A" w:rsidRPr="007D14F3">
        <w:rPr>
          <w:rFonts w:ascii="Times New Roman" w:hAnsi="Times New Roman" w:cs="Times New Roman"/>
          <w:sz w:val="24"/>
          <w:szCs w:val="24"/>
        </w:rPr>
        <w:t>, free cash flow</w:t>
      </w:r>
      <w:r w:rsidR="00FB071B" w:rsidRPr="007D14F3">
        <w:rPr>
          <w:rFonts w:ascii="Times New Roman" w:hAnsi="Times New Roman" w:cs="Times New Roman"/>
          <w:sz w:val="24"/>
          <w:szCs w:val="24"/>
        </w:rPr>
        <w:t xml:space="preserve"> scaled by </w:t>
      </w:r>
      <w:r w:rsidR="00962FA1" w:rsidRPr="007D14F3">
        <w:rPr>
          <w:rFonts w:ascii="Times New Roman" w:hAnsi="Times New Roman" w:cs="Times New Roman"/>
          <w:sz w:val="24"/>
          <w:szCs w:val="24"/>
        </w:rPr>
        <w:t xml:space="preserve">the </w:t>
      </w:r>
      <w:r w:rsidR="00FB071B" w:rsidRPr="007D14F3">
        <w:rPr>
          <w:rFonts w:ascii="Times New Roman" w:hAnsi="Times New Roman" w:cs="Times New Roman"/>
          <w:noProof/>
          <w:sz w:val="24"/>
          <w:szCs w:val="24"/>
        </w:rPr>
        <w:t>firm</w:t>
      </w:r>
      <w:r w:rsidR="00FB071B" w:rsidRPr="007D14F3">
        <w:rPr>
          <w:rFonts w:ascii="Times New Roman" w:hAnsi="Times New Roman" w:cs="Times New Roman"/>
          <w:sz w:val="24"/>
          <w:szCs w:val="24"/>
        </w:rPr>
        <w:t xml:space="preserve"> size</w:t>
      </w:r>
      <w:r w:rsidR="001A762A" w:rsidRPr="007D14F3">
        <w:rPr>
          <w:rFonts w:ascii="Times New Roman" w:hAnsi="Times New Roman" w:cs="Times New Roman"/>
          <w:sz w:val="24"/>
          <w:szCs w:val="24"/>
        </w:rPr>
        <w:t xml:space="preserve"> of </w:t>
      </w:r>
      <w:r w:rsidR="00FB071B" w:rsidRPr="007D14F3">
        <w:rPr>
          <w:rFonts w:ascii="Times New Roman" w:hAnsi="Times New Roman" w:cs="Times New Roman"/>
          <w:sz w:val="24"/>
          <w:szCs w:val="24"/>
        </w:rPr>
        <w:t>0.06</w:t>
      </w:r>
      <w:r w:rsidRPr="007D14F3">
        <w:rPr>
          <w:rFonts w:ascii="Times New Roman" w:hAnsi="Times New Roman" w:cs="Times New Roman"/>
          <w:sz w:val="24"/>
          <w:szCs w:val="24"/>
        </w:rPr>
        <w:t xml:space="preserve">, Tobin’s q equal to </w:t>
      </w:r>
      <w:r w:rsidR="001A762A" w:rsidRPr="007D14F3">
        <w:rPr>
          <w:rFonts w:ascii="Times New Roman" w:hAnsi="Times New Roman" w:cs="Times New Roman"/>
          <w:sz w:val="24"/>
          <w:szCs w:val="24"/>
        </w:rPr>
        <w:t xml:space="preserve">1.51 and logarithm of </w:t>
      </w:r>
      <w:r w:rsidR="002A06B4" w:rsidRPr="007D14F3">
        <w:rPr>
          <w:rFonts w:ascii="Times New Roman" w:hAnsi="Times New Roman" w:cs="Times New Roman"/>
          <w:sz w:val="24"/>
          <w:szCs w:val="24"/>
        </w:rPr>
        <w:t>firm’s</w:t>
      </w:r>
      <w:r w:rsidR="001A762A" w:rsidRPr="007D14F3">
        <w:rPr>
          <w:rFonts w:ascii="Times New Roman" w:hAnsi="Times New Roman" w:cs="Times New Roman"/>
          <w:sz w:val="24"/>
          <w:szCs w:val="24"/>
        </w:rPr>
        <w:t xml:space="preserve"> assets to 3.6.</w:t>
      </w:r>
      <w:r w:rsidR="008D5A7A" w:rsidRPr="007D14F3">
        <w:rPr>
          <w:rFonts w:ascii="Times New Roman" w:hAnsi="Times New Roman" w:cs="Times New Roman"/>
          <w:sz w:val="24"/>
          <w:szCs w:val="24"/>
        </w:rPr>
        <w:t xml:space="preserve"> The relative deal size amounts to 13%, 53% of targets operated in the same industry as the </w:t>
      </w:r>
      <w:r w:rsidR="00E24A13" w:rsidRPr="007D14F3">
        <w:rPr>
          <w:rFonts w:ascii="Times New Roman" w:hAnsi="Times New Roman" w:cs="Times New Roman"/>
          <w:sz w:val="24"/>
          <w:szCs w:val="24"/>
        </w:rPr>
        <w:t>acquirers</w:t>
      </w:r>
      <w:r w:rsidR="008D5A7A" w:rsidRPr="007D14F3">
        <w:rPr>
          <w:rFonts w:ascii="Times New Roman" w:hAnsi="Times New Roman" w:cs="Times New Roman"/>
          <w:sz w:val="24"/>
          <w:szCs w:val="24"/>
        </w:rPr>
        <w:t xml:space="preserve">. 60% of the targets were private, and 9% subsidiary of the bidder. Out of all </w:t>
      </w:r>
      <w:r w:rsidR="008D5A7A" w:rsidRPr="007D14F3">
        <w:rPr>
          <w:rFonts w:ascii="Times New Roman" w:hAnsi="Times New Roman" w:cs="Times New Roman"/>
          <w:noProof/>
          <w:sz w:val="24"/>
          <w:szCs w:val="24"/>
        </w:rPr>
        <w:t>deals</w:t>
      </w:r>
      <w:r w:rsidR="00962FA1" w:rsidRPr="007D14F3">
        <w:rPr>
          <w:rFonts w:ascii="Times New Roman" w:hAnsi="Times New Roman" w:cs="Times New Roman"/>
          <w:noProof/>
          <w:sz w:val="24"/>
          <w:szCs w:val="24"/>
        </w:rPr>
        <w:t>,</w:t>
      </w:r>
      <w:r w:rsidR="008D5A7A" w:rsidRPr="007D14F3">
        <w:rPr>
          <w:rFonts w:ascii="Times New Roman" w:hAnsi="Times New Roman" w:cs="Times New Roman"/>
          <w:sz w:val="24"/>
          <w:szCs w:val="24"/>
        </w:rPr>
        <w:t xml:space="preserve"> 9% were paid fully in cash and 14% in at least 10% of </w:t>
      </w:r>
      <w:r w:rsidR="00962FA1" w:rsidRPr="007D14F3">
        <w:rPr>
          <w:rFonts w:ascii="Times New Roman" w:hAnsi="Times New Roman" w:cs="Times New Roman"/>
          <w:sz w:val="24"/>
          <w:szCs w:val="24"/>
        </w:rPr>
        <w:t xml:space="preserve">the </w:t>
      </w:r>
      <w:r w:rsidR="008D5A7A" w:rsidRPr="007D14F3">
        <w:rPr>
          <w:rFonts w:ascii="Times New Roman" w:hAnsi="Times New Roman" w:cs="Times New Roman"/>
          <w:noProof/>
          <w:sz w:val="24"/>
          <w:szCs w:val="24"/>
        </w:rPr>
        <w:t>stock</w:t>
      </w:r>
      <w:r w:rsidR="008D5A7A" w:rsidRPr="007D14F3">
        <w:rPr>
          <w:rFonts w:ascii="Times New Roman" w:hAnsi="Times New Roman" w:cs="Times New Roman"/>
          <w:sz w:val="24"/>
          <w:szCs w:val="24"/>
        </w:rPr>
        <w:t>.</w:t>
      </w:r>
      <w:r w:rsidR="005F2CC8" w:rsidRPr="007D14F3">
        <w:rPr>
          <w:rFonts w:ascii="Times New Roman" w:hAnsi="Times New Roman" w:cs="Times New Roman"/>
          <w:b/>
          <w:sz w:val="24"/>
          <w:szCs w:val="24"/>
        </w:rPr>
        <w:br w:type="page"/>
      </w:r>
    </w:p>
    <w:p w:rsidR="00B968D8" w:rsidRPr="007D14F3" w:rsidRDefault="006D481A" w:rsidP="009C7202">
      <w:pPr>
        <w:pStyle w:val="ListParagraph"/>
        <w:spacing w:after="0"/>
        <w:ind w:left="360"/>
        <w:contextualSpacing w:val="0"/>
        <w:jc w:val="center"/>
        <w:rPr>
          <w:rFonts w:ascii="Times New Roman" w:hAnsi="Times New Roman" w:cs="Times New Roman"/>
          <w:b/>
          <w:sz w:val="24"/>
          <w:szCs w:val="24"/>
        </w:rPr>
      </w:pPr>
      <w:r w:rsidRPr="007D14F3">
        <w:rPr>
          <w:rFonts w:ascii="Times New Roman" w:hAnsi="Times New Roman" w:cs="Times New Roman"/>
          <w:b/>
          <w:sz w:val="24"/>
          <w:szCs w:val="24"/>
        </w:rPr>
        <w:lastRenderedPageBreak/>
        <w:t>Table III</w:t>
      </w:r>
    </w:p>
    <w:p w:rsidR="008E7E97" w:rsidRPr="007D14F3" w:rsidRDefault="00B968D8" w:rsidP="009C7202">
      <w:pPr>
        <w:pStyle w:val="ListParagraph"/>
        <w:spacing w:before="120"/>
        <w:ind w:left="360"/>
        <w:contextualSpacing w:val="0"/>
        <w:jc w:val="center"/>
        <w:rPr>
          <w:rFonts w:ascii="Times New Roman" w:hAnsi="Times New Roman" w:cs="Times New Roman"/>
          <w:sz w:val="24"/>
          <w:szCs w:val="24"/>
        </w:rPr>
      </w:pPr>
      <w:r w:rsidRPr="007D14F3">
        <w:rPr>
          <w:rFonts w:ascii="Times New Roman" w:hAnsi="Times New Roman" w:cs="Times New Roman"/>
          <w:b/>
          <w:sz w:val="24"/>
          <w:szCs w:val="24"/>
        </w:rPr>
        <w:t>Descriptive statistics</w:t>
      </w:r>
    </w:p>
    <w:tbl>
      <w:tblPr>
        <w:tblStyle w:val="PlainTable5"/>
        <w:tblW w:w="9377" w:type="dxa"/>
        <w:tblLook w:val="06A0" w:firstRow="1" w:lastRow="0" w:firstColumn="1" w:lastColumn="0" w:noHBand="1" w:noVBand="1"/>
      </w:tblPr>
      <w:tblGrid>
        <w:gridCol w:w="1548"/>
        <w:gridCol w:w="861"/>
        <w:gridCol w:w="844"/>
        <w:gridCol w:w="946"/>
        <w:gridCol w:w="792"/>
        <w:gridCol w:w="950"/>
        <w:gridCol w:w="897"/>
        <w:gridCol w:w="971"/>
        <w:gridCol w:w="776"/>
        <w:gridCol w:w="792"/>
      </w:tblGrid>
      <w:tr w:rsidR="00E43B07" w:rsidRPr="007D14F3" w:rsidTr="00361818">
        <w:trPr>
          <w:cnfStyle w:val="100000000000" w:firstRow="1" w:lastRow="0" w:firstColumn="0" w:lastColumn="0" w:oddVBand="0" w:evenVBand="0" w:oddHBand="0" w:evenHBand="0" w:firstRowFirstColumn="0" w:firstRowLastColumn="0" w:lastRowFirstColumn="0" w:lastRowLastColumn="0"/>
          <w:trHeight w:val="415"/>
        </w:trPr>
        <w:tc>
          <w:tcPr>
            <w:cnfStyle w:val="001000000100" w:firstRow="0" w:lastRow="0" w:firstColumn="1" w:lastColumn="0" w:oddVBand="0" w:evenVBand="0" w:oddHBand="0" w:evenHBand="0" w:firstRowFirstColumn="1" w:firstRowLastColumn="0" w:lastRowFirstColumn="0" w:lastRowLastColumn="0"/>
            <w:tcW w:w="1549" w:type="dxa"/>
            <w:noWrap/>
            <w:vAlign w:val="center"/>
            <w:hideMark/>
          </w:tcPr>
          <w:p w:rsidR="00456403" w:rsidRPr="007D14F3" w:rsidRDefault="00456403" w:rsidP="009C7202">
            <w:pPr>
              <w:jc w:val="center"/>
              <w:rPr>
                <w:rFonts w:ascii="Times New Roman" w:eastAsia="Times New Roman" w:hAnsi="Times New Roman" w:cs="Times New Roman"/>
                <w:color w:val="000000"/>
                <w:sz w:val="24"/>
                <w:szCs w:val="24"/>
                <w:lang w:eastAsia="en-GB"/>
              </w:rPr>
            </w:pPr>
          </w:p>
        </w:tc>
        <w:tc>
          <w:tcPr>
            <w:tcW w:w="861" w:type="dxa"/>
            <w:noWrap/>
            <w:vAlign w:val="center"/>
            <w:hideMark/>
          </w:tcPr>
          <w:p w:rsidR="00456403" w:rsidRPr="007D14F3" w:rsidRDefault="00456403" w:rsidP="009C720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7D14F3">
              <w:rPr>
                <w:rFonts w:ascii="Times New Roman" w:eastAsia="Times New Roman" w:hAnsi="Times New Roman" w:cs="Times New Roman"/>
                <w:color w:val="000000"/>
                <w:sz w:val="24"/>
                <w:szCs w:val="24"/>
                <w:lang w:eastAsia="en-GB"/>
              </w:rPr>
              <w:t>Mean</w:t>
            </w:r>
          </w:p>
        </w:tc>
        <w:tc>
          <w:tcPr>
            <w:tcW w:w="844" w:type="dxa"/>
            <w:noWrap/>
            <w:vAlign w:val="center"/>
            <w:hideMark/>
          </w:tcPr>
          <w:p w:rsidR="00456403" w:rsidRPr="007D14F3" w:rsidRDefault="00456403" w:rsidP="009C720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7D14F3">
              <w:rPr>
                <w:rFonts w:ascii="Times New Roman" w:eastAsia="Times New Roman" w:hAnsi="Times New Roman" w:cs="Times New Roman"/>
                <w:color w:val="000000"/>
                <w:sz w:val="24"/>
                <w:szCs w:val="24"/>
                <w:lang w:eastAsia="en-GB"/>
              </w:rPr>
              <w:t>St dev</w:t>
            </w:r>
          </w:p>
        </w:tc>
        <w:tc>
          <w:tcPr>
            <w:tcW w:w="946" w:type="dxa"/>
            <w:noWrap/>
            <w:vAlign w:val="center"/>
            <w:hideMark/>
          </w:tcPr>
          <w:p w:rsidR="00456403" w:rsidRPr="007D14F3" w:rsidRDefault="00456403" w:rsidP="009C720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7D14F3">
              <w:rPr>
                <w:rFonts w:ascii="Times New Roman" w:eastAsia="Times New Roman" w:hAnsi="Times New Roman" w:cs="Times New Roman"/>
                <w:color w:val="000000"/>
                <w:sz w:val="24"/>
                <w:szCs w:val="24"/>
                <w:lang w:eastAsia="en-GB"/>
              </w:rPr>
              <w:t>Min</w:t>
            </w:r>
          </w:p>
        </w:tc>
        <w:tc>
          <w:tcPr>
            <w:tcW w:w="792" w:type="dxa"/>
            <w:noWrap/>
            <w:vAlign w:val="center"/>
            <w:hideMark/>
          </w:tcPr>
          <w:p w:rsidR="00456403" w:rsidRPr="007D14F3" w:rsidRDefault="00456403" w:rsidP="009C720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7D14F3">
              <w:rPr>
                <w:rFonts w:ascii="Times New Roman" w:eastAsia="Times New Roman" w:hAnsi="Times New Roman" w:cs="Times New Roman"/>
                <w:color w:val="000000"/>
                <w:sz w:val="24"/>
                <w:szCs w:val="24"/>
                <w:lang w:eastAsia="en-GB"/>
              </w:rPr>
              <w:t>Q25</w:t>
            </w:r>
          </w:p>
        </w:tc>
        <w:tc>
          <w:tcPr>
            <w:tcW w:w="949" w:type="dxa"/>
            <w:noWrap/>
            <w:vAlign w:val="center"/>
            <w:hideMark/>
          </w:tcPr>
          <w:p w:rsidR="00456403" w:rsidRPr="007D14F3" w:rsidRDefault="00456403" w:rsidP="009C720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7D14F3">
              <w:rPr>
                <w:rFonts w:ascii="Times New Roman" w:eastAsia="Times New Roman" w:hAnsi="Times New Roman" w:cs="Times New Roman"/>
                <w:color w:val="000000"/>
                <w:sz w:val="24"/>
                <w:szCs w:val="24"/>
                <w:lang w:eastAsia="en-GB"/>
              </w:rPr>
              <w:t>Median</w:t>
            </w:r>
          </w:p>
        </w:tc>
        <w:tc>
          <w:tcPr>
            <w:tcW w:w="897" w:type="dxa"/>
            <w:noWrap/>
            <w:vAlign w:val="center"/>
            <w:hideMark/>
          </w:tcPr>
          <w:p w:rsidR="00456403" w:rsidRPr="007D14F3" w:rsidRDefault="00456403" w:rsidP="009C720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7D14F3">
              <w:rPr>
                <w:rFonts w:ascii="Times New Roman" w:eastAsia="Times New Roman" w:hAnsi="Times New Roman" w:cs="Times New Roman"/>
                <w:color w:val="000000"/>
                <w:sz w:val="24"/>
                <w:szCs w:val="24"/>
                <w:lang w:eastAsia="en-GB"/>
              </w:rPr>
              <w:t>Q75</w:t>
            </w:r>
          </w:p>
        </w:tc>
        <w:tc>
          <w:tcPr>
            <w:tcW w:w="971" w:type="dxa"/>
            <w:noWrap/>
            <w:vAlign w:val="center"/>
            <w:hideMark/>
          </w:tcPr>
          <w:p w:rsidR="00456403" w:rsidRPr="007D14F3" w:rsidRDefault="00456403" w:rsidP="009C720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7D14F3">
              <w:rPr>
                <w:rFonts w:ascii="Times New Roman" w:eastAsia="Times New Roman" w:hAnsi="Times New Roman" w:cs="Times New Roman"/>
                <w:color w:val="000000"/>
                <w:sz w:val="24"/>
                <w:szCs w:val="24"/>
                <w:lang w:eastAsia="en-GB"/>
              </w:rPr>
              <w:t>Max</w:t>
            </w:r>
          </w:p>
        </w:tc>
        <w:tc>
          <w:tcPr>
            <w:tcW w:w="776" w:type="dxa"/>
            <w:noWrap/>
            <w:vAlign w:val="center"/>
            <w:hideMark/>
          </w:tcPr>
          <w:p w:rsidR="00456403" w:rsidRPr="007D14F3" w:rsidRDefault="00456403" w:rsidP="009C720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7D14F3">
              <w:rPr>
                <w:rFonts w:ascii="Times New Roman" w:eastAsia="Times New Roman" w:hAnsi="Times New Roman" w:cs="Times New Roman"/>
                <w:color w:val="000000"/>
                <w:sz w:val="24"/>
                <w:szCs w:val="24"/>
                <w:lang w:eastAsia="en-GB"/>
              </w:rPr>
              <w:t>Skew</w:t>
            </w:r>
          </w:p>
        </w:tc>
        <w:tc>
          <w:tcPr>
            <w:tcW w:w="792" w:type="dxa"/>
            <w:tcBorders>
              <w:right w:val="single" w:sz="4" w:space="0" w:color="FFFFFF" w:themeColor="background1"/>
            </w:tcBorders>
            <w:noWrap/>
            <w:vAlign w:val="center"/>
            <w:hideMark/>
          </w:tcPr>
          <w:p w:rsidR="00456403" w:rsidRPr="007D14F3" w:rsidRDefault="00456403" w:rsidP="009C720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7D14F3">
              <w:rPr>
                <w:rFonts w:ascii="Times New Roman" w:eastAsia="Times New Roman" w:hAnsi="Times New Roman" w:cs="Times New Roman"/>
                <w:color w:val="000000"/>
                <w:sz w:val="24"/>
                <w:szCs w:val="24"/>
                <w:lang w:eastAsia="en-GB"/>
              </w:rPr>
              <w:t>Kurt</w:t>
            </w:r>
          </w:p>
        </w:tc>
      </w:tr>
      <w:tr w:rsidR="00BF3D01" w:rsidRPr="007D14F3" w:rsidTr="00E24FF1">
        <w:trPr>
          <w:trHeight w:val="415"/>
        </w:trPr>
        <w:tc>
          <w:tcPr>
            <w:cnfStyle w:val="001000000000" w:firstRow="0" w:lastRow="0" w:firstColumn="1" w:lastColumn="0" w:oddVBand="0" w:evenVBand="0" w:oddHBand="0" w:evenHBand="0" w:firstRowFirstColumn="0" w:firstRowLastColumn="0" w:lastRowFirstColumn="0" w:lastRowLastColumn="0"/>
            <w:tcW w:w="9377" w:type="dxa"/>
            <w:gridSpan w:val="10"/>
            <w:tcBorders>
              <w:right w:val="single" w:sz="4" w:space="0" w:color="FFFFFF" w:themeColor="background1"/>
            </w:tcBorders>
            <w:noWrap/>
            <w:vAlign w:val="center"/>
          </w:tcPr>
          <w:p w:rsidR="00BF3D01" w:rsidRPr="007D14F3" w:rsidRDefault="00BF3D01" w:rsidP="009C7202">
            <w:pPr>
              <w:jc w:val="center"/>
              <w:rPr>
                <w:rFonts w:ascii="Times New Roman" w:eastAsia="Times New Roman" w:hAnsi="Times New Roman" w:cs="Times New Roman"/>
                <w:b/>
                <w:color w:val="000000"/>
                <w:sz w:val="24"/>
                <w:szCs w:val="24"/>
                <w:lang w:eastAsia="en-GB"/>
              </w:rPr>
            </w:pPr>
            <w:r w:rsidRPr="007D14F3">
              <w:rPr>
                <w:rFonts w:ascii="Times New Roman" w:eastAsia="Times New Roman" w:hAnsi="Times New Roman" w:cs="Times New Roman"/>
                <w:b/>
                <w:color w:val="000000"/>
                <w:sz w:val="24"/>
                <w:szCs w:val="24"/>
                <w:lang w:eastAsia="en-GB"/>
              </w:rPr>
              <w:t>Dependent variable</w:t>
            </w:r>
          </w:p>
        </w:tc>
      </w:tr>
      <w:tr w:rsidR="00E43B07" w:rsidRPr="007D14F3" w:rsidTr="00361818">
        <w:trPr>
          <w:trHeight w:val="415"/>
        </w:trPr>
        <w:tc>
          <w:tcPr>
            <w:cnfStyle w:val="001000000000" w:firstRow="0" w:lastRow="0" w:firstColumn="1" w:lastColumn="0" w:oddVBand="0" w:evenVBand="0" w:oddHBand="0" w:evenHBand="0" w:firstRowFirstColumn="0" w:firstRowLastColumn="0" w:lastRowFirstColumn="0" w:lastRowLastColumn="0"/>
            <w:tcW w:w="1549" w:type="dxa"/>
            <w:noWrap/>
            <w:vAlign w:val="center"/>
            <w:hideMark/>
          </w:tcPr>
          <w:p w:rsidR="001B1FAB" w:rsidRPr="007D14F3" w:rsidRDefault="001B1FAB" w:rsidP="009C7202">
            <w:pPr>
              <w:jc w:val="center"/>
              <w:rPr>
                <w:rFonts w:ascii="Times New Roman" w:eastAsia="Times New Roman" w:hAnsi="Times New Roman" w:cs="Times New Roman"/>
                <w:color w:val="000000"/>
                <w:sz w:val="24"/>
                <w:szCs w:val="24"/>
                <w:lang w:eastAsia="en-GB"/>
              </w:rPr>
            </w:pPr>
            <w:r w:rsidRPr="007D14F3">
              <w:rPr>
                <w:rFonts w:ascii="Times New Roman" w:eastAsia="Times New Roman" w:hAnsi="Times New Roman" w:cs="Times New Roman"/>
                <w:color w:val="000000"/>
                <w:sz w:val="24"/>
                <w:szCs w:val="24"/>
                <w:lang w:eastAsia="en-GB"/>
              </w:rPr>
              <w:t>CAR</w:t>
            </w:r>
            <w:r w:rsidR="000E16F4" w:rsidRPr="007D14F3">
              <w:rPr>
                <w:rFonts w:ascii="Times New Roman" w:eastAsia="Times New Roman" w:hAnsi="Times New Roman" w:cs="Times New Roman"/>
                <w:color w:val="000000"/>
                <w:sz w:val="24"/>
                <w:szCs w:val="24"/>
                <w:lang w:eastAsia="en-GB"/>
              </w:rPr>
              <w:t xml:space="preserve"> </w:t>
            </w:r>
            <w:r w:rsidRPr="007D14F3">
              <w:rPr>
                <w:rFonts w:ascii="Times New Roman" w:eastAsia="Times New Roman" w:hAnsi="Times New Roman" w:cs="Times New Roman"/>
                <w:color w:val="000000"/>
                <w:sz w:val="24"/>
                <w:szCs w:val="24"/>
                <w:lang w:eastAsia="en-GB"/>
              </w:rPr>
              <w:t>(-</w:t>
            </w:r>
            <w:proofErr w:type="gramStart"/>
            <w:r w:rsidRPr="007D14F3">
              <w:rPr>
                <w:rFonts w:ascii="Times New Roman" w:eastAsia="Times New Roman" w:hAnsi="Times New Roman" w:cs="Times New Roman"/>
                <w:color w:val="000000"/>
                <w:sz w:val="24"/>
                <w:szCs w:val="24"/>
                <w:lang w:eastAsia="en-GB"/>
              </w:rPr>
              <w:t>1,+</w:t>
            </w:r>
            <w:proofErr w:type="gramEnd"/>
            <w:r w:rsidRPr="007D14F3">
              <w:rPr>
                <w:rFonts w:ascii="Times New Roman" w:eastAsia="Times New Roman" w:hAnsi="Times New Roman" w:cs="Times New Roman"/>
                <w:color w:val="000000"/>
                <w:sz w:val="24"/>
                <w:szCs w:val="24"/>
                <w:lang w:eastAsia="en-GB"/>
              </w:rPr>
              <w:t>1)</w:t>
            </w:r>
          </w:p>
        </w:tc>
        <w:tc>
          <w:tcPr>
            <w:tcW w:w="861"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0.01</w:t>
            </w:r>
          </w:p>
        </w:tc>
        <w:tc>
          <w:tcPr>
            <w:tcW w:w="844"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0.05</w:t>
            </w:r>
          </w:p>
        </w:tc>
        <w:tc>
          <w:tcPr>
            <w:tcW w:w="946"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-0.40</w:t>
            </w:r>
          </w:p>
        </w:tc>
        <w:tc>
          <w:tcPr>
            <w:tcW w:w="792"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-0.01</w:t>
            </w:r>
          </w:p>
        </w:tc>
        <w:tc>
          <w:tcPr>
            <w:tcW w:w="949"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0.00</w:t>
            </w:r>
          </w:p>
        </w:tc>
        <w:tc>
          <w:tcPr>
            <w:tcW w:w="897"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0.02</w:t>
            </w:r>
          </w:p>
        </w:tc>
        <w:tc>
          <w:tcPr>
            <w:tcW w:w="971"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0.52</w:t>
            </w:r>
          </w:p>
        </w:tc>
        <w:tc>
          <w:tcPr>
            <w:tcW w:w="776"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0.35</w:t>
            </w:r>
          </w:p>
        </w:tc>
        <w:tc>
          <w:tcPr>
            <w:tcW w:w="792" w:type="dxa"/>
            <w:tcBorders>
              <w:right w:val="single" w:sz="4" w:space="0" w:color="FFFFFF" w:themeColor="background1"/>
            </w:tcBorders>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13.03</w:t>
            </w:r>
          </w:p>
        </w:tc>
      </w:tr>
      <w:tr w:rsidR="00BF3D01" w:rsidRPr="007D14F3" w:rsidTr="00E24FF1">
        <w:trPr>
          <w:trHeight w:val="415"/>
        </w:trPr>
        <w:tc>
          <w:tcPr>
            <w:cnfStyle w:val="001000000000" w:firstRow="0" w:lastRow="0" w:firstColumn="1" w:lastColumn="0" w:oddVBand="0" w:evenVBand="0" w:oddHBand="0" w:evenHBand="0" w:firstRowFirstColumn="0" w:firstRowLastColumn="0" w:lastRowFirstColumn="0" w:lastRowLastColumn="0"/>
            <w:tcW w:w="9377" w:type="dxa"/>
            <w:gridSpan w:val="10"/>
            <w:tcBorders>
              <w:right w:val="single" w:sz="4" w:space="0" w:color="FFFFFF" w:themeColor="background1"/>
            </w:tcBorders>
            <w:noWrap/>
            <w:vAlign w:val="center"/>
          </w:tcPr>
          <w:p w:rsidR="00BF3D01" w:rsidRPr="007D14F3" w:rsidRDefault="00BF3D01" w:rsidP="009C7202">
            <w:pPr>
              <w:jc w:val="center"/>
              <w:rPr>
                <w:rFonts w:ascii="Times New Roman" w:eastAsia="Times New Roman" w:hAnsi="Times New Roman" w:cs="Times New Roman"/>
                <w:b/>
                <w:color w:val="000000"/>
                <w:sz w:val="24"/>
                <w:szCs w:val="24"/>
                <w:lang w:eastAsia="en-GB"/>
              </w:rPr>
            </w:pPr>
            <w:r w:rsidRPr="007D14F3">
              <w:rPr>
                <w:rFonts w:ascii="Times New Roman" w:eastAsia="Times New Roman" w:hAnsi="Times New Roman" w:cs="Times New Roman"/>
                <w:b/>
                <w:color w:val="000000"/>
                <w:sz w:val="24"/>
                <w:szCs w:val="24"/>
                <w:lang w:eastAsia="en-GB"/>
              </w:rPr>
              <w:t>Board structure variables</w:t>
            </w:r>
          </w:p>
        </w:tc>
      </w:tr>
      <w:tr w:rsidR="00E43B07" w:rsidRPr="007D14F3" w:rsidTr="00361818">
        <w:trPr>
          <w:trHeight w:val="415"/>
        </w:trPr>
        <w:tc>
          <w:tcPr>
            <w:cnfStyle w:val="001000000000" w:firstRow="0" w:lastRow="0" w:firstColumn="1" w:lastColumn="0" w:oddVBand="0" w:evenVBand="0" w:oddHBand="0" w:evenHBand="0" w:firstRowFirstColumn="0" w:firstRowLastColumn="0" w:lastRowFirstColumn="0" w:lastRowLastColumn="0"/>
            <w:tcW w:w="1549" w:type="dxa"/>
            <w:noWrap/>
            <w:vAlign w:val="center"/>
            <w:hideMark/>
          </w:tcPr>
          <w:p w:rsidR="001B1FAB" w:rsidRPr="007D14F3" w:rsidRDefault="001B1FAB" w:rsidP="009C7202">
            <w:pPr>
              <w:jc w:val="center"/>
              <w:rPr>
                <w:rFonts w:ascii="Times New Roman" w:eastAsia="Times New Roman" w:hAnsi="Times New Roman" w:cs="Times New Roman"/>
                <w:color w:val="000000"/>
                <w:sz w:val="24"/>
                <w:szCs w:val="24"/>
                <w:lang w:eastAsia="en-GB"/>
              </w:rPr>
            </w:pPr>
            <w:r w:rsidRPr="007D14F3">
              <w:rPr>
                <w:rFonts w:ascii="Times New Roman" w:eastAsia="Times New Roman" w:hAnsi="Times New Roman" w:cs="Times New Roman"/>
                <w:color w:val="000000"/>
                <w:sz w:val="24"/>
                <w:szCs w:val="24"/>
                <w:lang w:eastAsia="en-GB"/>
              </w:rPr>
              <w:t>Classified</w:t>
            </w:r>
          </w:p>
        </w:tc>
        <w:tc>
          <w:tcPr>
            <w:tcW w:w="861"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0.41</w:t>
            </w:r>
          </w:p>
        </w:tc>
        <w:tc>
          <w:tcPr>
            <w:tcW w:w="844"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0.49</w:t>
            </w:r>
          </w:p>
        </w:tc>
        <w:tc>
          <w:tcPr>
            <w:tcW w:w="946"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0.00</w:t>
            </w:r>
          </w:p>
        </w:tc>
        <w:tc>
          <w:tcPr>
            <w:tcW w:w="792"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0.00</w:t>
            </w:r>
          </w:p>
        </w:tc>
        <w:tc>
          <w:tcPr>
            <w:tcW w:w="949"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0.00</w:t>
            </w:r>
          </w:p>
        </w:tc>
        <w:tc>
          <w:tcPr>
            <w:tcW w:w="897"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1.00</w:t>
            </w:r>
          </w:p>
        </w:tc>
        <w:tc>
          <w:tcPr>
            <w:tcW w:w="971"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1.00</w:t>
            </w:r>
          </w:p>
        </w:tc>
        <w:tc>
          <w:tcPr>
            <w:tcW w:w="776"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0.38</w:t>
            </w:r>
          </w:p>
        </w:tc>
        <w:tc>
          <w:tcPr>
            <w:tcW w:w="792" w:type="dxa"/>
            <w:tcBorders>
              <w:right w:val="single" w:sz="4" w:space="0" w:color="FFFFFF" w:themeColor="background1"/>
            </w:tcBorders>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1.15</w:t>
            </w:r>
          </w:p>
        </w:tc>
      </w:tr>
      <w:tr w:rsidR="00E43B07" w:rsidRPr="007D14F3" w:rsidTr="00361818">
        <w:trPr>
          <w:trHeight w:val="415"/>
        </w:trPr>
        <w:tc>
          <w:tcPr>
            <w:cnfStyle w:val="001000000000" w:firstRow="0" w:lastRow="0" w:firstColumn="1" w:lastColumn="0" w:oddVBand="0" w:evenVBand="0" w:oddHBand="0" w:evenHBand="0" w:firstRowFirstColumn="0" w:firstRowLastColumn="0" w:lastRowFirstColumn="0" w:lastRowLastColumn="0"/>
            <w:tcW w:w="1549" w:type="dxa"/>
            <w:noWrap/>
            <w:vAlign w:val="center"/>
            <w:hideMark/>
          </w:tcPr>
          <w:p w:rsidR="001B1FAB" w:rsidRPr="007D14F3" w:rsidRDefault="001B1FAB" w:rsidP="009C7202">
            <w:pPr>
              <w:jc w:val="center"/>
              <w:rPr>
                <w:rFonts w:ascii="Times New Roman" w:eastAsia="Times New Roman" w:hAnsi="Times New Roman" w:cs="Times New Roman"/>
                <w:color w:val="000000"/>
                <w:sz w:val="24"/>
                <w:szCs w:val="24"/>
                <w:lang w:eastAsia="en-GB"/>
              </w:rPr>
            </w:pPr>
            <w:r w:rsidRPr="007D14F3">
              <w:rPr>
                <w:rFonts w:ascii="Times New Roman" w:eastAsia="Times New Roman" w:hAnsi="Times New Roman" w:cs="Times New Roman"/>
                <w:color w:val="000000"/>
                <w:sz w:val="24"/>
                <w:szCs w:val="24"/>
                <w:lang w:eastAsia="en-GB"/>
              </w:rPr>
              <w:t>Board size</w:t>
            </w:r>
          </w:p>
        </w:tc>
        <w:tc>
          <w:tcPr>
            <w:tcW w:w="861"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9.31</w:t>
            </w:r>
          </w:p>
        </w:tc>
        <w:tc>
          <w:tcPr>
            <w:tcW w:w="844"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2.31</w:t>
            </w:r>
          </w:p>
        </w:tc>
        <w:tc>
          <w:tcPr>
            <w:tcW w:w="946"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4.00</w:t>
            </w:r>
          </w:p>
        </w:tc>
        <w:tc>
          <w:tcPr>
            <w:tcW w:w="792"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8.00</w:t>
            </w:r>
          </w:p>
        </w:tc>
        <w:tc>
          <w:tcPr>
            <w:tcW w:w="949"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9.00</w:t>
            </w:r>
          </w:p>
        </w:tc>
        <w:tc>
          <w:tcPr>
            <w:tcW w:w="897"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11.00</w:t>
            </w:r>
          </w:p>
        </w:tc>
        <w:tc>
          <w:tcPr>
            <w:tcW w:w="971"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24.00</w:t>
            </w:r>
          </w:p>
        </w:tc>
        <w:tc>
          <w:tcPr>
            <w:tcW w:w="776"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0.64</w:t>
            </w:r>
          </w:p>
        </w:tc>
        <w:tc>
          <w:tcPr>
            <w:tcW w:w="792" w:type="dxa"/>
            <w:tcBorders>
              <w:right w:val="single" w:sz="4" w:space="0" w:color="FFFFFF" w:themeColor="background1"/>
            </w:tcBorders>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4.37</w:t>
            </w:r>
          </w:p>
        </w:tc>
      </w:tr>
      <w:tr w:rsidR="00E43B07" w:rsidRPr="007D14F3" w:rsidTr="00361818">
        <w:trPr>
          <w:trHeight w:val="415"/>
        </w:trPr>
        <w:tc>
          <w:tcPr>
            <w:cnfStyle w:val="001000000000" w:firstRow="0" w:lastRow="0" w:firstColumn="1" w:lastColumn="0" w:oddVBand="0" w:evenVBand="0" w:oddHBand="0" w:evenHBand="0" w:firstRowFirstColumn="0" w:firstRowLastColumn="0" w:lastRowFirstColumn="0" w:lastRowLastColumn="0"/>
            <w:tcW w:w="1549" w:type="dxa"/>
            <w:noWrap/>
            <w:vAlign w:val="center"/>
            <w:hideMark/>
          </w:tcPr>
          <w:p w:rsidR="001B1FAB" w:rsidRPr="007D14F3" w:rsidRDefault="001B1FAB" w:rsidP="009C7202">
            <w:pPr>
              <w:jc w:val="center"/>
              <w:rPr>
                <w:rFonts w:ascii="Times New Roman" w:eastAsia="Times New Roman" w:hAnsi="Times New Roman" w:cs="Times New Roman"/>
                <w:color w:val="000000"/>
                <w:sz w:val="24"/>
                <w:szCs w:val="24"/>
                <w:lang w:eastAsia="en-GB"/>
              </w:rPr>
            </w:pPr>
            <w:r w:rsidRPr="007D14F3">
              <w:rPr>
                <w:rFonts w:ascii="Times New Roman" w:eastAsia="Times New Roman" w:hAnsi="Times New Roman" w:cs="Times New Roman"/>
                <w:color w:val="000000"/>
                <w:sz w:val="24"/>
                <w:szCs w:val="24"/>
                <w:lang w:eastAsia="en-GB"/>
              </w:rPr>
              <w:t>Independent</w:t>
            </w:r>
          </w:p>
        </w:tc>
        <w:tc>
          <w:tcPr>
            <w:tcW w:w="861"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0.79</w:t>
            </w:r>
          </w:p>
        </w:tc>
        <w:tc>
          <w:tcPr>
            <w:tcW w:w="844"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0.11</w:t>
            </w:r>
          </w:p>
        </w:tc>
        <w:tc>
          <w:tcPr>
            <w:tcW w:w="946"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w:t>
            </w:r>
            <w:r w:rsidR="002361D2" w:rsidRPr="007D14F3">
              <w:rPr>
                <w:rFonts w:ascii="Times New Roman" w:hAnsi="Times New Roman" w:cs="Times New Roman"/>
                <w:color w:val="000000"/>
                <w:sz w:val="24"/>
                <w:szCs w:val="24"/>
              </w:rPr>
              <w:t>37</w:t>
            </w:r>
          </w:p>
        </w:tc>
        <w:tc>
          <w:tcPr>
            <w:tcW w:w="792"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0.71</w:t>
            </w:r>
          </w:p>
        </w:tc>
        <w:tc>
          <w:tcPr>
            <w:tcW w:w="949"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0.80</w:t>
            </w:r>
          </w:p>
        </w:tc>
        <w:tc>
          <w:tcPr>
            <w:tcW w:w="897"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0.88</w:t>
            </w:r>
          </w:p>
        </w:tc>
        <w:tc>
          <w:tcPr>
            <w:tcW w:w="971"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1.00</w:t>
            </w:r>
          </w:p>
        </w:tc>
        <w:tc>
          <w:tcPr>
            <w:tcW w:w="776"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-0.97</w:t>
            </w:r>
          </w:p>
        </w:tc>
        <w:tc>
          <w:tcPr>
            <w:tcW w:w="792" w:type="dxa"/>
            <w:tcBorders>
              <w:right w:val="single" w:sz="4" w:space="0" w:color="FFFFFF" w:themeColor="background1"/>
            </w:tcBorders>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4.75</w:t>
            </w:r>
          </w:p>
        </w:tc>
      </w:tr>
      <w:tr w:rsidR="00E43B07" w:rsidRPr="007D14F3" w:rsidTr="00361818">
        <w:trPr>
          <w:trHeight w:val="415"/>
        </w:trPr>
        <w:tc>
          <w:tcPr>
            <w:cnfStyle w:val="001000000000" w:firstRow="0" w:lastRow="0" w:firstColumn="1" w:lastColumn="0" w:oddVBand="0" w:evenVBand="0" w:oddHBand="0" w:evenHBand="0" w:firstRowFirstColumn="0" w:firstRowLastColumn="0" w:lastRowFirstColumn="0" w:lastRowLastColumn="0"/>
            <w:tcW w:w="1549" w:type="dxa"/>
            <w:noWrap/>
            <w:vAlign w:val="center"/>
            <w:hideMark/>
          </w:tcPr>
          <w:p w:rsidR="001B1FAB" w:rsidRPr="007D14F3" w:rsidRDefault="001B1FAB" w:rsidP="009C7202">
            <w:pPr>
              <w:jc w:val="center"/>
              <w:rPr>
                <w:rFonts w:ascii="Times New Roman" w:eastAsia="Times New Roman" w:hAnsi="Times New Roman" w:cs="Times New Roman"/>
                <w:color w:val="000000"/>
                <w:sz w:val="24"/>
                <w:szCs w:val="24"/>
                <w:lang w:eastAsia="en-GB"/>
              </w:rPr>
            </w:pPr>
            <w:r w:rsidRPr="007D14F3">
              <w:rPr>
                <w:rFonts w:ascii="Times New Roman" w:eastAsia="Times New Roman" w:hAnsi="Times New Roman" w:cs="Times New Roman"/>
                <w:color w:val="000000"/>
                <w:sz w:val="24"/>
                <w:szCs w:val="24"/>
                <w:lang w:eastAsia="en-GB"/>
              </w:rPr>
              <w:t>Duality</w:t>
            </w:r>
          </w:p>
        </w:tc>
        <w:tc>
          <w:tcPr>
            <w:tcW w:w="861"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0.49</w:t>
            </w:r>
          </w:p>
        </w:tc>
        <w:tc>
          <w:tcPr>
            <w:tcW w:w="844"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0.50</w:t>
            </w:r>
          </w:p>
        </w:tc>
        <w:tc>
          <w:tcPr>
            <w:tcW w:w="946"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0.00</w:t>
            </w:r>
          </w:p>
        </w:tc>
        <w:tc>
          <w:tcPr>
            <w:tcW w:w="792"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0.00</w:t>
            </w:r>
          </w:p>
        </w:tc>
        <w:tc>
          <w:tcPr>
            <w:tcW w:w="949"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0.00</w:t>
            </w:r>
          </w:p>
        </w:tc>
        <w:tc>
          <w:tcPr>
            <w:tcW w:w="897"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1.00</w:t>
            </w:r>
          </w:p>
        </w:tc>
        <w:tc>
          <w:tcPr>
            <w:tcW w:w="971"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1.00</w:t>
            </w:r>
          </w:p>
        </w:tc>
        <w:tc>
          <w:tcPr>
            <w:tcW w:w="776"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0.06</w:t>
            </w:r>
          </w:p>
        </w:tc>
        <w:tc>
          <w:tcPr>
            <w:tcW w:w="792" w:type="dxa"/>
            <w:tcBorders>
              <w:right w:val="single" w:sz="4" w:space="0" w:color="FFFFFF" w:themeColor="background1"/>
            </w:tcBorders>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1.00</w:t>
            </w:r>
          </w:p>
        </w:tc>
      </w:tr>
      <w:tr w:rsidR="00E43B07" w:rsidRPr="007D14F3" w:rsidTr="00361818">
        <w:trPr>
          <w:trHeight w:val="415"/>
        </w:trPr>
        <w:tc>
          <w:tcPr>
            <w:cnfStyle w:val="001000000000" w:firstRow="0" w:lastRow="0" w:firstColumn="1" w:lastColumn="0" w:oddVBand="0" w:evenVBand="0" w:oddHBand="0" w:evenHBand="0" w:firstRowFirstColumn="0" w:firstRowLastColumn="0" w:lastRowFirstColumn="0" w:lastRowLastColumn="0"/>
            <w:tcW w:w="1549" w:type="dxa"/>
            <w:noWrap/>
            <w:vAlign w:val="center"/>
            <w:hideMark/>
          </w:tcPr>
          <w:p w:rsidR="001B1FAB" w:rsidRPr="007D14F3" w:rsidRDefault="001B1FAB" w:rsidP="009C7202">
            <w:pPr>
              <w:jc w:val="center"/>
              <w:rPr>
                <w:rFonts w:ascii="Times New Roman" w:eastAsia="Times New Roman" w:hAnsi="Times New Roman" w:cs="Times New Roman"/>
                <w:color w:val="000000"/>
                <w:sz w:val="24"/>
                <w:szCs w:val="24"/>
                <w:lang w:eastAsia="en-GB"/>
              </w:rPr>
            </w:pPr>
            <w:r w:rsidRPr="007D14F3">
              <w:rPr>
                <w:rFonts w:ascii="Times New Roman" w:eastAsia="Times New Roman" w:hAnsi="Times New Roman" w:cs="Times New Roman"/>
                <w:color w:val="000000"/>
                <w:sz w:val="24"/>
                <w:szCs w:val="24"/>
                <w:lang w:eastAsia="en-GB"/>
              </w:rPr>
              <w:t>Diversity</w:t>
            </w:r>
          </w:p>
        </w:tc>
        <w:tc>
          <w:tcPr>
            <w:tcW w:w="861"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0.13</w:t>
            </w:r>
          </w:p>
        </w:tc>
        <w:tc>
          <w:tcPr>
            <w:tcW w:w="844"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0.10</w:t>
            </w:r>
          </w:p>
        </w:tc>
        <w:tc>
          <w:tcPr>
            <w:tcW w:w="946"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0.00</w:t>
            </w:r>
          </w:p>
        </w:tc>
        <w:tc>
          <w:tcPr>
            <w:tcW w:w="792"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0.00</w:t>
            </w:r>
          </w:p>
        </w:tc>
        <w:tc>
          <w:tcPr>
            <w:tcW w:w="949"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0.13</w:t>
            </w:r>
          </w:p>
        </w:tc>
        <w:tc>
          <w:tcPr>
            <w:tcW w:w="897"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0.20</w:t>
            </w:r>
          </w:p>
        </w:tc>
        <w:tc>
          <w:tcPr>
            <w:tcW w:w="971"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0.58</w:t>
            </w:r>
          </w:p>
        </w:tc>
        <w:tc>
          <w:tcPr>
            <w:tcW w:w="776"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0.44</w:t>
            </w:r>
          </w:p>
        </w:tc>
        <w:tc>
          <w:tcPr>
            <w:tcW w:w="792" w:type="dxa"/>
            <w:tcBorders>
              <w:right w:val="single" w:sz="4" w:space="0" w:color="FFFFFF" w:themeColor="background1"/>
            </w:tcBorders>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2.83</w:t>
            </w:r>
          </w:p>
        </w:tc>
      </w:tr>
      <w:tr w:rsidR="00BF3D01" w:rsidRPr="007D14F3" w:rsidTr="00E24FF1">
        <w:trPr>
          <w:trHeight w:val="415"/>
        </w:trPr>
        <w:tc>
          <w:tcPr>
            <w:cnfStyle w:val="001000000000" w:firstRow="0" w:lastRow="0" w:firstColumn="1" w:lastColumn="0" w:oddVBand="0" w:evenVBand="0" w:oddHBand="0" w:evenHBand="0" w:firstRowFirstColumn="0" w:firstRowLastColumn="0" w:lastRowFirstColumn="0" w:lastRowLastColumn="0"/>
            <w:tcW w:w="9377" w:type="dxa"/>
            <w:gridSpan w:val="10"/>
            <w:tcBorders>
              <w:right w:val="single" w:sz="4" w:space="0" w:color="FFFFFF" w:themeColor="background1"/>
            </w:tcBorders>
            <w:noWrap/>
            <w:vAlign w:val="center"/>
          </w:tcPr>
          <w:p w:rsidR="00BF3D01" w:rsidRPr="007D14F3" w:rsidRDefault="00BF3D01" w:rsidP="009C7202">
            <w:pPr>
              <w:jc w:val="center"/>
              <w:rPr>
                <w:rFonts w:ascii="Times New Roman" w:eastAsia="Times New Roman" w:hAnsi="Times New Roman" w:cs="Times New Roman"/>
                <w:b/>
                <w:color w:val="000000"/>
                <w:sz w:val="24"/>
                <w:szCs w:val="24"/>
                <w:lang w:eastAsia="en-GB"/>
              </w:rPr>
            </w:pPr>
            <w:r w:rsidRPr="007D14F3">
              <w:rPr>
                <w:rFonts w:ascii="Times New Roman" w:eastAsia="Times New Roman" w:hAnsi="Times New Roman" w:cs="Times New Roman"/>
                <w:b/>
                <w:color w:val="000000"/>
                <w:sz w:val="24"/>
                <w:szCs w:val="24"/>
                <w:lang w:eastAsia="en-GB"/>
              </w:rPr>
              <w:t>Control variables – f</w:t>
            </w:r>
            <w:r w:rsidR="006A7EC0" w:rsidRPr="007D14F3">
              <w:rPr>
                <w:rFonts w:ascii="Times New Roman" w:eastAsia="Times New Roman" w:hAnsi="Times New Roman" w:cs="Times New Roman"/>
                <w:b/>
                <w:color w:val="000000"/>
                <w:sz w:val="24"/>
                <w:szCs w:val="24"/>
                <w:lang w:eastAsia="en-GB"/>
              </w:rPr>
              <w:t>ir</w:t>
            </w:r>
            <w:r w:rsidRPr="007D14F3">
              <w:rPr>
                <w:rFonts w:ascii="Times New Roman" w:eastAsia="Times New Roman" w:hAnsi="Times New Roman" w:cs="Times New Roman"/>
                <w:b/>
                <w:color w:val="000000"/>
                <w:sz w:val="24"/>
                <w:szCs w:val="24"/>
                <w:lang w:eastAsia="en-GB"/>
              </w:rPr>
              <w:t>m characteristics</w:t>
            </w:r>
          </w:p>
        </w:tc>
      </w:tr>
      <w:tr w:rsidR="00E43B07" w:rsidRPr="007D14F3" w:rsidTr="00361818">
        <w:trPr>
          <w:trHeight w:val="415"/>
        </w:trPr>
        <w:tc>
          <w:tcPr>
            <w:cnfStyle w:val="001000000000" w:firstRow="0" w:lastRow="0" w:firstColumn="1" w:lastColumn="0" w:oddVBand="0" w:evenVBand="0" w:oddHBand="0" w:evenHBand="0" w:firstRowFirstColumn="0" w:firstRowLastColumn="0" w:lastRowFirstColumn="0" w:lastRowLastColumn="0"/>
            <w:tcW w:w="1549" w:type="dxa"/>
            <w:noWrap/>
            <w:vAlign w:val="center"/>
            <w:hideMark/>
          </w:tcPr>
          <w:p w:rsidR="001B1FAB" w:rsidRPr="007D14F3" w:rsidRDefault="001B1FAB" w:rsidP="009C7202">
            <w:pPr>
              <w:jc w:val="center"/>
              <w:rPr>
                <w:rFonts w:ascii="Times New Roman" w:eastAsia="Times New Roman" w:hAnsi="Times New Roman" w:cs="Times New Roman"/>
                <w:color w:val="000000"/>
                <w:sz w:val="24"/>
                <w:szCs w:val="24"/>
                <w:lang w:eastAsia="en-GB"/>
              </w:rPr>
            </w:pPr>
            <w:r w:rsidRPr="007D14F3">
              <w:rPr>
                <w:rFonts w:ascii="Times New Roman" w:eastAsia="Times New Roman" w:hAnsi="Times New Roman" w:cs="Times New Roman"/>
                <w:color w:val="000000"/>
                <w:sz w:val="24"/>
                <w:szCs w:val="24"/>
                <w:lang w:eastAsia="en-GB"/>
              </w:rPr>
              <w:t>Leverage</w:t>
            </w:r>
          </w:p>
        </w:tc>
        <w:tc>
          <w:tcPr>
            <w:tcW w:w="861"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0.22</w:t>
            </w:r>
          </w:p>
        </w:tc>
        <w:tc>
          <w:tcPr>
            <w:tcW w:w="844"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0.18</w:t>
            </w:r>
          </w:p>
        </w:tc>
        <w:tc>
          <w:tcPr>
            <w:tcW w:w="946"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0.00</w:t>
            </w:r>
          </w:p>
        </w:tc>
        <w:tc>
          <w:tcPr>
            <w:tcW w:w="792"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0.08</w:t>
            </w:r>
          </w:p>
        </w:tc>
        <w:tc>
          <w:tcPr>
            <w:tcW w:w="949"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0.18</w:t>
            </w:r>
          </w:p>
        </w:tc>
        <w:tc>
          <w:tcPr>
            <w:tcW w:w="897"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0.33</w:t>
            </w:r>
          </w:p>
        </w:tc>
        <w:tc>
          <w:tcPr>
            <w:tcW w:w="971"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0.96</w:t>
            </w:r>
          </w:p>
        </w:tc>
        <w:tc>
          <w:tcPr>
            <w:tcW w:w="776"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0.91</w:t>
            </w:r>
          </w:p>
        </w:tc>
        <w:tc>
          <w:tcPr>
            <w:tcW w:w="792" w:type="dxa"/>
            <w:tcBorders>
              <w:right w:val="single" w:sz="4" w:space="0" w:color="FFFFFF" w:themeColor="background1"/>
            </w:tcBorders>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3.60</w:t>
            </w:r>
          </w:p>
        </w:tc>
      </w:tr>
      <w:tr w:rsidR="00E43B07" w:rsidRPr="007D14F3" w:rsidTr="00361818">
        <w:trPr>
          <w:trHeight w:val="415"/>
        </w:trPr>
        <w:tc>
          <w:tcPr>
            <w:cnfStyle w:val="001000000000" w:firstRow="0" w:lastRow="0" w:firstColumn="1" w:lastColumn="0" w:oddVBand="0" w:evenVBand="0" w:oddHBand="0" w:evenHBand="0" w:firstRowFirstColumn="0" w:firstRowLastColumn="0" w:lastRowFirstColumn="0" w:lastRowLastColumn="0"/>
            <w:tcW w:w="1549" w:type="dxa"/>
            <w:noWrap/>
            <w:vAlign w:val="center"/>
            <w:hideMark/>
          </w:tcPr>
          <w:p w:rsidR="001B1FAB" w:rsidRPr="007D14F3" w:rsidRDefault="001B1FAB" w:rsidP="009C7202">
            <w:pPr>
              <w:jc w:val="center"/>
              <w:rPr>
                <w:rFonts w:ascii="Times New Roman" w:eastAsia="Times New Roman" w:hAnsi="Times New Roman" w:cs="Times New Roman"/>
                <w:color w:val="000000"/>
                <w:sz w:val="24"/>
                <w:szCs w:val="24"/>
                <w:lang w:eastAsia="en-GB"/>
              </w:rPr>
            </w:pPr>
            <w:r w:rsidRPr="007D14F3">
              <w:rPr>
                <w:rFonts w:ascii="Times New Roman" w:eastAsia="Times New Roman" w:hAnsi="Times New Roman" w:cs="Times New Roman"/>
                <w:color w:val="000000"/>
                <w:sz w:val="24"/>
                <w:szCs w:val="24"/>
                <w:lang w:eastAsia="en-GB"/>
              </w:rPr>
              <w:t>FCF</w:t>
            </w:r>
          </w:p>
        </w:tc>
        <w:tc>
          <w:tcPr>
            <w:tcW w:w="861" w:type="dxa"/>
            <w:noWrap/>
            <w:vAlign w:val="center"/>
            <w:hideMark/>
          </w:tcPr>
          <w:p w:rsidR="001B1FAB" w:rsidRPr="007D14F3" w:rsidRDefault="00E43B07"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0.06</w:t>
            </w:r>
          </w:p>
        </w:tc>
        <w:tc>
          <w:tcPr>
            <w:tcW w:w="844" w:type="dxa"/>
            <w:noWrap/>
            <w:vAlign w:val="center"/>
            <w:hideMark/>
          </w:tcPr>
          <w:p w:rsidR="001B1FAB" w:rsidRPr="007D14F3" w:rsidRDefault="00E43B07"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0.07</w:t>
            </w:r>
          </w:p>
        </w:tc>
        <w:tc>
          <w:tcPr>
            <w:tcW w:w="946" w:type="dxa"/>
            <w:noWrap/>
            <w:vAlign w:val="center"/>
            <w:hideMark/>
          </w:tcPr>
          <w:p w:rsidR="001B1FAB" w:rsidRPr="007D14F3" w:rsidRDefault="00E43B07"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-0.70</w:t>
            </w:r>
          </w:p>
        </w:tc>
        <w:tc>
          <w:tcPr>
            <w:tcW w:w="792" w:type="dxa"/>
            <w:noWrap/>
            <w:vAlign w:val="center"/>
            <w:hideMark/>
          </w:tcPr>
          <w:p w:rsidR="001B1FAB" w:rsidRPr="007D14F3" w:rsidRDefault="00E43B07"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0.01</w:t>
            </w:r>
          </w:p>
        </w:tc>
        <w:tc>
          <w:tcPr>
            <w:tcW w:w="949" w:type="dxa"/>
            <w:noWrap/>
            <w:vAlign w:val="center"/>
            <w:hideMark/>
          </w:tcPr>
          <w:p w:rsidR="001B1FAB" w:rsidRPr="007D14F3" w:rsidRDefault="00E43B07"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0.06</w:t>
            </w:r>
          </w:p>
        </w:tc>
        <w:tc>
          <w:tcPr>
            <w:tcW w:w="897" w:type="dxa"/>
            <w:noWrap/>
            <w:vAlign w:val="center"/>
            <w:hideMark/>
          </w:tcPr>
          <w:p w:rsidR="001B1FAB" w:rsidRPr="007D14F3" w:rsidRDefault="00E43B07"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0.10</w:t>
            </w:r>
          </w:p>
        </w:tc>
        <w:tc>
          <w:tcPr>
            <w:tcW w:w="971" w:type="dxa"/>
            <w:noWrap/>
            <w:vAlign w:val="center"/>
            <w:hideMark/>
          </w:tcPr>
          <w:p w:rsidR="001B1FAB" w:rsidRPr="007D14F3" w:rsidRDefault="00E43B07"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0.54</w:t>
            </w:r>
          </w:p>
        </w:tc>
        <w:tc>
          <w:tcPr>
            <w:tcW w:w="776" w:type="dxa"/>
            <w:noWrap/>
            <w:vAlign w:val="center"/>
            <w:hideMark/>
          </w:tcPr>
          <w:p w:rsidR="001B1FAB" w:rsidRPr="007D14F3" w:rsidRDefault="00E43B07"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-0.86</w:t>
            </w:r>
          </w:p>
        </w:tc>
        <w:tc>
          <w:tcPr>
            <w:tcW w:w="792" w:type="dxa"/>
            <w:tcBorders>
              <w:right w:val="single" w:sz="4" w:space="0" w:color="FFFFFF" w:themeColor="background1"/>
            </w:tcBorders>
            <w:noWrap/>
            <w:vAlign w:val="center"/>
            <w:hideMark/>
          </w:tcPr>
          <w:p w:rsidR="001B1FAB" w:rsidRPr="007D14F3" w:rsidRDefault="00E43B07"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14.54</w:t>
            </w:r>
          </w:p>
        </w:tc>
      </w:tr>
      <w:tr w:rsidR="00E43B07" w:rsidRPr="007D14F3" w:rsidTr="00361818">
        <w:trPr>
          <w:trHeight w:val="415"/>
        </w:trPr>
        <w:tc>
          <w:tcPr>
            <w:cnfStyle w:val="001000000000" w:firstRow="0" w:lastRow="0" w:firstColumn="1" w:lastColumn="0" w:oddVBand="0" w:evenVBand="0" w:oddHBand="0" w:evenHBand="0" w:firstRowFirstColumn="0" w:firstRowLastColumn="0" w:lastRowFirstColumn="0" w:lastRowLastColumn="0"/>
            <w:tcW w:w="1549" w:type="dxa"/>
            <w:noWrap/>
            <w:vAlign w:val="center"/>
            <w:hideMark/>
          </w:tcPr>
          <w:p w:rsidR="001B1FAB" w:rsidRPr="007D14F3" w:rsidRDefault="001B1FAB" w:rsidP="009C7202">
            <w:pPr>
              <w:jc w:val="center"/>
              <w:rPr>
                <w:rFonts w:ascii="Times New Roman" w:eastAsia="Times New Roman" w:hAnsi="Times New Roman" w:cs="Times New Roman"/>
                <w:color w:val="000000"/>
                <w:sz w:val="24"/>
                <w:szCs w:val="24"/>
                <w:lang w:eastAsia="en-GB"/>
              </w:rPr>
            </w:pPr>
            <w:r w:rsidRPr="007D14F3">
              <w:rPr>
                <w:rFonts w:ascii="Times New Roman" w:eastAsia="Times New Roman" w:hAnsi="Times New Roman" w:cs="Times New Roman"/>
                <w:color w:val="000000"/>
                <w:sz w:val="24"/>
                <w:szCs w:val="24"/>
                <w:lang w:eastAsia="en-GB"/>
              </w:rPr>
              <w:t>Tobin’s q</w:t>
            </w:r>
          </w:p>
        </w:tc>
        <w:tc>
          <w:tcPr>
            <w:tcW w:w="861"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1.51</w:t>
            </w:r>
          </w:p>
        </w:tc>
        <w:tc>
          <w:tcPr>
            <w:tcW w:w="844"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1.02</w:t>
            </w:r>
          </w:p>
        </w:tc>
        <w:tc>
          <w:tcPr>
            <w:tcW w:w="946"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0.07</w:t>
            </w:r>
          </w:p>
        </w:tc>
        <w:tc>
          <w:tcPr>
            <w:tcW w:w="792"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0.92</w:t>
            </w:r>
          </w:p>
        </w:tc>
        <w:tc>
          <w:tcPr>
            <w:tcW w:w="949"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1.30</w:t>
            </w:r>
          </w:p>
        </w:tc>
        <w:tc>
          <w:tcPr>
            <w:tcW w:w="897"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1.84</w:t>
            </w:r>
          </w:p>
        </w:tc>
        <w:tc>
          <w:tcPr>
            <w:tcW w:w="971"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13.85</w:t>
            </w:r>
          </w:p>
        </w:tc>
        <w:tc>
          <w:tcPr>
            <w:tcW w:w="776"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2.73</w:t>
            </w:r>
          </w:p>
        </w:tc>
        <w:tc>
          <w:tcPr>
            <w:tcW w:w="792" w:type="dxa"/>
            <w:tcBorders>
              <w:right w:val="single" w:sz="4" w:space="0" w:color="FFFFFF" w:themeColor="background1"/>
            </w:tcBorders>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18.78</w:t>
            </w:r>
          </w:p>
        </w:tc>
      </w:tr>
      <w:tr w:rsidR="00E43B07" w:rsidRPr="007D14F3" w:rsidTr="00361818">
        <w:trPr>
          <w:trHeight w:val="415"/>
        </w:trPr>
        <w:tc>
          <w:tcPr>
            <w:cnfStyle w:val="001000000000" w:firstRow="0" w:lastRow="0" w:firstColumn="1" w:lastColumn="0" w:oddVBand="0" w:evenVBand="0" w:oddHBand="0" w:evenHBand="0" w:firstRowFirstColumn="0" w:firstRowLastColumn="0" w:lastRowFirstColumn="0" w:lastRowLastColumn="0"/>
            <w:tcW w:w="1549" w:type="dxa"/>
            <w:noWrap/>
            <w:vAlign w:val="center"/>
            <w:hideMark/>
          </w:tcPr>
          <w:p w:rsidR="001B1FAB" w:rsidRPr="007D14F3" w:rsidRDefault="001B1FAB" w:rsidP="009C7202">
            <w:pPr>
              <w:jc w:val="center"/>
              <w:rPr>
                <w:rFonts w:ascii="Times New Roman" w:eastAsia="Times New Roman" w:hAnsi="Times New Roman" w:cs="Times New Roman"/>
                <w:color w:val="000000"/>
                <w:sz w:val="24"/>
                <w:szCs w:val="24"/>
                <w:lang w:eastAsia="en-GB"/>
              </w:rPr>
            </w:pPr>
            <w:r w:rsidRPr="007D14F3">
              <w:rPr>
                <w:rFonts w:ascii="Times New Roman" w:eastAsia="Times New Roman" w:hAnsi="Times New Roman" w:cs="Times New Roman"/>
                <w:color w:val="000000"/>
                <w:sz w:val="24"/>
                <w:szCs w:val="24"/>
                <w:lang w:eastAsia="en-GB"/>
              </w:rPr>
              <w:t>Firm size</w:t>
            </w:r>
          </w:p>
        </w:tc>
        <w:tc>
          <w:tcPr>
            <w:tcW w:w="861"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3.60</w:t>
            </w:r>
          </w:p>
        </w:tc>
        <w:tc>
          <w:tcPr>
            <w:tcW w:w="844"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0.72</w:t>
            </w:r>
          </w:p>
        </w:tc>
        <w:tc>
          <w:tcPr>
            <w:tcW w:w="946"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1.98</w:t>
            </w:r>
          </w:p>
        </w:tc>
        <w:tc>
          <w:tcPr>
            <w:tcW w:w="792"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3.08</w:t>
            </w:r>
          </w:p>
        </w:tc>
        <w:tc>
          <w:tcPr>
            <w:tcW w:w="949"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3.53</w:t>
            </w:r>
          </w:p>
        </w:tc>
        <w:tc>
          <w:tcPr>
            <w:tcW w:w="897"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4.01</w:t>
            </w:r>
          </w:p>
        </w:tc>
        <w:tc>
          <w:tcPr>
            <w:tcW w:w="971"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6.31</w:t>
            </w:r>
          </w:p>
        </w:tc>
        <w:tc>
          <w:tcPr>
            <w:tcW w:w="776"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0.55</w:t>
            </w:r>
          </w:p>
        </w:tc>
        <w:tc>
          <w:tcPr>
            <w:tcW w:w="792" w:type="dxa"/>
            <w:tcBorders>
              <w:right w:val="single" w:sz="4" w:space="0" w:color="FFFFFF" w:themeColor="background1"/>
            </w:tcBorders>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3.33</w:t>
            </w:r>
          </w:p>
        </w:tc>
      </w:tr>
      <w:tr w:rsidR="00BF3D01" w:rsidRPr="007D14F3" w:rsidTr="00E24FF1">
        <w:trPr>
          <w:trHeight w:val="415"/>
        </w:trPr>
        <w:tc>
          <w:tcPr>
            <w:cnfStyle w:val="001000000000" w:firstRow="0" w:lastRow="0" w:firstColumn="1" w:lastColumn="0" w:oddVBand="0" w:evenVBand="0" w:oddHBand="0" w:evenHBand="0" w:firstRowFirstColumn="0" w:firstRowLastColumn="0" w:lastRowFirstColumn="0" w:lastRowLastColumn="0"/>
            <w:tcW w:w="9377" w:type="dxa"/>
            <w:gridSpan w:val="10"/>
            <w:tcBorders>
              <w:right w:val="single" w:sz="4" w:space="0" w:color="FFFFFF" w:themeColor="background1"/>
            </w:tcBorders>
            <w:noWrap/>
            <w:vAlign w:val="center"/>
          </w:tcPr>
          <w:p w:rsidR="00BF3D01" w:rsidRPr="007D14F3" w:rsidRDefault="00BF3D01" w:rsidP="009C7202">
            <w:pPr>
              <w:jc w:val="center"/>
              <w:rPr>
                <w:rFonts w:ascii="Times New Roman" w:eastAsia="Times New Roman" w:hAnsi="Times New Roman" w:cs="Times New Roman"/>
                <w:b/>
                <w:color w:val="000000"/>
                <w:sz w:val="24"/>
                <w:szCs w:val="24"/>
                <w:lang w:eastAsia="en-GB"/>
              </w:rPr>
            </w:pPr>
            <w:r w:rsidRPr="007D14F3">
              <w:rPr>
                <w:rFonts w:ascii="Times New Roman" w:eastAsia="Times New Roman" w:hAnsi="Times New Roman" w:cs="Times New Roman"/>
                <w:b/>
                <w:color w:val="000000"/>
                <w:sz w:val="24"/>
                <w:szCs w:val="24"/>
                <w:lang w:eastAsia="en-GB"/>
              </w:rPr>
              <w:t>Control variables – deal characteristics</w:t>
            </w:r>
          </w:p>
        </w:tc>
      </w:tr>
      <w:tr w:rsidR="00E43B07" w:rsidRPr="007D14F3" w:rsidTr="00361818">
        <w:trPr>
          <w:trHeight w:val="415"/>
        </w:trPr>
        <w:tc>
          <w:tcPr>
            <w:cnfStyle w:val="001000000000" w:firstRow="0" w:lastRow="0" w:firstColumn="1" w:lastColumn="0" w:oddVBand="0" w:evenVBand="0" w:oddHBand="0" w:evenHBand="0" w:firstRowFirstColumn="0" w:firstRowLastColumn="0" w:lastRowFirstColumn="0" w:lastRowLastColumn="0"/>
            <w:tcW w:w="1549" w:type="dxa"/>
            <w:noWrap/>
            <w:vAlign w:val="center"/>
          </w:tcPr>
          <w:p w:rsidR="001B1FAB" w:rsidRPr="007D14F3" w:rsidRDefault="001B1FAB" w:rsidP="009C7202">
            <w:pPr>
              <w:jc w:val="center"/>
              <w:rPr>
                <w:rFonts w:ascii="Times New Roman" w:eastAsia="Times New Roman" w:hAnsi="Times New Roman" w:cs="Times New Roman"/>
                <w:color w:val="000000"/>
                <w:sz w:val="24"/>
                <w:szCs w:val="24"/>
                <w:lang w:eastAsia="en-GB"/>
              </w:rPr>
            </w:pPr>
            <w:r w:rsidRPr="007D14F3">
              <w:rPr>
                <w:rFonts w:ascii="Times New Roman" w:eastAsia="Times New Roman" w:hAnsi="Times New Roman" w:cs="Times New Roman"/>
                <w:color w:val="000000"/>
                <w:sz w:val="24"/>
                <w:szCs w:val="24"/>
                <w:lang w:eastAsia="en-GB"/>
              </w:rPr>
              <w:t>Relative Deal Size</w:t>
            </w:r>
          </w:p>
        </w:tc>
        <w:tc>
          <w:tcPr>
            <w:tcW w:w="861" w:type="dxa"/>
            <w:noWrap/>
            <w:vAlign w:val="center"/>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0.13</w:t>
            </w:r>
          </w:p>
        </w:tc>
        <w:tc>
          <w:tcPr>
            <w:tcW w:w="844" w:type="dxa"/>
            <w:noWrap/>
            <w:vAlign w:val="center"/>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0.27</w:t>
            </w:r>
          </w:p>
        </w:tc>
        <w:tc>
          <w:tcPr>
            <w:tcW w:w="946" w:type="dxa"/>
            <w:noWrap/>
            <w:vAlign w:val="center"/>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0.0</w:t>
            </w:r>
            <w:r w:rsidR="005F3BB0" w:rsidRPr="007D14F3">
              <w:rPr>
                <w:rFonts w:ascii="Times New Roman" w:hAnsi="Times New Roman" w:cs="Times New Roman"/>
                <w:color w:val="000000"/>
                <w:sz w:val="24"/>
                <w:szCs w:val="24"/>
              </w:rPr>
              <w:t>1</w:t>
            </w:r>
          </w:p>
        </w:tc>
        <w:tc>
          <w:tcPr>
            <w:tcW w:w="792" w:type="dxa"/>
            <w:noWrap/>
            <w:vAlign w:val="center"/>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0.02</w:t>
            </w:r>
          </w:p>
        </w:tc>
        <w:tc>
          <w:tcPr>
            <w:tcW w:w="949" w:type="dxa"/>
            <w:noWrap/>
            <w:vAlign w:val="center"/>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0.04</w:t>
            </w:r>
          </w:p>
        </w:tc>
        <w:tc>
          <w:tcPr>
            <w:tcW w:w="897" w:type="dxa"/>
            <w:noWrap/>
            <w:vAlign w:val="center"/>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0.12</w:t>
            </w:r>
          </w:p>
        </w:tc>
        <w:tc>
          <w:tcPr>
            <w:tcW w:w="971" w:type="dxa"/>
            <w:noWrap/>
            <w:vAlign w:val="center"/>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3.56</w:t>
            </w:r>
          </w:p>
        </w:tc>
        <w:tc>
          <w:tcPr>
            <w:tcW w:w="776" w:type="dxa"/>
            <w:noWrap/>
            <w:vAlign w:val="center"/>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5.11</w:t>
            </w:r>
          </w:p>
        </w:tc>
        <w:tc>
          <w:tcPr>
            <w:tcW w:w="792" w:type="dxa"/>
            <w:tcBorders>
              <w:right w:val="single" w:sz="4" w:space="0" w:color="FFFFFF" w:themeColor="background1"/>
            </w:tcBorders>
            <w:noWrap/>
            <w:vAlign w:val="center"/>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40.15</w:t>
            </w:r>
          </w:p>
        </w:tc>
      </w:tr>
      <w:tr w:rsidR="00E43B07" w:rsidRPr="007D14F3" w:rsidTr="00361818">
        <w:trPr>
          <w:trHeight w:val="415"/>
        </w:trPr>
        <w:tc>
          <w:tcPr>
            <w:cnfStyle w:val="001000000000" w:firstRow="0" w:lastRow="0" w:firstColumn="1" w:lastColumn="0" w:oddVBand="0" w:evenVBand="0" w:oddHBand="0" w:evenHBand="0" w:firstRowFirstColumn="0" w:firstRowLastColumn="0" w:lastRowFirstColumn="0" w:lastRowLastColumn="0"/>
            <w:tcW w:w="1549" w:type="dxa"/>
            <w:noWrap/>
            <w:vAlign w:val="center"/>
            <w:hideMark/>
          </w:tcPr>
          <w:p w:rsidR="001B1FAB" w:rsidRPr="007D14F3" w:rsidRDefault="001B1FAB" w:rsidP="009C7202">
            <w:pPr>
              <w:jc w:val="center"/>
              <w:rPr>
                <w:rFonts w:ascii="Times New Roman" w:eastAsia="Times New Roman" w:hAnsi="Times New Roman" w:cs="Times New Roman"/>
                <w:color w:val="000000"/>
                <w:sz w:val="24"/>
                <w:szCs w:val="24"/>
                <w:lang w:eastAsia="en-GB"/>
              </w:rPr>
            </w:pPr>
            <w:r w:rsidRPr="007D14F3">
              <w:rPr>
                <w:rFonts w:ascii="Times New Roman" w:eastAsia="Times New Roman" w:hAnsi="Times New Roman" w:cs="Times New Roman"/>
                <w:color w:val="000000"/>
                <w:sz w:val="24"/>
                <w:szCs w:val="24"/>
                <w:lang w:eastAsia="en-GB"/>
              </w:rPr>
              <w:t>Industry</w:t>
            </w:r>
          </w:p>
        </w:tc>
        <w:tc>
          <w:tcPr>
            <w:tcW w:w="861"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0.53</w:t>
            </w:r>
          </w:p>
        </w:tc>
        <w:tc>
          <w:tcPr>
            <w:tcW w:w="844"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0.50</w:t>
            </w:r>
          </w:p>
        </w:tc>
        <w:tc>
          <w:tcPr>
            <w:tcW w:w="946"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0.00</w:t>
            </w:r>
          </w:p>
        </w:tc>
        <w:tc>
          <w:tcPr>
            <w:tcW w:w="792"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0.00</w:t>
            </w:r>
          </w:p>
        </w:tc>
        <w:tc>
          <w:tcPr>
            <w:tcW w:w="949"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1.00</w:t>
            </w:r>
          </w:p>
        </w:tc>
        <w:tc>
          <w:tcPr>
            <w:tcW w:w="897"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1.00</w:t>
            </w:r>
          </w:p>
        </w:tc>
        <w:tc>
          <w:tcPr>
            <w:tcW w:w="971"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1.00</w:t>
            </w:r>
          </w:p>
        </w:tc>
        <w:tc>
          <w:tcPr>
            <w:tcW w:w="776"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-0.13</w:t>
            </w:r>
          </w:p>
        </w:tc>
        <w:tc>
          <w:tcPr>
            <w:tcW w:w="792" w:type="dxa"/>
            <w:tcBorders>
              <w:right w:val="single" w:sz="4" w:space="0" w:color="FFFFFF" w:themeColor="background1"/>
            </w:tcBorders>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1.02</w:t>
            </w:r>
          </w:p>
        </w:tc>
      </w:tr>
      <w:tr w:rsidR="00E43B07" w:rsidRPr="007D14F3" w:rsidTr="00361818">
        <w:trPr>
          <w:trHeight w:val="415"/>
        </w:trPr>
        <w:tc>
          <w:tcPr>
            <w:cnfStyle w:val="001000000000" w:firstRow="0" w:lastRow="0" w:firstColumn="1" w:lastColumn="0" w:oddVBand="0" w:evenVBand="0" w:oddHBand="0" w:evenHBand="0" w:firstRowFirstColumn="0" w:firstRowLastColumn="0" w:lastRowFirstColumn="0" w:lastRowLastColumn="0"/>
            <w:tcW w:w="1549" w:type="dxa"/>
            <w:noWrap/>
            <w:vAlign w:val="center"/>
            <w:hideMark/>
          </w:tcPr>
          <w:p w:rsidR="001B1FAB" w:rsidRPr="007D14F3" w:rsidRDefault="001B1FAB" w:rsidP="009C7202">
            <w:pPr>
              <w:jc w:val="center"/>
              <w:rPr>
                <w:rFonts w:ascii="Times New Roman" w:eastAsia="Times New Roman" w:hAnsi="Times New Roman" w:cs="Times New Roman"/>
                <w:color w:val="000000"/>
                <w:sz w:val="24"/>
                <w:szCs w:val="24"/>
                <w:lang w:eastAsia="en-GB"/>
              </w:rPr>
            </w:pPr>
            <w:r w:rsidRPr="007D14F3">
              <w:rPr>
                <w:rFonts w:ascii="Times New Roman" w:eastAsia="Times New Roman" w:hAnsi="Times New Roman" w:cs="Times New Roman"/>
                <w:color w:val="000000"/>
                <w:sz w:val="24"/>
                <w:szCs w:val="24"/>
                <w:lang w:eastAsia="en-GB"/>
              </w:rPr>
              <w:t>Private</w:t>
            </w:r>
          </w:p>
        </w:tc>
        <w:tc>
          <w:tcPr>
            <w:tcW w:w="861"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0.60</w:t>
            </w:r>
          </w:p>
        </w:tc>
        <w:tc>
          <w:tcPr>
            <w:tcW w:w="844"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0.49</w:t>
            </w:r>
          </w:p>
        </w:tc>
        <w:tc>
          <w:tcPr>
            <w:tcW w:w="946"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0.00</w:t>
            </w:r>
          </w:p>
        </w:tc>
        <w:tc>
          <w:tcPr>
            <w:tcW w:w="792"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0.00</w:t>
            </w:r>
          </w:p>
        </w:tc>
        <w:tc>
          <w:tcPr>
            <w:tcW w:w="949"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1.00</w:t>
            </w:r>
          </w:p>
        </w:tc>
        <w:tc>
          <w:tcPr>
            <w:tcW w:w="897"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1.00</w:t>
            </w:r>
          </w:p>
        </w:tc>
        <w:tc>
          <w:tcPr>
            <w:tcW w:w="971"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1.00</w:t>
            </w:r>
          </w:p>
        </w:tc>
        <w:tc>
          <w:tcPr>
            <w:tcW w:w="776"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-0.40</w:t>
            </w:r>
          </w:p>
        </w:tc>
        <w:tc>
          <w:tcPr>
            <w:tcW w:w="792" w:type="dxa"/>
            <w:tcBorders>
              <w:right w:val="single" w:sz="4" w:space="0" w:color="FFFFFF" w:themeColor="background1"/>
            </w:tcBorders>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1.16</w:t>
            </w:r>
          </w:p>
        </w:tc>
      </w:tr>
      <w:tr w:rsidR="00E43B07" w:rsidRPr="007D14F3" w:rsidTr="00361818">
        <w:trPr>
          <w:trHeight w:val="415"/>
        </w:trPr>
        <w:tc>
          <w:tcPr>
            <w:cnfStyle w:val="001000000000" w:firstRow="0" w:lastRow="0" w:firstColumn="1" w:lastColumn="0" w:oddVBand="0" w:evenVBand="0" w:oddHBand="0" w:evenHBand="0" w:firstRowFirstColumn="0" w:firstRowLastColumn="0" w:lastRowFirstColumn="0" w:lastRowLastColumn="0"/>
            <w:tcW w:w="1549" w:type="dxa"/>
            <w:noWrap/>
            <w:vAlign w:val="center"/>
            <w:hideMark/>
          </w:tcPr>
          <w:p w:rsidR="001B1FAB" w:rsidRPr="007D14F3" w:rsidRDefault="001B1FAB" w:rsidP="009C7202">
            <w:pPr>
              <w:jc w:val="center"/>
              <w:rPr>
                <w:rFonts w:ascii="Times New Roman" w:eastAsia="Times New Roman" w:hAnsi="Times New Roman" w:cs="Times New Roman"/>
                <w:color w:val="000000"/>
                <w:sz w:val="24"/>
                <w:szCs w:val="24"/>
                <w:lang w:eastAsia="en-GB"/>
              </w:rPr>
            </w:pPr>
            <w:r w:rsidRPr="007D14F3">
              <w:rPr>
                <w:rFonts w:ascii="Times New Roman" w:eastAsia="Times New Roman" w:hAnsi="Times New Roman" w:cs="Times New Roman"/>
                <w:color w:val="000000"/>
                <w:sz w:val="24"/>
                <w:szCs w:val="24"/>
                <w:lang w:eastAsia="en-GB"/>
              </w:rPr>
              <w:t>Subsidiary</w:t>
            </w:r>
          </w:p>
        </w:tc>
        <w:tc>
          <w:tcPr>
            <w:tcW w:w="861"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0.09</w:t>
            </w:r>
          </w:p>
        </w:tc>
        <w:tc>
          <w:tcPr>
            <w:tcW w:w="844"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0.28</w:t>
            </w:r>
          </w:p>
        </w:tc>
        <w:tc>
          <w:tcPr>
            <w:tcW w:w="946"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0.00</w:t>
            </w:r>
          </w:p>
        </w:tc>
        <w:tc>
          <w:tcPr>
            <w:tcW w:w="792"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0.00</w:t>
            </w:r>
          </w:p>
        </w:tc>
        <w:tc>
          <w:tcPr>
            <w:tcW w:w="949"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0.00</w:t>
            </w:r>
          </w:p>
        </w:tc>
        <w:tc>
          <w:tcPr>
            <w:tcW w:w="897"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0.00</w:t>
            </w:r>
          </w:p>
        </w:tc>
        <w:tc>
          <w:tcPr>
            <w:tcW w:w="971"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1.00</w:t>
            </w:r>
          </w:p>
        </w:tc>
        <w:tc>
          <w:tcPr>
            <w:tcW w:w="776"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2.93</w:t>
            </w:r>
          </w:p>
        </w:tc>
        <w:tc>
          <w:tcPr>
            <w:tcW w:w="792" w:type="dxa"/>
            <w:tcBorders>
              <w:right w:val="single" w:sz="4" w:space="0" w:color="FFFFFF" w:themeColor="background1"/>
            </w:tcBorders>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9.61</w:t>
            </w:r>
          </w:p>
        </w:tc>
      </w:tr>
      <w:tr w:rsidR="00E43B07" w:rsidRPr="007D14F3" w:rsidTr="00361818">
        <w:trPr>
          <w:trHeight w:val="415"/>
        </w:trPr>
        <w:tc>
          <w:tcPr>
            <w:cnfStyle w:val="001000000000" w:firstRow="0" w:lastRow="0" w:firstColumn="1" w:lastColumn="0" w:oddVBand="0" w:evenVBand="0" w:oddHBand="0" w:evenHBand="0" w:firstRowFirstColumn="0" w:firstRowLastColumn="0" w:lastRowFirstColumn="0" w:lastRowLastColumn="0"/>
            <w:tcW w:w="1549" w:type="dxa"/>
            <w:noWrap/>
            <w:vAlign w:val="center"/>
            <w:hideMark/>
          </w:tcPr>
          <w:p w:rsidR="001B1FAB" w:rsidRPr="007D14F3" w:rsidRDefault="001B1FAB" w:rsidP="009C7202">
            <w:pPr>
              <w:jc w:val="center"/>
              <w:rPr>
                <w:rFonts w:ascii="Times New Roman" w:eastAsia="Times New Roman" w:hAnsi="Times New Roman" w:cs="Times New Roman"/>
                <w:color w:val="000000"/>
                <w:sz w:val="24"/>
                <w:szCs w:val="24"/>
                <w:lang w:eastAsia="en-GB"/>
              </w:rPr>
            </w:pPr>
            <w:r w:rsidRPr="007D14F3">
              <w:rPr>
                <w:rFonts w:ascii="Times New Roman" w:eastAsia="Times New Roman" w:hAnsi="Times New Roman" w:cs="Times New Roman"/>
                <w:color w:val="000000"/>
                <w:sz w:val="24"/>
                <w:szCs w:val="24"/>
                <w:lang w:eastAsia="en-GB"/>
              </w:rPr>
              <w:t>All-Cash</w:t>
            </w:r>
          </w:p>
        </w:tc>
        <w:tc>
          <w:tcPr>
            <w:tcW w:w="861"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0.40</w:t>
            </w:r>
          </w:p>
        </w:tc>
        <w:tc>
          <w:tcPr>
            <w:tcW w:w="844"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0.49</w:t>
            </w:r>
          </w:p>
        </w:tc>
        <w:tc>
          <w:tcPr>
            <w:tcW w:w="946"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0.00</w:t>
            </w:r>
          </w:p>
        </w:tc>
        <w:tc>
          <w:tcPr>
            <w:tcW w:w="792"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0.00</w:t>
            </w:r>
          </w:p>
        </w:tc>
        <w:tc>
          <w:tcPr>
            <w:tcW w:w="949"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0.00</w:t>
            </w:r>
          </w:p>
        </w:tc>
        <w:tc>
          <w:tcPr>
            <w:tcW w:w="897"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1.00</w:t>
            </w:r>
          </w:p>
        </w:tc>
        <w:tc>
          <w:tcPr>
            <w:tcW w:w="971"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1.00</w:t>
            </w:r>
          </w:p>
        </w:tc>
        <w:tc>
          <w:tcPr>
            <w:tcW w:w="776"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0.42</w:t>
            </w:r>
          </w:p>
        </w:tc>
        <w:tc>
          <w:tcPr>
            <w:tcW w:w="792" w:type="dxa"/>
            <w:tcBorders>
              <w:right w:val="single" w:sz="4" w:space="0" w:color="FFFFFF" w:themeColor="background1"/>
            </w:tcBorders>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1.18</w:t>
            </w:r>
          </w:p>
        </w:tc>
      </w:tr>
      <w:tr w:rsidR="00E43B07" w:rsidRPr="007D14F3" w:rsidTr="00361818">
        <w:trPr>
          <w:trHeight w:val="415"/>
        </w:trPr>
        <w:tc>
          <w:tcPr>
            <w:cnfStyle w:val="001000000000" w:firstRow="0" w:lastRow="0" w:firstColumn="1" w:lastColumn="0" w:oddVBand="0" w:evenVBand="0" w:oddHBand="0" w:evenHBand="0" w:firstRowFirstColumn="0" w:firstRowLastColumn="0" w:lastRowFirstColumn="0" w:lastRowLastColumn="0"/>
            <w:tcW w:w="1549" w:type="dxa"/>
            <w:noWrap/>
            <w:vAlign w:val="center"/>
            <w:hideMark/>
          </w:tcPr>
          <w:p w:rsidR="001B1FAB" w:rsidRPr="007D14F3" w:rsidRDefault="001B1FAB" w:rsidP="009C7202">
            <w:pPr>
              <w:jc w:val="center"/>
              <w:rPr>
                <w:rFonts w:ascii="Times New Roman" w:eastAsia="Times New Roman" w:hAnsi="Times New Roman" w:cs="Times New Roman"/>
                <w:color w:val="000000"/>
                <w:sz w:val="24"/>
                <w:szCs w:val="24"/>
                <w:lang w:eastAsia="en-GB"/>
              </w:rPr>
            </w:pPr>
            <w:r w:rsidRPr="007D14F3">
              <w:rPr>
                <w:rFonts w:ascii="Times New Roman" w:eastAsia="Times New Roman" w:hAnsi="Times New Roman" w:cs="Times New Roman"/>
                <w:color w:val="000000"/>
                <w:sz w:val="24"/>
                <w:szCs w:val="24"/>
                <w:lang w:eastAsia="en-GB"/>
              </w:rPr>
              <w:t>Stock</w:t>
            </w:r>
          </w:p>
        </w:tc>
        <w:tc>
          <w:tcPr>
            <w:tcW w:w="861"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0.14</w:t>
            </w:r>
          </w:p>
        </w:tc>
        <w:tc>
          <w:tcPr>
            <w:tcW w:w="844"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0.35</w:t>
            </w:r>
          </w:p>
        </w:tc>
        <w:tc>
          <w:tcPr>
            <w:tcW w:w="946"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0.00</w:t>
            </w:r>
          </w:p>
        </w:tc>
        <w:tc>
          <w:tcPr>
            <w:tcW w:w="792"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0.00</w:t>
            </w:r>
          </w:p>
        </w:tc>
        <w:tc>
          <w:tcPr>
            <w:tcW w:w="949"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0.00</w:t>
            </w:r>
          </w:p>
        </w:tc>
        <w:tc>
          <w:tcPr>
            <w:tcW w:w="897"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0.00</w:t>
            </w:r>
          </w:p>
        </w:tc>
        <w:tc>
          <w:tcPr>
            <w:tcW w:w="971"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1.00</w:t>
            </w:r>
          </w:p>
        </w:tc>
        <w:tc>
          <w:tcPr>
            <w:tcW w:w="776"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2.03</w:t>
            </w:r>
          </w:p>
        </w:tc>
        <w:tc>
          <w:tcPr>
            <w:tcW w:w="792" w:type="dxa"/>
            <w:tcBorders>
              <w:right w:val="single" w:sz="4" w:space="0" w:color="FFFFFF" w:themeColor="background1"/>
            </w:tcBorders>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5.14</w:t>
            </w:r>
          </w:p>
        </w:tc>
      </w:tr>
      <w:tr w:rsidR="00BF3D01" w:rsidRPr="007D14F3" w:rsidTr="00E24FF1">
        <w:trPr>
          <w:trHeight w:val="415"/>
        </w:trPr>
        <w:tc>
          <w:tcPr>
            <w:cnfStyle w:val="001000000000" w:firstRow="0" w:lastRow="0" w:firstColumn="1" w:lastColumn="0" w:oddVBand="0" w:evenVBand="0" w:oddHBand="0" w:evenHBand="0" w:firstRowFirstColumn="0" w:firstRowLastColumn="0" w:lastRowFirstColumn="0" w:lastRowLastColumn="0"/>
            <w:tcW w:w="9377" w:type="dxa"/>
            <w:gridSpan w:val="10"/>
            <w:tcBorders>
              <w:right w:val="single" w:sz="4" w:space="0" w:color="FFFFFF" w:themeColor="background1"/>
            </w:tcBorders>
            <w:noWrap/>
            <w:vAlign w:val="center"/>
          </w:tcPr>
          <w:p w:rsidR="00BF3D01" w:rsidRPr="007D14F3" w:rsidRDefault="00361818" w:rsidP="009C7202">
            <w:pPr>
              <w:jc w:val="center"/>
              <w:rPr>
                <w:rFonts w:ascii="Times New Roman" w:eastAsia="Times New Roman" w:hAnsi="Times New Roman" w:cs="Times New Roman"/>
                <w:b/>
                <w:color w:val="000000"/>
                <w:sz w:val="24"/>
                <w:szCs w:val="24"/>
                <w:lang w:eastAsia="en-GB"/>
              </w:rPr>
            </w:pPr>
            <w:r w:rsidRPr="007D14F3">
              <w:rPr>
                <w:rFonts w:ascii="Times New Roman" w:eastAsia="Times New Roman" w:hAnsi="Times New Roman" w:cs="Times New Roman"/>
                <w:b/>
                <w:color w:val="000000"/>
                <w:sz w:val="24"/>
                <w:szCs w:val="24"/>
                <w:lang w:eastAsia="en-GB"/>
              </w:rPr>
              <w:t>Control variable</w:t>
            </w:r>
            <w:r w:rsidR="00BF3D01" w:rsidRPr="007D14F3">
              <w:rPr>
                <w:rFonts w:ascii="Times New Roman" w:eastAsia="Times New Roman" w:hAnsi="Times New Roman" w:cs="Times New Roman"/>
                <w:b/>
                <w:color w:val="000000"/>
                <w:sz w:val="24"/>
                <w:szCs w:val="24"/>
                <w:lang w:eastAsia="en-GB"/>
              </w:rPr>
              <w:t xml:space="preserve"> – other corporate governance characteristics</w:t>
            </w:r>
          </w:p>
        </w:tc>
      </w:tr>
      <w:tr w:rsidR="00E43B07" w:rsidRPr="007D14F3" w:rsidTr="00361818">
        <w:trPr>
          <w:trHeight w:val="415"/>
        </w:trPr>
        <w:tc>
          <w:tcPr>
            <w:cnfStyle w:val="001000000000" w:firstRow="0" w:lastRow="0" w:firstColumn="1" w:lastColumn="0" w:oddVBand="0" w:evenVBand="0" w:oddHBand="0" w:evenHBand="0" w:firstRowFirstColumn="0" w:firstRowLastColumn="0" w:lastRowFirstColumn="0" w:lastRowLastColumn="0"/>
            <w:tcW w:w="1549" w:type="dxa"/>
            <w:noWrap/>
            <w:vAlign w:val="center"/>
            <w:hideMark/>
          </w:tcPr>
          <w:p w:rsidR="001B1FAB" w:rsidRPr="007D14F3" w:rsidRDefault="001B1FAB" w:rsidP="009C7202">
            <w:pPr>
              <w:jc w:val="center"/>
              <w:rPr>
                <w:rFonts w:ascii="Times New Roman" w:eastAsia="Times New Roman" w:hAnsi="Times New Roman" w:cs="Times New Roman"/>
                <w:color w:val="000000"/>
                <w:sz w:val="24"/>
                <w:szCs w:val="24"/>
                <w:lang w:eastAsia="en-GB"/>
              </w:rPr>
            </w:pPr>
            <w:r w:rsidRPr="007D14F3">
              <w:rPr>
                <w:rFonts w:ascii="Times New Roman" w:eastAsia="Times New Roman" w:hAnsi="Times New Roman" w:cs="Times New Roman"/>
                <w:color w:val="000000"/>
                <w:sz w:val="24"/>
                <w:szCs w:val="24"/>
                <w:lang w:eastAsia="en-GB"/>
              </w:rPr>
              <w:t xml:space="preserve">CEO </w:t>
            </w:r>
            <w:r w:rsidR="00A8727D" w:rsidRPr="007D14F3">
              <w:rPr>
                <w:rFonts w:ascii="Times New Roman" w:eastAsia="Times New Roman" w:hAnsi="Times New Roman" w:cs="Times New Roman"/>
                <w:color w:val="000000"/>
                <w:sz w:val="24"/>
                <w:szCs w:val="24"/>
                <w:lang w:eastAsia="en-GB"/>
              </w:rPr>
              <w:t>Ownership</w:t>
            </w:r>
          </w:p>
        </w:tc>
        <w:tc>
          <w:tcPr>
            <w:tcW w:w="861"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0.01</w:t>
            </w:r>
          </w:p>
        </w:tc>
        <w:tc>
          <w:tcPr>
            <w:tcW w:w="844"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0.01</w:t>
            </w:r>
          </w:p>
        </w:tc>
        <w:tc>
          <w:tcPr>
            <w:tcW w:w="946"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0.00</w:t>
            </w:r>
          </w:p>
        </w:tc>
        <w:tc>
          <w:tcPr>
            <w:tcW w:w="792"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0.00</w:t>
            </w:r>
          </w:p>
        </w:tc>
        <w:tc>
          <w:tcPr>
            <w:tcW w:w="949"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0.00</w:t>
            </w:r>
          </w:p>
        </w:tc>
        <w:tc>
          <w:tcPr>
            <w:tcW w:w="897"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0.01</w:t>
            </w:r>
          </w:p>
        </w:tc>
        <w:tc>
          <w:tcPr>
            <w:tcW w:w="971"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w:t>
            </w:r>
            <w:r w:rsidR="00490C11" w:rsidRPr="007D14F3">
              <w:rPr>
                <w:rFonts w:ascii="Times New Roman" w:hAnsi="Times New Roman" w:cs="Times New Roman"/>
                <w:color w:val="000000"/>
                <w:sz w:val="24"/>
                <w:szCs w:val="24"/>
              </w:rPr>
              <w:t>1</w:t>
            </w:r>
            <w:r w:rsidRPr="007D14F3">
              <w:rPr>
                <w:rFonts w:ascii="Times New Roman" w:hAnsi="Times New Roman" w:cs="Times New Roman"/>
                <w:color w:val="000000"/>
                <w:sz w:val="24"/>
                <w:szCs w:val="24"/>
              </w:rPr>
              <w:t>6</w:t>
            </w:r>
          </w:p>
        </w:tc>
        <w:tc>
          <w:tcPr>
            <w:tcW w:w="776" w:type="dxa"/>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6.80</w:t>
            </w:r>
          </w:p>
        </w:tc>
        <w:tc>
          <w:tcPr>
            <w:tcW w:w="792" w:type="dxa"/>
            <w:tcBorders>
              <w:right w:val="single" w:sz="4" w:space="0" w:color="FFFFFF" w:themeColor="background1"/>
            </w:tcBorders>
            <w:noWrap/>
            <w:vAlign w:val="center"/>
            <w:hideMark/>
          </w:tcPr>
          <w:p w:rsidR="001B1FAB" w:rsidRPr="007D14F3" w:rsidRDefault="001B1FAB" w:rsidP="009C7202">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83.18</w:t>
            </w:r>
          </w:p>
        </w:tc>
      </w:tr>
    </w:tbl>
    <w:p w:rsidR="00156514" w:rsidRPr="007D14F3" w:rsidRDefault="00156514" w:rsidP="009C7202">
      <w:pPr>
        <w:spacing w:before="120" w:after="120" w:line="240" w:lineRule="auto"/>
        <w:rPr>
          <w:rFonts w:ascii="Times New Roman" w:hAnsi="Times New Roman" w:cs="Times New Roman"/>
          <w:sz w:val="24"/>
          <w:szCs w:val="24"/>
        </w:rPr>
      </w:pPr>
    </w:p>
    <w:p w:rsidR="00156514" w:rsidRPr="007D14F3" w:rsidRDefault="00156514" w:rsidP="009C7202">
      <w:pPr>
        <w:spacing w:before="120" w:after="120" w:line="240" w:lineRule="auto"/>
        <w:rPr>
          <w:rFonts w:ascii="Times New Roman" w:hAnsi="Times New Roman" w:cs="Times New Roman"/>
          <w:sz w:val="24"/>
          <w:szCs w:val="24"/>
        </w:rPr>
      </w:pPr>
      <w:r w:rsidRPr="007D14F3">
        <w:rPr>
          <w:rFonts w:ascii="Times New Roman" w:hAnsi="Times New Roman" w:cs="Times New Roman"/>
          <w:sz w:val="24"/>
          <w:szCs w:val="24"/>
        </w:rPr>
        <w:br w:type="page"/>
      </w:r>
    </w:p>
    <w:p w:rsidR="00167F0B" w:rsidRPr="007D14F3" w:rsidRDefault="00177541" w:rsidP="009C7202">
      <w:pPr>
        <w:pStyle w:val="Heading1"/>
        <w:numPr>
          <w:ilvl w:val="0"/>
          <w:numId w:val="3"/>
        </w:numPr>
        <w:rPr>
          <w:rFonts w:cs="Times New Roman"/>
          <w:sz w:val="24"/>
          <w:szCs w:val="24"/>
        </w:rPr>
      </w:pPr>
      <w:bookmarkStart w:id="40" w:name="_Toc516128947"/>
      <w:r w:rsidRPr="007D14F3">
        <w:rPr>
          <w:rFonts w:cs="Times New Roman"/>
          <w:sz w:val="24"/>
          <w:szCs w:val="24"/>
        </w:rPr>
        <w:lastRenderedPageBreak/>
        <w:t>Results</w:t>
      </w:r>
      <w:bookmarkEnd w:id="40"/>
    </w:p>
    <w:p w:rsidR="007C664F" w:rsidRPr="007D14F3" w:rsidRDefault="00181BB2" w:rsidP="009C7202">
      <w:pPr>
        <w:pStyle w:val="Heading2"/>
        <w:numPr>
          <w:ilvl w:val="1"/>
          <w:numId w:val="3"/>
        </w:numPr>
        <w:spacing w:before="120" w:after="120" w:line="240" w:lineRule="auto"/>
        <w:jc w:val="both"/>
        <w:rPr>
          <w:szCs w:val="24"/>
        </w:rPr>
      </w:pPr>
      <w:bookmarkStart w:id="41" w:name="_Toc516128948"/>
      <w:r w:rsidRPr="007D14F3">
        <w:rPr>
          <w:rFonts w:cs="Times New Roman"/>
          <w:szCs w:val="24"/>
        </w:rPr>
        <w:t>Research findings</w:t>
      </w:r>
      <w:bookmarkEnd w:id="41"/>
    </w:p>
    <w:p w:rsidR="00656A3F" w:rsidRPr="007D14F3" w:rsidRDefault="002F3F53" w:rsidP="009C7202">
      <w:pPr>
        <w:spacing w:before="120" w:after="120" w:line="240" w:lineRule="auto"/>
        <w:jc w:val="both"/>
        <w:rPr>
          <w:rFonts w:ascii="Times New Roman" w:hAnsi="Times New Roman" w:cs="Times New Roman"/>
          <w:sz w:val="24"/>
          <w:szCs w:val="24"/>
        </w:rPr>
      </w:pPr>
      <w:r w:rsidRPr="007D14F3">
        <w:rPr>
          <w:rFonts w:ascii="Times New Roman" w:hAnsi="Times New Roman" w:cs="Times New Roman"/>
          <w:sz w:val="24"/>
          <w:szCs w:val="24"/>
        </w:rPr>
        <w:t>A</w:t>
      </w:r>
      <w:r w:rsidR="00612D47" w:rsidRPr="007D14F3">
        <w:rPr>
          <w:rFonts w:ascii="Times New Roman" w:hAnsi="Times New Roman" w:cs="Times New Roman"/>
          <w:sz w:val="24"/>
          <w:szCs w:val="24"/>
        </w:rPr>
        <w:t>n OLS regression</w:t>
      </w:r>
      <w:r w:rsidRPr="007D14F3">
        <w:rPr>
          <w:rFonts w:ascii="Times New Roman" w:hAnsi="Times New Roman" w:cs="Times New Roman"/>
          <w:sz w:val="24"/>
          <w:szCs w:val="24"/>
        </w:rPr>
        <w:t xml:space="preserve"> is run to test the hypotheses stated in the </w:t>
      </w:r>
      <w:r w:rsidRPr="007D14F3">
        <w:rPr>
          <w:rFonts w:ascii="Times New Roman" w:hAnsi="Times New Roman" w:cs="Times New Roman"/>
          <w:noProof/>
          <w:sz w:val="24"/>
          <w:szCs w:val="24"/>
        </w:rPr>
        <w:t>research</w:t>
      </w:r>
      <w:r w:rsidR="00612D47" w:rsidRPr="007D14F3">
        <w:rPr>
          <w:rFonts w:ascii="Times New Roman" w:hAnsi="Times New Roman" w:cs="Times New Roman"/>
          <w:sz w:val="24"/>
          <w:szCs w:val="24"/>
        </w:rPr>
        <w:t xml:space="preserve">, </w:t>
      </w:r>
      <w:r w:rsidR="00BE3658" w:rsidRPr="007D14F3">
        <w:rPr>
          <w:rFonts w:ascii="Times New Roman" w:hAnsi="Times New Roman" w:cs="Times New Roman"/>
          <w:sz w:val="24"/>
          <w:szCs w:val="24"/>
        </w:rPr>
        <w:t xml:space="preserve">the </w:t>
      </w:r>
      <w:r w:rsidR="00612D47" w:rsidRPr="007D14F3">
        <w:rPr>
          <w:rFonts w:ascii="Times New Roman" w:hAnsi="Times New Roman" w:cs="Times New Roman"/>
          <w:sz w:val="24"/>
          <w:szCs w:val="24"/>
        </w:rPr>
        <w:t>res</w:t>
      </w:r>
      <w:r w:rsidR="00BC0494" w:rsidRPr="007D14F3">
        <w:rPr>
          <w:rFonts w:ascii="Times New Roman" w:hAnsi="Times New Roman" w:cs="Times New Roman"/>
          <w:sz w:val="24"/>
          <w:szCs w:val="24"/>
        </w:rPr>
        <w:t xml:space="preserve">ults of which are shown in </w:t>
      </w:r>
      <w:r w:rsidR="00BC0494" w:rsidRPr="007D14F3">
        <w:rPr>
          <w:rFonts w:ascii="Times New Roman" w:hAnsi="Times New Roman" w:cs="Times New Roman"/>
          <w:noProof/>
          <w:sz w:val="24"/>
          <w:szCs w:val="24"/>
        </w:rPr>
        <w:t>T</w:t>
      </w:r>
      <w:r w:rsidR="00612D47" w:rsidRPr="007D14F3">
        <w:rPr>
          <w:rFonts w:ascii="Times New Roman" w:hAnsi="Times New Roman" w:cs="Times New Roman"/>
          <w:noProof/>
          <w:sz w:val="24"/>
          <w:szCs w:val="24"/>
        </w:rPr>
        <w:t>able</w:t>
      </w:r>
      <w:r w:rsidR="00BB27D2" w:rsidRPr="007D14F3">
        <w:rPr>
          <w:rFonts w:ascii="Times New Roman" w:hAnsi="Times New Roman" w:cs="Times New Roman"/>
          <w:sz w:val="24"/>
          <w:szCs w:val="24"/>
        </w:rPr>
        <w:t xml:space="preserve"> </w:t>
      </w:r>
      <w:r w:rsidR="00F07152" w:rsidRPr="007D14F3">
        <w:rPr>
          <w:rFonts w:ascii="Times New Roman" w:hAnsi="Times New Roman" w:cs="Times New Roman"/>
          <w:sz w:val="24"/>
          <w:szCs w:val="24"/>
        </w:rPr>
        <w:t>I</w:t>
      </w:r>
      <w:r w:rsidR="00BB27D2" w:rsidRPr="007D14F3">
        <w:rPr>
          <w:rFonts w:ascii="Times New Roman" w:hAnsi="Times New Roman" w:cs="Times New Roman"/>
          <w:sz w:val="24"/>
          <w:szCs w:val="24"/>
        </w:rPr>
        <w:t>V. The second m</w:t>
      </w:r>
      <w:r w:rsidR="00612D47" w:rsidRPr="007D14F3">
        <w:rPr>
          <w:rFonts w:ascii="Times New Roman" w:hAnsi="Times New Roman" w:cs="Times New Roman"/>
          <w:sz w:val="24"/>
          <w:szCs w:val="24"/>
        </w:rPr>
        <w:t xml:space="preserve">odel </w:t>
      </w:r>
      <w:r w:rsidR="00BB27D2" w:rsidRPr="007D14F3">
        <w:rPr>
          <w:rFonts w:ascii="Times New Roman" w:hAnsi="Times New Roman" w:cs="Times New Roman"/>
          <w:sz w:val="24"/>
          <w:szCs w:val="24"/>
        </w:rPr>
        <w:t>controls for the</w:t>
      </w:r>
      <w:r w:rsidR="00612D47" w:rsidRPr="007D14F3">
        <w:rPr>
          <w:rFonts w:ascii="Times New Roman" w:hAnsi="Times New Roman" w:cs="Times New Roman"/>
          <w:sz w:val="24"/>
          <w:szCs w:val="24"/>
        </w:rPr>
        <w:t xml:space="preserve"> fixed-time effects, which were included due to significant differences in cumulative abnormal returns in every year of the </w:t>
      </w:r>
      <w:r w:rsidR="002A06B4" w:rsidRPr="007D14F3">
        <w:rPr>
          <w:rFonts w:ascii="Times New Roman" w:hAnsi="Times New Roman" w:cs="Times New Roman"/>
          <w:sz w:val="24"/>
          <w:szCs w:val="24"/>
        </w:rPr>
        <w:t>analyzed</w:t>
      </w:r>
      <w:r w:rsidR="00612D47" w:rsidRPr="007D14F3">
        <w:rPr>
          <w:rFonts w:ascii="Times New Roman" w:hAnsi="Times New Roman" w:cs="Times New Roman"/>
          <w:sz w:val="24"/>
          <w:szCs w:val="24"/>
        </w:rPr>
        <w:t xml:space="preserve"> period. </w:t>
      </w:r>
      <w:r w:rsidR="00422819" w:rsidRPr="007D14F3">
        <w:rPr>
          <w:rFonts w:ascii="Times New Roman" w:hAnsi="Times New Roman" w:cs="Times New Roman"/>
          <w:sz w:val="24"/>
          <w:szCs w:val="24"/>
        </w:rPr>
        <w:t xml:space="preserve">Two out of five board characteristics turn out to significantly influence </w:t>
      </w:r>
      <w:r w:rsidR="00656A3F" w:rsidRPr="007D14F3">
        <w:rPr>
          <w:rFonts w:ascii="Times New Roman" w:hAnsi="Times New Roman" w:cs="Times New Roman"/>
          <w:sz w:val="24"/>
          <w:szCs w:val="24"/>
        </w:rPr>
        <w:t xml:space="preserve">the </w:t>
      </w:r>
      <w:r w:rsidR="0003020D" w:rsidRPr="007D14F3">
        <w:rPr>
          <w:rFonts w:ascii="Times New Roman" w:hAnsi="Times New Roman" w:cs="Times New Roman"/>
          <w:sz w:val="24"/>
          <w:szCs w:val="24"/>
        </w:rPr>
        <w:t>acquirer</w:t>
      </w:r>
      <w:r w:rsidR="00422819" w:rsidRPr="007D14F3">
        <w:rPr>
          <w:rFonts w:ascii="Times New Roman" w:hAnsi="Times New Roman" w:cs="Times New Roman"/>
          <w:sz w:val="24"/>
          <w:szCs w:val="24"/>
        </w:rPr>
        <w:t xml:space="preserve"> returns.</w:t>
      </w:r>
    </w:p>
    <w:p w:rsidR="001C631F" w:rsidRPr="007D14F3" w:rsidRDefault="00361818" w:rsidP="009C7202">
      <w:pPr>
        <w:spacing w:before="120" w:after="120" w:line="240" w:lineRule="auto"/>
        <w:jc w:val="both"/>
        <w:rPr>
          <w:rFonts w:ascii="Times New Roman" w:hAnsi="Times New Roman" w:cs="Times New Roman"/>
          <w:sz w:val="24"/>
          <w:szCs w:val="24"/>
        </w:rPr>
      </w:pPr>
      <w:r w:rsidRPr="007D14F3">
        <w:rPr>
          <w:rFonts w:ascii="Times New Roman" w:hAnsi="Times New Roman" w:cs="Times New Roman"/>
          <w:sz w:val="24"/>
          <w:szCs w:val="24"/>
        </w:rPr>
        <w:t>All else equal, board classification</w:t>
      </w:r>
      <w:r w:rsidR="00612D47" w:rsidRPr="007D14F3">
        <w:rPr>
          <w:rFonts w:ascii="Times New Roman" w:hAnsi="Times New Roman" w:cs="Times New Roman"/>
          <w:sz w:val="24"/>
          <w:szCs w:val="24"/>
        </w:rPr>
        <w:t xml:space="preserve"> has a positive influence on the </w:t>
      </w:r>
      <w:r w:rsidR="000127B3" w:rsidRPr="007D14F3">
        <w:rPr>
          <w:rFonts w:ascii="Times New Roman" w:hAnsi="Times New Roman" w:cs="Times New Roman"/>
          <w:sz w:val="24"/>
          <w:szCs w:val="24"/>
        </w:rPr>
        <w:t>acquirer</w:t>
      </w:r>
      <w:r w:rsidR="00612D47" w:rsidRPr="007D14F3">
        <w:rPr>
          <w:rFonts w:ascii="Times New Roman" w:hAnsi="Times New Roman" w:cs="Times New Roman"/>
          <w:sz w:val="24"/>
          <w:szCs w:val="24"/>
        </w:rPr>
        <w:t xml:space="preserve"> returns, </w:t>
      </w:r>
      <w:r w:rsidR="003C72D9" w:rsidRPr="007D14F3">
        <w:rPr>
          <w:rFonts w:ascii="Times New Roman" w:hAnsi="Times New Roman" w:cs="Times New Roman"/>
          <w:sz w:val="24"/>
          <w:szCs w:val="24"/>
        </w:rPr>
        <w:t xml:space="preserve">at the </w:t>
      </w:r>
      <w:r w:rsidR="007D7040" w:rsidRPr="007D14F3">
        <w:rPr>
          <w:rFonts w:ascii="Times New Roman" w:hAnsi="Times New Roman" w:cs="Times New Roman"/>
          <w:sz w:val="24"/>
          <w:szCs w:val="24"/>
        </w:rPr>
        <w:t>5</w:t>
      </w:r>
      <w:r w:rsidR="003C72D9" w:rsidRPr="007D14F3">
        <w:rPr>
          <w:rFonts w:ascii="Times New Roman" w:hAnsi="Times New Roman" w:cs="Times New Roman"/>
          <w:sz w:val="24"/>
          <w:szCs w:val="24"/>
        </w:rPr>
        <w:t>%</w:t>
      </w:r>
      <w:r w:rsidR="00612D47" w:rsidRPr="007D14F3">
        <w:rPr>
          <w:rFonts w:ascii="Times New Roman" w:hAnsi="Times New Roman" w:cs="Times New Roman"/>
          <w:sz w:val="24"/>
          <w:szCs w:val="24"/>
        </w:rPr>
        <w:t xml:space="preserve"> significance level</w:t>
      </w:r>
      <w:r w:rsidR="00E9148A" w:rsidRPr="007D14F3">
        <w:rPr>
          <w:rFonts w:ascii="Times New Roman" w:hAnsi="Times New Roman" w:cs="Times New Roman"/>
          <w:sz w:val="24"/>
          <w:szCs w:val="24"/>
        </w:rPr>
        <w:t xml:space="preserve"> in the first and at the 1% level in the second model, </w:t>
      </w:r>
      <w:r w:rsidR="00612D47" w:rsidRPr="007D14F3">
        <w:rPr>
          <w:rFonts w:ascii="Times New Roman" w:hAnsi="Times New Roman" w:cs="Times New Roman"/>
          <w:sz w:val="24"/>
          <w:szCs w:val="24"/>
        </w:rPr>
        <w:t xml:space="preserve">which </w:t>
      </w:r>
      <w:r w:rsidR="001C631F" w:rsidRPr="007D14F3">
        <w:rPr>
          <w:rFonts w:ascii="Times New Roman" w:hAnsi="Times New Roman" w:cs="Times New Roman"/>
          <w:sz w:val="24"/>
          <w:szCs w:val="24"/>
        </w:rPr>
        <w:t xml:space="preserve">confirms </w:t>
      </w:r>
      <w:r w:rsidR="00612D47" w:rsidRPr="007D14F3">
        <w:rPr>
          <w:rFonts w:ascii="Times New Roman" w:hAnsi="Times New Roman" w:cs="Times New Roman"/>
          <w:sz w:val="24"/>
          <w:szCs w:val="24"/>
        </w:rPr>
        <w:t xml:space="preserve">the hypothesis </w:t>
      </w:r>
      <w:r w:rsidR="00D33755" w:rsidRPr="007D14F3">
        <w:rPr>
          <w:rFonts w:ascii="Times New Roman" w:hAnsi="Times New Roman" w:cs="Times New Roman"/>
          <w:sz w:val="24"/>
          <w:szCs w:val="24"/>
        </w:rPr>
        <w:t>1</w:t>
      </w:r>
      <w:r w:rsidR="00422819" w:rsidRPr="007D14F3">
        <w:rPr>
          <w:rFonts w:ascii="Times New Roman" w:hAnsi="Times New Roman" w:cs="Times New Roman"/>
          <w:sz w:val="24"/>
          <w:szCs w:val="24"/>
        </w:rPr>
        <w:t xml:space="preserve"> </w:t>
      </w:r>
      <w:r w:rsidR="003648CF" w:rsidRPr="007D14F3">
        <w:rPr>
          <w:rFonts w:ascii="Times New Roman" w:hAnsi="Times New Roman" w:cs="Times New Roman"/>
          <w:sz w:val="24"/>
          <w:szCs w:val="24"/>
        </w:rPr>
        <w:t xml:space="preserve">and findings in the </w:t>
      </w:r>
      <w:r w:rsidR="001C631F" w:rsidRPr="007D14F3">
        <w:rPr>
          <w:rFonts w:ascii="Times New Roman" w:hAnsi="Times New Roman" w:cs="Times New Roman"/>
          <w:sz w:val="24"/>
          <w:szCs w:val="24"/>
        </w:rPr>
        <w:t>most recent papers</w:t>
      </w:r>
      <w:r w:rsidR="00806F3D" w:rsidRPr="007D14F3">
        <w:rPr>
          <w:rFonts w:ascii="Times New Roman" w:hAnsi="Times New Roman" w:cs="Times New Roman"/>
          <w:sz w:val="24"/>
          <w:szCs w:val="24"/>
        </w:rPr>
        <w:t xml:space="preserve"> </w:t>
      </w:r>
      <w:r w:rsidR="00656A3F" w:rsidRPr="007D14F3">
        <w:rPr>
          <w:rFonts w:ascii="Times New Roman" w:hAnsi="Times New Roman" w:cs="Times New Roman"/>
          <w:sz w:val="24"/>
          <w:szCs w:val="24"/>
        </w:rPr>
        <w:t>(</w:t>
      </w:r>
      <w:r w:rsidR="00806F3D" w:rsidRPr="007D14F3">
        <w:rPr>
          <w:rFonts w:ascii="Times New Roman" w:hAnsi="Times New Roman" w:cs="Times New Roman"/>
          <w:sz w:val="24"/>
          <w:szCs w:val="24"/>
        </w:rPr>
        <w:t>Cremers et al.</w:t>
      </w:r>
      <w:r w:rsidR="00656A3F" w:rsidRPr="007D14F3">
        <w:rPr>
          <w:rFonts w:ascii="Times New Roman" w:hAnsi="Times New Roman" w:cs="Times New Roman"/>
          <w:sz w:val="24"/>
          <w:szCs w:val="24"/>
        </w:rPr>
        <w:t xml:space="preserve">, </w:t>
      </w:r>
      <w:r w:rsidR="00806F3D" w:rsidRPr="007D14F3">
        <w:rPr>
          <w:rFonts w:ascii="Times New Roman" w:hAnsi="Times New Roman" w:cs="Times New Roman"/>
          <w:sz w:val="24"/>
          <w:szCs w:val="24"/>
        </w:rPr>
        <w:t xml:space="preserve">2017), </w:t>
      </w:r>
      <w:r w:rsidR="00656A3F" w:rsidRPr="007D14F3">
        <w:rPr>
          <w:rFonts w:ascii="Times New Roman" w:hAnsi="Times New Roman" w:cs="Times New Roman"/>
          <w:sz w:val="24"/>
          <w:szCs w:val="24"/>
        </w:rPr>
        <w:t>(</w:t>
      </w:r>
      <w:r w:rsidR="00806F3D" w:rsidRPr="007D14F3">
        <w:rPr>
          <w:rFonts w:ascii="Times New Roman" w:hAnsi="Times New Roman" w:cs="Times New Roman"/>
          <w:sz w:val="24"/>
          <w:szCs w:val="24"/>
        </w:rPr>
        <w:t>Daines et al.</w:t>
      </w:r>
      <w:r w:rsidR="00656A3F" w:rsidRPr="007D14F3">
        <w:rPr>
          <w:rFonts w:ascii="Times New Roman" w:hAnsi="Times New Roman" w:cs="Times New Roman"/>
          <w:sz w:val="24"/>
          <w:szCs w:val="24"/>
        </w:rPr>
        <w:t xml:space="preserve">, </w:t>
      </w:r>
      <w:r w:rsidR="00806F3D" w:rsidRPr="007D14F3">
        <w:rPr>
          <w:rFonts w:ascii="Times New Roman" w:hAnsi="Times New Roman" w:cs="Times New Roman"/>
          <w:sz w:val="24"/>
          <w:szCs w:val="24"/>
        </w:rPr>
        <w:t>2016)</w:t>
      </w:r>
      <w:r w:rsidR="001C631F" w:rsidRPr="007D14F3">
        <w:rPr>
          <w:rFonts w:ascii="Times New Roman" w:hAnsi="Times New Roman" w:cs="Times New Roman"/>
          <w:sz w:val="24"/>
          <w:szCs w:val="24"/>
        </w:rPr>
        <w:t>. Th</w:t>
      </w:r>
      <w:r w:rsidR="00656A3F" w:rsidRPr="007D14F3">
        <w:rPr>
          <w:rFonts w:ascii="Times New Roman" w:hAnsi="Times New Roman" w:cs="Times New Roman"/>
          <w:sz w:val="24"/>
          <w:szCs w:val="24"/>
        </w:rPr>
        <w:t>e result</w:t>
      </w:r>
      <w:r w:rsidR="001C631F" w:rsidRPr="007D14F3">
        <w:rPr>
          <w:rFonts w:ascii="Times New Roman" w:hAnsi="Times New Roman" w:cs="Times New Roman"/>
          <w:sz w:val="24"/>
          <w:szCs w:val="24"/>
        </w:rPr>
        <w:t xml:space="preserve"> is inconsistent with the theory that classified boards entrench </w:t>
      </w:r>
      <w:r w:rsidR="002A06B4" w:rsidRPr="007D14F3">
        <w:rPr>
          <w:rFonts w:ascii="Times New Roman" w:hAnsi="Times New Roman" w:cs="Times New Roman"/>
          <w:sz w:val="24"/>
          <w:szCs w:val="24"/>
        </w:rPr>
        <w:t>managers but</w:t>
      </w:r>
      <w:r w:rsidR="00656A3F" w:rsidRPr="007D14F3">
        <w:rPr>
          <w:rFonts w:ascii="Times New Roman" w:hAnsi="Times New Roman" w:cs="Times New Roman"/>
          <w:sz w:val="24"/>
          <w:szCs w:val="24"/>
        </w:rPr>
        <w:t xml:space="preserve"> </w:t>
      </w:r>
      <w:r w:rsidR="001C631F" w:rsidRPr="007D14F3">
        <w:rPr>
          <w:rFonts w:ascii="Times New Roman" w:hAnsi="Times New Roman" w:cs="Times New Roman"/>
          <w:sz w:val="24"/>
          <w:szCs w:val="24"/>
        </w:rPr>
        <w:t>support</w:t>
      </w:r>
      <w:r w:rsidR="00656A3F" w:rsidRPr="007D14F3">
        <w:rPr>
          <w:rFonts w:ascii="Times New Roman" w:hAnsi="Times New Roman" w:cs="Times New Roman"/>
          <w:sz w:val="24"/>
          <w:szCs w:val="24"/>
        </w:rPr>
        <w:t>s</w:t>
      </w:r>
      <w:r w:rsidR="001C631F" w:rsidRPr="007D14F3">
        <w:rPr>
          <w:rFonts w:ascii="Times New Roman" w:hAnsi="Times New Roman" w:cs="Times New Roman"/>
          <w:sz w:val="24"/>
          <w:szCs w:val="24"/>
        </w:rPr>
        <w:t xml:space="preserve"> the theory that </w:t>
      </w:r>
      <w:bookmarkStart w:id="42" w:name="_Hlk514071051"/>
      <w:r w:rsidR="001C631F" w:rsidRPr="007D14F3">
        <w:rPr>
          <w:rFonts w:ascii="Times New Roman" w:hAnsi="Times New Roman" w:cs="Times New Roman"/>
          <w:sz w:val="24"/>
          <w:szCs w:val="24"/>
        </w:rPr>
        <w:t xml:space="preserve">a classified board can lower a takeover </w:t>
      </w:r>
      <w:r w:rsidR="00656A3F" w:rsidRPr="007D14F3">
        <w:rPr>
          <w:rFonts w:ascii="Times New Roman" w:hAnsi="Times New Roman" w:cs="Times New Roman"/>
          <w:sz w:val="24"/>
          <w:szCs w:val="24"/>
        </w:rPr>
        <w:t>pressure</w:t>
      </w:r>
      <w:r w:rsidR="001C631F" w:rsidRPr="007D14F3">
        <w:rPr>
          <w:rFonts w:ascii="Times New Roman" w:hAnsi="Times New Roman" w:cs="Times New Roman"/>
          <w:sz w:val="24"/>
          <w:szCs w:val="24"/>
        </w:rPr>
        <w:t xml:space="preserve"> and encourage managers to pursue deals that create va</w:t>
      </w:r>
      <w:r w:rsidR="00806F3D" w:rsidRPr="007D14F3">
        <w:rPr>
          <w:rFonts w:ascii="Times New Roman" w:hAnsi="Times New Roman" w:cs="Times New Roman"/>
          <w:sz w:val="24"/>
          <w:szCs w:val="24"/>
        </w:rPr>
        <w:t>l</w:t>
      </w:r>
      <w:r w:rsidR="001C631F" w:rsidRPr="007D14F3">
        <w:rPr>
          <w:rFonts w:ascii="Times New Roman" w:hAnsi="Times New Roman" w:cs="Times New Roman"/>
          <w:sz w:val="24"/>
          <w:szCs w:val="24"/>
        </w:rPr>
        <w:t xml:space="preserve">ue in long-term perspective </w:t>
      </w:r>
      <w:bookmarkEnd w:id="42"/>
      <w:r w:rsidR="001C631F" w:rsidRPr="007D14F3">
        <w:rPr>
          <w:rFonts w:ascii="Times New Roman" w:hAnsi="Times New Roman" w:cs="Times New Roman"/>
          <w:sz w:val="24"/>
          <w:szCs w:val="24"/>
        </w:rPr>
        <w:t>rather than improve profitability or EPS in the short-run (Stein, 1988).</w:t>
      </w:r>
    </w:p>
    <w:p w:rsidR="00422819" w:rsidRPr="007D14F3" w:rsidRDefault="00422819" w:rsidP="009C7202">
      <w:pPr>
        <w:spacing w:before="120" w:after="120" w:line="240" w:lineRule="auto"/>
        <w:jc w:val="both"/>
        <w:rPr>
          <w:rFonts w:ascii="Times New Roman" w:hAnsi="Times New Roman" w:cs="Times New Roman"/>
          <w:sz w:val="24"/>
          <w:szCs w:val="24"/>
        </w:rPr>
      </w:pPr>
      <w:r w:rsidRPr="007D14F3">
        <w:rPr>
          <w:rFonts w:ascii="Times New Roman" w:hAnsi="Times New Roman" w:cs="Times New Roman"/>
          <w:sz w:val="24"/>
          <w:szCs w:val="24"/>
        </w:rPr>
        <w:t xml:space="preserve">The </w:t>
      </w:r>
      <w:r w:rsidRPr="00060F9F">
        <w:rPr>
          <w:rFonts w:ascii="Times New Roman" w:hAnsi="Times New Roman" w:cs="Times New Roman"/>
          <w:noProof/>
          <w:sz w:val="24"/>
          <w:szCs w:val="24"/>
        </w:rPr>
        <w:t>independenc</w:t>
      </w:r>
      <w:r w:rsidR="00060F9F">
        <w:rPr>
          <w:rFonts w:ascii="Times New Roman" w:hAnsi="Times New Roman" w:cs="Times New Roman"/>
          <w:noProof/>
          <w:sz w:val="24"/>
          <w:szCs w:val="24"/>
        </w:rPr>
        <w:t>e</w:t>
      </w:r>
      <w:r w:rsidRPr="007D14F3">
        <w:rPr>
          <w:rFonts w:ascii="Times New Roman" w:hAnsi="Times New Roman" w:cs="Times New Roman"/>
          <w:sz w:val="24"/>
          <w:szCs w:val="24"/>
        </w:rPr>
        <w:t xml:space="preserve"> of the board is significant at the</w:t>
      </w:r>
      <w:r w:rsidR="00480959" w:rsidRPr="007D14F3">
        <w:rPr>
          <w:rFonts w:ascii="Times New Roman" w:hAnsi="Times New Roman" w:cs="Times New Roman"/>
          <w:sz w:val="24"/>
          <w:szCs w:val="24"/>
        </w:rPr>
        <w:t xml:space="preserve"> </w:t>
      </w:r>
      <w:r w:rsidR="00E9148A" w:rsidRPr="007D14F3">
        <w:rPr>
          <w:rFonts w:ascii="Times New Roman" w:hAnsi="Times New Roman" w:cs="Times New Roman"/>
          <w:sz w:val="24"/>
          <w:szCs w:val="24"/>
        </w:rPr>
        <w:t>10%</w:t>
      </w:r>
      <w:r w:rsidRPr="007D14F3">
        <w:rPr>
          <w:rFonts w:ascii="Times New Roman" w:hAnsi="Times New Roman" w:cs="Times New Roman"/>
          <w:sz w:val="24"/>
          <w:szCs w:val="24"/>
        </w:rPr>
        <w:t xml:space="preserve"> significance level</w:t>
      </w:r>
      <w:r w:rsidR="00F642E8" w:rsidRPr="007D14F3">
        <w:rPr>
          <w:rFonts w:ascii="Times New Roman" w:hAnsi="Times New Roman" w:cs="Times New Roman"/>
          <w:sz w:val="24"/>
          <w:szCs w:val="24"/>
        </w:rPr>
        <w:t xml:space="preserve"> and the coefficient equals to 0.0176</w:t>
      </w:r>
      <w:r w:rsidRPr="007D14F3">
        <w:rPr>
          <w:rFonts w:ascii="Times New Roman" w:hAnsi="Times New Roman" w:cs="Times New Roman"/>
          <w:sz w:val="24"/>
          <w:szCs w:val="24"/>
        </w:rPr>
        <w:t xml:space="preserve">, </w:t>
      </w:r>
      <w:r w:rsidR="005576FF" w:rsidRPr="007D14F3">
        <w:rPr>
          <w:rFonts w:ascii="Times New Roman" w:hAnsi="Times New Roman" w:cs="Times New Roman"/>
          <w:sz w:val="24"/>
          <w:szCs w:val="24"/>
        </w:rPr>
        <w:t>which supports the</w:t>
      </w:r>
      <w:r w:rsidRPr="007D14F3">
        <w:rPr>
          <w:rFonts w:ascii="Times New Roman" w:hAnsi="Times New Roman" w:cs="Times New Roman"/>
          <w:sz w:val="24"/>
          <w:szCs w:val="24"/>
        </w:rPr>
        <w:t xml:space="preserve"> hypothesis </w:t>
      </w:r>
      <w:r w:rsidR="00BE3658" w:rsidRPr="007D14F3">
        <w:rPr>
          <w:rFonts w:ascii="Times New Roman" w:hAnsi="Times New Roman" w:cs="Times New Roman"/>
          <w:sz w:val="24"/>
          <w:szCs w:val="24"/>
        </w:rPr>
        <w:t>3</w:t>
      </w:r>
      <w:r w:rsidR="005576FF" w:rsidRPr="007D14F3">
        <w:rPr>
          <w:rFonts w:ascii="Times New Roman" w:hAnsi="Times New Roman" w:cs="Times New Roman"/>
          <w:sz w:val="24"/>
          <w:szCs w:val="24"/>
        </w:rPr>
        <w:t>, predicting</w:t>
      </w:r>
      <w:r w:rsidRPr="007D14F3">
        <w:rPr>
          <w:rFonts w:ascii="Times New Roman" w:hAnsi="Times New Roman" w:cs="Times New Roman"/>
          <w:sz w:val="24"/>
          <w:szCs w:val="24"/>
        </w:rPr>
        <w:t xml:space="preserve"> a positive influence</w:t>
      </w:r>
      <w:r w:rsidR="00BC0494" w:rsidRPr="007D14F3">
        <w:rPr>
          <w:rFonts w:ascii="Times New Roman" w:hAnsi="Times New Roman" w:cs="Times New Roman"/>
          <w:sz w:val="24"/>
          <w:szCs w:val="24"/>
        </w:rPr>
        <w:t xml:space="preserve"> </w:t>
      </w:r>
      <w:r w:rsidRPr="007D14F3">
        <w:rPr>
          <w:rFonts w:ascii="Times New Roman" w:hAnsi="Times New Roman" w:cs="Times New Roman"/>
          <w:sz w:val="24"/>
          <w:szCs w:val="24"/>
        </w:rPr>
        <w:t>of the ratio of independent directors on</w:t>
      </w:r>
      <w:r w:rsidR="000A1503" w:rsidRPr="007D14F3">
        <w:rPr>
          <w:rFonts w:ascii="Times New Roman" w:hAnsi="Times New Roman" w:cs="Times New Roman"/>
          <w:sz w:val="24"/>
          <w:szCs w:val="24"/>
        </w:rPr>
        <w:t xml:space="preserve"> board on the acquirer returns.</w:t>
      </w:r>
      <w:r w:rsidR="00B534A4" w:rsidRPr="007D14F3">
        <w:t xml:space="preserve"> </w:t>
      </w:r>
      <w:r w:rsidR="00B534A4" w:rsidRPr="007D14F3">
        <w:rPr>
          <w:rFonts w:ascii="Times New Roman" w:hAnsi="Times New Roman" w:cs="Times New Roman"/>
          <w:sz w:val="24"/>
          <w:szCs w:val="24"/>
        </w:rPr>
        <w:t xml:space="preserve">The results allow </w:t>
      </w:r>
      <w:r w:rsidR="00060F9F">
        <w:rPr>
          <w:rFonts w:ascii="Times New Roman" w:hAnsi="Times New Roman" w:cs="Times New Roman"/>
          <w:noProof/>
          <w:sz w:val="24"/>
          <w:szCs w:val="24"/>
        </w:rPr>
        <w:t>presuming</w:t>
      </w:r>
      <w:r w:rsidR="00B534A4" w:rsidRPr="007D14F3">
        <w:rPr>
          <w:rFonts w:ascii="Times New Roman" w:hAnsi="Times New Roman" w:cs="Times New Roman"/>
          <w:sz w:val="24"/>
          <w:szCs w:val="24"/>
        </w:rPr>
        <w:t xml:space="preserve"> that independent directors more effectively monitor the management, lowering agency and </w:t>
      </w:r>
      <w:r w:rsidR="002A06B4" w:rsidRPr="00060F9F">
        <w:rPr>
          <w:rFonts w:ascii="Times New Roman" w:hAnsi="Times New Roman" w:cs="Times New Roman"/>
          <w:noProof/>
          <w:sz w:val="24"/>
          <w:szCs w:val="24"/>
        </w:rPr>
        <w:t>behavio</w:t>
      </w:r>
      <w:r w:rsidR="00060F9F">
        <w:rPr>
          <w:rFonts w:ascii="Times New Roman" w:hAnsi="Times New Roman" w:cs="Times New Roman"/>
          <w:noProof/>
          <w:sz w:val="24"/>
          <w:szCs w:val="24"/>
        </w:rPr>
        <w:t>u</w:t>
      </w:r>
      <w:r w:rsidR="002A06B4" w:rsidRPr="00060F9F">
        <w:rPr>
          <w:rFonts w:ascii="Times New Roman" w:hAnsi="Times New Roman" w:cs="Times New Roman"/>
          <w:noProof/>
          <w:sz w:val="24"/>
          <w:szCs w:val="24"/>
        </w:rPr>
        <w:t>ral</w:t>
      </w:r>
      <w:r w:rsidR="00B534A4" w:rsidRPr="007D14F3">
        <w:rPr>
          <w:rFonts w:ascii="Times New Roman" w:hAnsi="Times New Roman" w:cs="Times New Roman"/>
          <w:sz w:val="24"/>
          <w:szCs w:val="24"/>
        </w:rPr>
        <w:t xml:space="preserve"> costs that lead to value-destroying acquisitions</w:t>
      </w:r>
    </w:p>
    <w:p w:rsidR="00ED1148" w:rsidRPr="007D14F3" w:rsidRDefault="003C72D9" w:rsidP="009C7202">
      <w:pPr>
        <w:spacing w:before="120" w:after="120" w:line="240" w:lineRule="auto"/>
        <w:jc w:val="both"/>
        <w:rPr>
          <w:rFonts w:ascii="Times New Roman" w:hAnsi="Times New Roman" w:cs="Times New Roman"/>
          <w:sz w:val="24"/>
          <w:szCs w:val="24"/>
        </w:rPr>
      </w:pPr>
      <w:r w:rsidRPr="007D14F3">
        <w:rPr>
          <w:rFonts w:ascii="Times New Roman" w:hAnsi="Times New Roman" w:cs="Times New Roman"/>
          <w:sz w:val="24"/>
          <w:szCs w:val="24"/>
        </w:rPr>
        <w:t>The v</w:t>
      </w:r>
      <w:r w:rsidR="00612D47" w:rsidRPr="007D14F3">
        <w:rPr>
          <w:rFonts w:ascii="Times New Roman" w:hAnsi="Times New Roman" w:cs="Times New Roman"/>
          <w:sz w:val="24"/>
          <w:szCs w:val="24"/>
        </w:rPr>
        <w:t>ariable board size</w:t>
      </w:r>
      <w:r w:rsidR="009E4A87" w:rsidRPr="007D14F3">
        <w:rPr>
          <w:rFonts w:ascii="Times New Roman" w:hAnsi="Times New Roman" w:cs="Times New Roman"/>
          <w:sz w:val="24"/>
          <w:szCs w:val="24"/>
        </w:rPr>
        <w:t xml:space="preserve">, </w:t>
      </w:r>
      <w:r w:rsidR="00612D47" w:rsidRPr="007D14F3">
        <w:rPr>
          <w:rFonts w:ascii="Times New Roman" w:hAnsi="Times New Roman" w:cs="Times New Roman"/>
          <w:sz w:val="24"/>
          <w:szCs w:val="24"/>
        </w:rPr>
        <w:t>CEO duality and gender diversity are insignificant on every significan</w:t>
      </w:r>
      <w:r w:rsidR="009E4A87" w:rsidRPr="007D14F3">
        <w:rPr>
          <w:rFonts w:ascii="Times New Roman" w:hAnsi="Times New Roman" w:cs="Times New Roman"/>
          <w:sz w:val="24"/>
          <w:szCs w:val="24"/>
        </w:rPr>
        <w:t xml:space="preserve">ce level. </w:t>
      </w:r>
      <w:proofErr w:type="gramStart"/>
      <w:r w:rsidR="00ED1148" w:rsidRPr="007D14F3">
        <w:rPr>
          <w:rFonts w:ascii="Times New Roman" w:hAnsi="Times New Roman" w:cs="Times New Roman"/>
          <w:sz w:val="24"/>
          <w:szCs w:val="24"/>
        </w:rPr>
        <w:t>The majority of</w:t>
      </w:r>
      <w:proofErr w:type="gramEnd"/>
      <w:r w:rsidR="00ED1148" w:rsidRPr="007D14F3">
        <w:rPr>
          <w:rFonts w:ascii="Times New Roman" w:hAnsi="Times New Roman" w:cs="Times New Roman"/>
          <w:sz w:val="24"/>
          <w:szCs w:val="24"/>
        </w:rPr>
        <w:t xml:space="preserve"> control variables has </w:t>
      </w:r>
      <w:r w:rsidR="00422819" w:rsidRPr="007D14F3">
        <w:rPr>
          <w:rFonts w:ascii="Times New Roman" w:hAnsi="Times New Roman" w:cs="Times New Roman"/>
          <w:sz w:val="24"/>
          <w:szCs w:val="24"/>
        </w:rPr>
        <w:t xml:space="preserve">a </w:t>
      </w:r>
      <w:r w:rsidR="00ED1148" w:rsidRPr="007D14F3">
        <w:rPr>
          <w:rFonts w:ascii="Times New Roman" w:hAnsi="Times New Roman" w:cs="Times New Roman"/>
          <w:sz w:val="24"/>
          <w:szCs w:val="24"/>
        </w:rPr>
        <w:t xml:space="preserve">significant </w:t>
      </w:r>
      <w:r w:rsidR="000127B3" w:rsidRPr="007D14F3">
        <w:rPr>
          <w:rFonts w:ascii="Times New Roman" w:hAnsi="Times New Roman" w:cs="Times New Roman"/>
          <w:sz w:val="24"/>
          <w:szCs w:val="24"/>
        </w:rPr>
        <w:t>impact</w:t>
      </w:r>
      <w:r w:rsidR="00ED1148" w:rsidRPr="007D14F3">
        <w:rPr>
          <w:rFonts w:ascii="Times New Roman" w:hAnsi="Times New Roman" w:cs="Times New Roman"/>
          <w:sz w:val="24"/>
          <w:szCs w:val="24"/>
        </w:rPr>
        <w:t xml:space="preserve"> on the </w:t>
      </w:r>
      <w:r w:rsidR="000127B3" w:rsidRPr="007D14F3">
        <w:rPr>
          <w:rFonts w:ascii="Times New Roman" w:hAnsi="Times New Roman" w:cs="Times New Roman"/>
          <w:sz w:val="24"/>
          <w:szCs w:val="24"/>
        </w:rPr>
        <w:t>acquirer</w:t>
      </w:r>
      <w:r w:rsidR="00ED1148" w:rsidRPr="007D14F3">
        <w:rPr>
          <w:rFonts w:ascii="Times New Roman" w:hAnsi="Times New Roman" w:cs="Times New Roman"/>
          <w:sz w:val="24"/>
          <w:szCs w:val="24"/>
        </w:rPr>
        <w:t xml:space="preserve"> returns and </w:t>
      </w:r>
      <w:r w:rsidR="00F642E8" w:rsidRPr="007D14F3">
        <w:rPr>
          <w:rFonts w:ascii="Times New Roman" w:hAnsi="Times New Roman" w:cs="Times New Roman"/>
          <w:sz w:val="24"/>
          <w:szCs w:val="24"/>
        </w:rPr>
        <w:t>the</w:t>
      </w:r>
      <w:r w:rsidR="00ED1148" w:rsidRPr="007D14F3">
        <w:rPr>
          <w:rFonts w:ascii="Times New Roman" w:hAnsi="Times New Roman" w:cs="Times New Roman"/>
          <w:sz w:val="24"/>
          <w:szCs w:val="24"/>
        </w:rPr>
        <w:t xml:space="preserve"> coefficient signs </w:t>
      </w:r>
      <w:r w:rsidR="00F642E8" w:rsidRPr="007D14F3">
        <w:rPr>
          <w:rFonts w:ascii="Times New Roman" w:hAnsi="Times New Roman" w:cs="Times New Roman"/>
          <w:sz w:val="24"/>
          <w:szCs w:val="24"/>
        </w:rPr>
        <w:t>are similar to</w:t>
      </w:r>
      <w:r w:rsidR="00ED1148" w:rsidRPr="007D14F3">
        <w:rPr>
          <w:rFonts w:ascii="Times New Roman" w:hAnsi="Times New Roman" w:cs="Times New Roman"/>
          <w:sz w:val="24"/>
          <w:szCs w:val="24"/>
        </w:rPr>
        <w:t xml:space="preserve"> previously stated </w:t>
      </w:r>
      <w:r w:rsidR="000C770D" w:rsidRPr="007D14F3">
        <w:rPr>
          <w:rFonts w:ascii="Times New Roman" w:hAnsi="Times New Roman" w:cs="Times New Roman"/>
          <w:sz w:val="24"/>
          <w:szCs w:val="24"/>
        </w:rPr>
        <w:t>research predictions</w:t>
      </w:r>
      <w:r w:rsidR="00ED1148" w:rsidRPr="007D14F3">
        <w:rPr>
          <w:rFonts w:ascii="Times New Roman" w:hAnsi="Times New Roman" w:cs="Times New Roman"/>
          <w:sz w:val="24"/>
          <w:szCs w:val="24"/>
        </w:rPr>
        <w:t xml:space="preserve"> based on the related studies such as Moeller et al. (2004) or Masulis et al. (2007). Free cash f</w:t>
      </w:r>
      <w:r w:rsidR="00782749" w:rsidRPr="007D14F3">
        <w:rPr>
          <w:rFonts w:ascii="Times New Roman" w:hAnsi="Times New Roman" w:cs="Times New Roman"/>
          <w:sz w:val="24"/>
          <w:szCs w:val="24"/>
        </w:rPr>
        <w:t>l</w:t>
      </w:r>
      <w:r w:rsidR="00ED1148" w:rsidRPr="007D14F3">
        <w:rPr>
          <w:rFonts w:ascii="Times New Roman" w:hAnsi="Times New Roman" w:cs="Times New Roman"/>
          <w:sz w:val="24"/>
          <w:szCs w:val="24"/>
        </w:rPr>
        <w:t xml:space="preserve">ow, relative deal size, </w:t>
      </w:r>
      <w:r w:rsidR="00782749" w:rsidRPr="007D14F3">
        <w:rPr>
          <w:rFonts w:ascii="Times New Roman" w:hAnsi="Times New Roman" w:cs="Times New Roman"/>
          <w:sz w:val="24"/>
          <w:szCs w:val="24"/>
        </w:rPr>
        <w:t>subsidiary</w:t>
      </w:r>
      <w:r w:rsidR="00ED1148" w:rsidRPr="007D14F3">
        <w:rPr>
          <w:rFonts w:ascii="Times New Roman" w:hAnsi="Times New Roman" w:cs="Times New Roman"/>
          <w:sz w:val="24"/>
          <w:szCs w:val="24"/>
        </w:rPr>
        <w:t xml:space="preserve"> target and cash deal have a significantly positive effect on the </w:t>
      </w:r>
      <w:r w:rsidR="00782749" w:rsidRPr="007D14F3">
        <w:rPr>
          <w:rFonts w:ascii="Times New Roman" w:hAnsi="Times New Roman" w:cs="Times New Roman"/>
          <w:sz w:val="24"/>
          <w:szCs w:val="24"/>
        </w:rPr>
        <w:t>acquirer</w:t>
      </w:r>
      <w:r w:rsidR="00ED1148" w:rsidRPr="007D14F3">
        <w:rPr>
          <w:rFonts w:ascii="Times New Roman" w:hAnsi="Times New Roman" w:cs="Times New Roman"/>
          <w:sz w:val="24"/>
          <w:szCs w:val="24"/>
        </w:rPr>
        <w:t xml:space="preserve"> abnormal returns.</w:t>
      </w:r>
      <w:r w:rsidR="00782749" w:rsidRPr="007D14F3">
        <w:rPr>
          <w:rFonts w:ascii="Times New Roman" w:hAnsi="Times New Roman" w:cs="Times New Roman"/>
          <w:sz w:val="24"/>
          <w:szCs w:val="24"/>
        </w:rPr>
        <w:t xml:space="preserve"> </w:t>
      </w:r>
      <w:r w:rsidR="000C770D" w:rsidRPr="007D14F3">
        <w:rPr>
          <w:rFonts w:ascii="Times New Roman" w:hAnsi="Times New Roman" w:cs="Times New Roman"/>
          <w:sz w:val="24"/>
          <w:szCs w:val="24"/>
        </w:rPr>
        <w:t>The v</w:t>
      </w:r>
      <w:r w:rsidR="00782749" w:rsidRPr="007D14F3">
        <w:rPr>
          <w:rFonts w:ascii="Times New Roman" w:hAnsi="Times New Roman" w:cs="Times New Roman"/>
          <w:sz w:val="24"/>
          <w:szCs w:val="24"/>
        </w:rPr>
        <w:t xml:space="preserve">ariables firm size, stock payment, and surprisingly, Tobin’s q </w:t>
      </w:r>
      <w:proofErr w:type="gramStart"/>
      <w:r w:rsidR="00782749" w:rsidRPr="007D14F3">
        <w:rPr>
          <w:rFonts w:ascii="Times New Roman" w:hAnsi="Times New Roman" w:cs="Times New Roman"/>
          <w:sz w:val="24"/>
          <w:szCs w:val="24"/>
        </w:rPr>
        <w:t>have</w:t>
      </w:r>
      <w:proofErr w:type="gramEnd"/>
      <w:r w:rsidR="00782749" w:rsidRPr="007D14F3">
        <w:rPr>
          <w:rFonts w:ascii="Times New Roman" w:hAnsi="Times New Roman" w:cs="Times New Roman"/>
          <w:sz w:val="24"/>
          <w:szCs w:val="24"/>
        </w:rPr>
        <w:t xml:space="preserve"> a negative impact on the bidder CAR. </w:t>
      </w:r>
    </w:p>
    <w:p w:rsidR="00BE729F" w:rsidRPr="007D14F3" w:rsidRDefault="00BE729F" w:rsidP="009C7202">
      <w:pPr>
        <w:spacing w:before="120" w:after="120" w:line="240" w:lineRule="auto"/>
        <w:jc w:val="both"/>
        <w:rPr>
          <w:rFonts w:ascii="Times New Roman" w:hAnsi="Times New Roman" w:cs="Times New Roman"/>
          <w:sz w:val="24"/>
          <w:szCs w:val="24"/>
          <w:highlight w:val="yellow"/>
        </w:rPr>
      </w:pPr>
      <w:r w:rsidRPr="007D14F3">
        <w:rPr>
          <w:rFonts w:ascii="Times New Roman" w:hAnsi="Times New Roman" w:cs="Times New Roman"/>
          <w:sz w:val="24"/>
          <w:szCs w:val="24"/>
        </w:rPr>
        <w:t>The model without and with fixed-time effect explains</w:t>
      </w:r>
      <w:r w:rsidR="00F642E8" w:rsidRPr="007D14F3">
        <w:rPr>
          <w:rFonts w:ascii="Times New Roman" w:hAnsi="Times New Roman" w:cs="Times New Roman"/>
          <w:sz w:val="24"/>
          <w:szCs w:val="24"/>
        </w:rPr>
        <w:t xml:space="preserve"> respectively </w:t>
      </w:r>
      <w:r w:rsidRPr="007D14F3">
        <w:rPr>
          <w:rFonts w:ascii="Times New Roman" w:hAnsi="Times New Roman" w:cs="Times New Roman"/>
          <w:sz w:val="24"/>
          <w:szCs w:val="24"/>
        </w:rPr>
        <w:t>2.87% and 3.32% of the acquirer abnormal returns.</w:t>
      </w:r>
      <w:r w:rsidR="0098046B" w:rsidRPr="007D14F3">
        <w:rPr>
          <w:rFonts w:ascii="Times New Roman" w:hAnsi="Times New Roman" w:cs="Times New Roman"/>
          <w:sz w:val="24"/>
          <w:szCs w:val="24"/>
        </w:rPr>
        <w:t xml:space="preserve"> As t</w:t>
      </w:r>
      <w:r w:rsidRPr="007D14F3">
        <w:rPr>
          <w:rFonts w:ascii="Times New Roman" w:hAnsi="Times New Roman" w:cs="Times New Roman"/>
          <w:sz w:val="24"/>
          <w:szCs w:val="24"/>
        </w:rPr>
        <w:t>he</w:t>
      </w:r>
      <w:r w:rsidR="0098046B" w:rsidRPr="007D14F3">
        <w:rPr>
          <w:rFonts w:ascii="Times New Roman" w:hAnsi="Times New Roman" w:cs="Times New Roman"/>
          <w:sz w:val="24"/>
          <w:szCs w:val="24"/>
        </w:rPr>
        <w:t xml:space="preserve"> White test indicated</w:t>
      </w:r>
      <w:r w:rsidRPr="007D14F3">
        <w:rPr>
          <w:rFonts w:ascii="Times New Roman" w:hAnsi="Times New Roman" w:cs="Times New Roman"/>
          <w:sz w:val="24"/>
          <w:szCs w:val="24"/>
        </w:rPr>
        <w:t xml:space="preserve"> heteroskedasticity of standard errors in the regression, which can result in </w:t>
      </w:r>
      <w:r w:rsidR="00962FA1" w:rsidRPr="007D14F3">
        <w:rPr>
          <w:rFonts w:ascii="Times New Roman" w:hAnsi="Times New Roman" w:cs="Times New Roman"/>
          <w:sz w:val="24"/>
          <w:szCs w:val="24"/>
        </w:rPr>
        <w:t xml:space="preserve">a </w:t>
      </w:r>
      <w:r w:rsidRPr="007D14F3">
        <w:rPr>
          <w:rFonts w:ascii="Times New Roman" w:hAnsi="Times New Roman" w:cs="Times New Roman"/>
          <w:noProof/>
          <w:sz w:val="24"/>
          <w:szCs w:val="24"/>
        </w:rPr>
        <w:t>misleading</w:t>
      </w:r>
      <w:r w:rsidRPr="007D14F3">
        <w:rPr>
          <w:rFonts w:ascii="Times New Roman" w:hAnsi="Times New Roman" w:cs="Times New Roman"/>
          <w:sz w:val="24"/>
          <w:szCs w:val="24"/>
        </w:rPr>
        <w:t xml:space="preserve"> interpretation of the results an option “robust”</w:t>
      </w:r>
      <w:r w:rsidR="005576FF" w:rsidRPr="007D14F3">
        <w:rPr>
          <w:rFonts w:ascii="Times New Roman" w:hAnsi="Times New Roman" w:cs="Times New Roman"/>
          <w:sz w:val="24"/>
          <w:szCs w:val="24"/>
        </w:rPr>
        <w:t xml:space="preserve"> available in the STATA program is used.</w:t>
      </w:r>
      <w:r w:rsidRPr="007D14F3">
        <w:rPr>
          <w:rFonts w:ascii="Times New Roman" w:hAnsi="Times New Roman" w:cs="Times New Roman"/>
          <w:sz w:val="24"/>
          <w:szCs w:val="24"/>
        </w:rPr>
        <w:t xml:space="preserve"> The results of the regression account for heteroskedasticity by increasing standard errors that are positively correlated with the variables, therefore more evidence is needed to reject the null hypothesis (Brooks, 2014). The degree of </w:t>
      </w:r>
      <w:r w:rsidR="00C064F9" w:rsidRPr="007D14F3">
        <w:rPr>
          <w:rFonts w:ascii="Times New Roman" w:hAnsi="Times New Roman" w:cs="Times New Roman"/>
          <w:sz w:val="24"/>
          <w:szCs w:val="24"/>
        </w:rPr>
        <w:t>multicollinearity</w:t>
      </w:r>
      <w:r w:rsidRPr="007D14F3">
        <w:rPr>
          <w:rFonts w:ascii="Times New Roman" w:hAnsi="Times New Roman" w:cs="Times New Roman"/>
          <w:sz w:val="24"/>
          <w:szCs w:val="24"/>
        </w:rPr>
        <w:t xml:space="preserve"> between the independent variables is small – the mean amounts to 1.39 in the model without fixed-time effects and 1.70 in the model with the fixed time effects. The value is below </w:t>
      </w:r>
      <w:r w:rsidR="00C064F9" w:rsidRPr="007D14F3">
        <w:rPr>
          <w:rFonts w:ascii="Times New Roman" w:hAnsi="Times New Roman" w:cs="Times New Roman"/>
          <w:sz w:val="24"/>
          <w:szCs w:val="24"/>
        </w:rPr>
        <w:t xml:space="preserve">the suggested cut-off of 10 by </w:t>
      </w:r>
      <w:r w:rsidR="00C064F9" w:rsidRPr="007D14F3">
        <w:rPr>
          <w:rFonts w:ascii="Times New Roman" w:hAnsi="Times New Roman" w:cs="Times New Roman"/>
          <w:color w:val="222222"/>
          <w:sz w:val="24"/>
          <w:szCs w:val="24"/>
        </w:rPr>
        <w:t>Hair et al. (1998).</w:t>
      </w:r>
    </w:p>
    <w:p w:rsidR="00BE729F" w:rsidRPr="007D14F3" w:rsidRDefault="00BE729F" w:rsidP="009C7202">
      <w:pPr>
        <w:spacing w:before="120" w:after="120" w:line="240" w:lineRule="auto"/>
        <w:rPr>
          <w:rFonts w:ascii="Times New Roman" w:hAnsi="Times New Roman" w:cs="Times New Roman"/>
          <w:sz w:val="24"/>
          <w:szCs w:val="24"/>
          <w:highlight w:val="yellow"/>
        </w:rPr>
      </w:pPr>
      <w:r w:rsidRPr="007D14F3">
        <w:rPr>
          <w:rFonts w:ascii="Times New Roman" w:hAnsi="Times New Roman" w:cs="Times New Roman"/>
          <w:sz w:val="24"/>
          <w:szCs w:val="24"/>
          <w:highlight w:val="yellow"/>
        </w:rPr>
        <w:br w:type="page"/>
      </w:r>
    </w:p>
    <w:p w:rsidR="00250438" w:rsidRPr="007D14F3" w:rsidRDefault="00250438" w:rsidP="009C7202">
      <w:pPr>
        <w:pStyle w:val="ListParagraph"/>
        <w:spacing w:before="120"/>
        <w:ind w:left="360"/>
        <w:contextualSpacing w:val="0"/>
        <w:jc w:val="center"/>
        <w:rPr>
          <w:rFonts w:ascii="Times New Roman" w:hAnsi="Times New Roman" w:cs="Times New Roman"/>
          <w:b/>
          <w:sz w:val="24"/>
          <w:szCs w:val="24"/>
        </w:rPr>
      </w:pPr>
      <w:r w:rsidRPr="007D14F3">
        <w:rPr>
          <w:rFonts w:ascii="Times New Roman" w:hAnsi="Times New Roman" w:cs="Times New Roman"/>
          <w:b/>
          <w:sz w:val="24"/>
          <w:szCs w:val="24"/>
        </w:rPr>
        <w:lastRenderedPageBreak/>
        <w:t xml:space="preserve">Table </w:t>
      </w:r>
      <w:r w:rsidR="006D481A" w:rsidRPr="007D14F3">
        <w:rPr>
          <w:rFonts w:ascii="Times New Roman" w:hAnsi="Times New Roman" w:cs="Times New Roman"/>
          <w:b/>
          <w:sz w:val="24"/>
          <w:szCs w:val="24"/>
        </w:rPr>
        <w:t>IV</w:t>
      </w:r>
    </w:p>
    <w:p w:rsidR="00250438" w:rsidRPr="007D14F3" w:rsidRDefault="00782749" w:rsidP="009C7202">
      <w:pPr>
        <w:pStyle w:val="ListParagraph"/>
        <w:spacing w:before="120"/>
        <w:ind w:left="360"/>
        <w:contextualSpacing w:val="0"/>
        <w:jc w:val="center"/>
        <w:rPr>
          <w:rFonts w:ascii="Times New Roman" w:hAnsi="Times New Roman" w:cs="Times New Roman"/>
          <w:b/>
          <w:sz w:val="24"/>
          <w:szCs w:val="24"/>
        </w:rPr>
      </w:pPr>
      <w:r w:rsidRPr="007D14F3">
        <w:rPr>
          <w:rFonts w:ascii="Times New Roman" w:hAnsi="Times New Roman" w:cs="Times New Roman"/>
          <w:b/>
          <w:sz w:val="24"/>
          <w:szCs w:val="24"/>
        </w:rPr>
        <w:t>OLS regression results</w:t>
      </w:r>
    </w:p>
    <w:p w:rsidR="00250438" w:rsidRPr="007D14F3" w:rsidRDefault="00250438" w:rsidP="009C7202">
      <w:pPr>
        <w:spacing w:before="120" w:after="120" w:line="240" w:lineRule="auto"/>
        <w:jc w:val="both"/>
        <w:rPr>
          <w:rFonts w:ascii="Times New Roman" w:hAnsi="Times New Roman" w:cs="Times New Roman"/>
          <w:sz w:val="24"/>
          <w:szCs w:val="24"/>
        </w:rPr>
      </w:pPr>
      <w:r w:rsidRPr="007D14F3">
        <w:rPr>
          <w:rFonts w:ascii="Times New Roman" w:hAnsi="Times New Roman" w:cs="Times New Roman"/>
          <w:sz w:val="24"/>
          <w:szCs w:val="24"/>
        </w:rPr>
        <w:t>The table presents the average abnormal return by specific deal characteristics. The number in the brackets is a p-value obtained in one-sample, two-sided t-test. ***, **, * stands for significance at the 1%, 5% and 10% level, respectively</w:t>
      </w:r>
      <w:r w:rsidR="00A8447F" w:rsidRPr="007D14F3">
        <w:rPr>
          <w:rFonts w:ascii="Times New Roman" w:hAnsi="Times New Roman" w:cs="Times New Roman"/>
          <w:sz w:val="24"/>
          <w:szCs w:val="24"/>
        </w:rPr>
        <w:t>.</w:t>
      </w:r>
      <w:r w:rsidRPr="007D14F3">
        <w:rPr>
          <w:rFonts w:ascii="Times New Roman" w:hAnsi="Times New Roman" w:cs="Times New Roman"/>
          <w:sz w:val="24"/>
          <w:szCs w:val="24"/>
        </w:rPr>
        <w:t xml:space="preserve"> </w:t>
      </w:r>
      <w:r w:rsidR="00BE729F" w:rsidRPr="007D14F3">
        <w:rPr>
          <w:rFonts w:ascii="Times New Roman" w:hAnsi="Times New Roman" w:cs="Times New Roman"/>
          <w:sz w:val="24"/>
          <w:szCs w:val="24"/>
        </w:rPr>
        <w:t xml:space="preserve">The OLS regression </w:t>
      </w:r>
      <w:r w:rsidR="0087463A" w:rsidRPr="007D14F3">
        <w:rPr>
          <w:rFonts w:ascii="Times New Roman" w:hAnsi="Times New Roman" w:cs="Times New Roman"/>
          <w:sz w:val="24"/>
          <w:szCs w:val="24"/>
        </w:rPr>
        <w:t>i</w:t>
      </w:r>
      <w:r w:rsidR="00BE729F" w:rsidRPr="007D14F3">
        <w:rPr>
          <w:rFonts w:ascii="Times New Roman" w:hAnsi="Times New Roman" w:cs="Times New Roman"/>
          <w:sz w:val="24"/>
          <w:szCs w:val="24"/>
        </w:rPr>
        <w:t xml:space="preserve">s run with the option “robust”, which </w:t>
      </w:r>
      <w:r w:rsidR="002A06B4" w:rsidRPr="007D14F3">
        <w:rPr>
          <w:rFonts w:ascii="Times New Roman" w:hAnsi="Times New Roman" w:cs="Times New Roman"/>
          <w:sz w:val="24"/>
          <w:szCs w:val="24"/>
        </w:rPr>
        <w:t>considers</w:t>
      </w:r>
      <w:r w:rsidR="00BE729F" w:rsidRPr="007D14F3">
        <w:rPr>
          <w:rFonts w:ascii="Times New Roman" w:hAnsi="Times New Roman" w:cs="Times New Roman"/>
          <w:sz w:val="24"/>
          <w:szCs w:val="24"/>
        </w:rPr>
        <w:t xml:space="preserve"> heteroskedasticity of the model.</w:t>
      </w:r>
    </w:p>
    <w:p w:rsidR="0008393B" w:rsidRPr="007D14F3" w:rsidRDefault="0008393B" w:rsidP="009C7202">
      <w:pPr>
        <w:spacing w:before="120" w:after="120" w:line="240" w:lineRule="auto"/>
        <w:rPr>
          <w:sz w:val="24"/>
          <w:szCs w:val="24"/>
        </w:rPr>
      </w:pPr>
    </w:p>
    <w:tbl>
      <w:tblPr>
        <w:tblStyle w:val="PlainTable5"/>
        <w:tblW w:w="8812" w:type="dxa"/>
        <w:tblLook w:val="06A0" w:firstRow="1" w:lastRow="0" w:firstColumn="1" w:lastColumn="0" w:noHBand="1" w:noVBand="1"/>
      </w:tblPr>
      <w:tblGrid>
        <w:gridCol w:w="2775"/>
        <w:gridCol w:w="3593"/>
        <w:gridCol w:w="2444"/>
      </w:tblGrid>
      <w:tr w:rsidR="00BE729F" w:rsidRPr="007D14F3" w:rsidTr="009C7202">
        <w:trPr>
          <w:cnfStyle w:val="100000000000" w:firstRow="1" w:lastRow="0" w:firstColumn="0" w:lastColumn="0" w:oddVBand="0" w:evenVBand="0" w:oddHBand="0" w:evenHBand="0" w:firstRowFirstColumn="0" w:firstRowLastColumn="0" w:lastRowFirstColumn="0" w:lastRowLastColumn="0"/>
          <w:trHeight w:val="186"/>
        </w:trPr>
        <w:tc>
          <w:tcPr>
            <w:cnfStyle w:val="001000000100" w:firstRow="0" w:lastRow="0" w:firstColumn="1" w:lastColumn="0" w:oddVBand="0" w:evenVBand="0" w:oddHBand="0" w:evenHBand="0" w:firstRowFirstColumn="1" w:firstRowLastColumn="0" w:lastRowFirstColumn="0" w:lastRowLastColumn="0"/>
            <w:tcW w:w="2775" w:type="dxa"/>
            <w:noWrap/>
            <w:vAlign w:val="center"/>
            <w:hideMark/>
          </w:tcPr>
          <w:p w:rsidR="00BE729F" w:rsidRPr="007D14F3" w:rsidRDefault="00BE729F" w:rsidP="009C7202">
            <w:pPr>
              <w:spacing w:before="60"/>
              <w:jc w:val="center"/>
              <w:rPr>
                <w:rFonts w:ascii="Times New Roman" w:eastAsia="Times New Roman" w:hAnsi="Times New Roman" w:cs="Times New Roman"/>
                <w:color w:val="000000"/>
                <w:sz w:val="24"/>
                <w:szCs w:val="24"/>
                <w:lang w:eastAsia="en-GB"/>
              </w:rPr>
            </w:pPr>
            <w:r w:rsidRPr="007D14F3">
              <w:rPr>
                <w:rFonts w:ascii="Times New Roman" w:eastAsia="Times New Roman" w:hAnsi="Times New Roman" w:cs="Times New Roman"/>
                <w:color w:val="000000"/>
                <w:sz w:val="24"/>
                <w:szCs w:val="24"/>
                <w:lang w:eastAsia="en-GB"/>
              </w:rPr>
              <w:t>CAR (-</w:t>
            </w:r>
            <w:proofErr w:type="gramStart"/>
            <w:r w:rsidRPr="007D14F3">
              <w:rPr>
                <w:rFonts w:ascii="Times New Roman" w:eastAsia="Times New Roman" w:hAnsi="Times New Roman" w:cs="Times New Roman"/>
                <w:color w:val="000000"/>
                <w:sz w:val="24"/>
                <w:szCs w:val="24"/>
                <w:lang w:eastAsia="en-GB"/>
              </w:rPr>
              <w:t>1,+</w:t>
            </w:r>
            <w:proofErr w:type="gramEnd"/>
            <w:r w:rsidRPr="007D14F3">
              <w:rPr>
                <w:rFonts w:ascii="Times New Roman" w:eastAsia="Times New Roman" w:hAnsi="Times New Roman" w:cs="Times New Roman"/>
                <w:color w:val="000000"/>
                <w:sz w:val="24"/>
                <w:szCs w:val="24"/>
                <w:lang w:eastAsia="en-GB"/>
              </w:rPr>
              <w:t>1).</w:t>
            </w:r>
          </w:p>
        </w:tc>
        <w:tc>
          <w:tcPr>
            <w:tcW w:w="3593" w:type="dxa"/>
            <w:noWrap/>
            <w:vAlign w:val="center"/>
            <w:hideMark/>
          </w:tcPr>
          <w:p w:rsidR="00BE729F" w:rsidRPr="007D14F3" w:rsidRDefault="00BE729F" w:rsidP="009C7202">
            <w:pPr>
              <w:spacing w:before="6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7D14F3">
              <w:rPr>
                <w:rFonts w:ascii="Times New Roman" w:eastAsia="Times New Roman" w:hAnsi="Times New Roman" w:cs="Times New Roman"/>
                <w:color w:val="000000"/>
                <w:sz w:val="24"/>
                <w:szCs w:val="24"/>
                <w:lang w:eastAsia="en-GB"/>
              </w:rPr>
              <w:t>Model 1, robust</w:t>
            </w:r>
          </w:p>
        </w:tc>
        <w:tc>
          <w:tcPr>
            <w:tcW w:w="2444" w:type="dxa"/>
            <w:noWrap/>
            <w:vAlign w:val="center"/>
            <w:hideMark/>
          </w:tcPr>
          <w:p w:rsidR="00BE729F" w:rsidRPr="007D14F3" w:rsidRDefault="00BE729F" w:rsidP="009C7202">
            <w:pPr>
              <w:spacing w:before="60"/>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7D14F3">
              <w:rPr>
                <w:rFonts w:ascii="Times New Roman" w:eastAsia="Times New Roman" w:hAnsi="Times New Roman" w:cs="Times New Roman"/>
                <w:color w:val="000000"/>
                <w:sz w:val="24"/>
                <w:szCs w:val="24"/>
                <w:lang w:eastAsia="en-GB"/>
              </w:rPr>
              <w:t>Model 2, robust</w:t>
            </w:r>
          </w:p>
        </w:tc>
      </w:tr>
      <w:tr w:rsidR="00BE729F" w:rsidRPr="007D14F3" w:rsidTr="009C7202">
        <w:trPr>
          <w:trHeight w:val="186"/>
        </w:trPr>
        <w:tc>
          <w:tcPr>
            <w:cnfStyle w:val="001000000000" w:firstRow="0" w:lastRow="0" w:firstColumn="1" w:lastColumn="0" w:oddVBand="0" w:evenVBand="0" w:oddHBand="0" w:evenHBand="0" w:firstRowFirstColumn="0" w:firstRowLastColumn="0" w:lastRowFirstColumn="0" w:lastRowLastColumn="0"/>
            <w:tcW w:w="2775" w:type="dxa"/>
            <w:noWrap/>
            <w:vAlign w:val="center"/>
            <w:hideMark/>
          </w:tcPr>
          <w:p w:rsidR="00BE729F" w:rsidRPr="007D14F3" w:rsidRDefault="00BE729F" w:rsidP="009C7202">
            <w:pPr>
              <w:spacing w:before="60"/>
              <w:jc w:val="center"/>
              <w:rPr>
                <w:rFonts w:ascii="Times New Roman" w:eastAsia="Times New Roman" w:hAnsi="Times New Roman" w:cs="Times New Roman"/>
                <w:color w:val="000000"/>
                <w:sz w:val="24"/>
                <w:szCs w:val="24"/>
                <w:lang w:eastAsia="en-GB"/>
              </w:rPr>
            </w:pPr>
            <w:r w:rsidRPr="007D14F3">
              <w:rPr>
                <w:rFonts w:ascii="Times New Roman" w:eastAsia="Times New Roman" w:hAnsi="Times New Roman" w:cs="Times New Roman"/>
                <w:color w:val="000000"/>
                <w:sz w:val="24"/>
                <w:szCs w:val="24"/>
                <w:lang w:eastAsia="en-GB"/>
              </w:rPr>
              <w:t>Classified</w:t>
            </w:r>
          </w:p>
        </w:tc>
        <w:tc>
          <w:tcPr>
            <w:tcW w:w="3593" w:type="dxa"/>
            <w:noWrap/>
            <w:vAlign w:val="center"/>
          </w:tcPr>
          <w:p w:rsidR="00BE729F" w:rsidRPr="007D14F3" w:rsidRDefault="00BE729F" w:rsidP="009C7202">
            <w:pPr>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7D14F3">
              <w:rPr>
                <w:rFonts w:ascii="Times New Roman" w:hAnsi="Times New Roman" w:cs="Times New Roman"/>
                <w:b/>
                <w:color w:val="000000"/>
                <w:sz w:val="24"/>
                <w:szCs w:val="24"/>
              </w:rPr>
              <w:t>0.0055 (</w:t>
            </w:r>
            <w:proofErr w:type="gramStart"/>
            <w:r w:rsidRPr="007D14F3">
              <w:rPr>
                <w:rFonts w:ascii="Times New Roman" w:hAnsi="Times New Roman" w:cs="Times New Roman"/>
                <w:b/>
                <w:color w:val="000000"/>
                <w:sz w:val="24"/>
                <w:szCs w:val="24"/>
              </w:rPr>
              <w:t>0.02)*</w:t>
            </w:r>
            <w:proofErr w:type="gramEnd"/>
            <w:r w:rsidRPr="007D14F3">
              <w:rPr>
                <w:rFonts w:ascii="Times New Roman" w:hAnsi="Times New Roman" w:cs="Times New Roman"/>
                <w:b/>
                <w:color w:val="000000"/>
                <w:sz w:val="24"/>
                <w:szCs w:val="24"/>
              </w:rPr>
              <w:t>*</w:t>
            </w:r>
          </w:p>
        </w:tc>
        <w:tc>
          <w:tcPr>
            <w:tcW w:w="2444" w:type="dxa"/>
            <w:noWrap/>
            <w:vAlign w:val="center"/>
          </w:tcPr>
          <w:p w:rsidR="00BE729F" w:rsidRPr="007D14F3" w:rsidRDefault="00BE729F" w:rsidP="009C7202">
            <w:pPr>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7D14F3">
              <w:rPr>
                <w:rFonts w:ascii="Times New Roman" w:hAnsi="Times New Roman" w:cs="Times New Roman"/>
                <w:b/>
                <w:color w:val="000000"/>
                <w:sz w:val="24"/>
                <w:szCs w:val="24"/>
              </w:rPr>
              <w:t>0.0060 (</w:t>
            </w:r>
            <w:proofErr w:type="gramStart"/>
            <w:r w:rsidRPr="007D14F3">
              <w:rPr>
                <w:rFonts w:ascii="Times New Roman" w:hAnsi="Times New Roman" w:cs="Times New Roman"/>
                <w:b/>
                <w:color w:val="000000"/>
                <w:sz w:val="24"/>
                <w:szCs w:val="24"/>
              </w:rPr>
              <w:t>0.01)*</w:t>
            </w:r>
            <w:proofErr w:type="gramEnd"/>
            <w:r w:rsidRPr="007D14F3">
              <w:rPr>
                <w:rFonts w:ascii="Times New Roman" w:hAnsi="Times New Roman" w:cs="Times New Roman"/>
                <w:b/>
                <w:color w:val="000000"/>
                <w:sz w:val="24"/>
                <w:szCs w:val="24"/>
              </w:rPr>
              <w:t>**</w:t>
            </w:r>
          </w:p>
        </w:tc>
      </w:tr>
      <w:tr w:rsidR="00BE729F" w:rsidRPr="007D14F3" w:rsidTr="009C7202">
        <w:trPr>
          <w:trHeight w:val="186"/>
        </w:trPr>
        <w:tc>
          <w:tcPr>
            <w:cnfStyle w:val="001000000000" w:firstRow="0" w:lastRow="0" w:firstColumn="1" w:lastColumn="0" w:oddVBand="0" w:evenVBand="0" w:oddHBand="0" w:evenHBand="0" w:firstRowFirstColumn="0" w:firstRowLastColumn="0" w:lastRowFirstColumn="0" w:lastRowLastColumn="0"/>
            <w:tcW w:w="2775" w:type="dxa"/>
            <w:noWrap/>
            <w:vAlign w:val="center"/>
            <w:hideMark/>
          </w:tcPr>
          <w:p w:rsidR="00BE729F" w:rsidRPr="007D14F3" w:rsidRDefault="00BE729F" w:rsidP="009C7202">
            <w:pPr>
              <w:spacing w:before="60"/>
              <w:jc w:val="center"/>
              <w:rPr>
                <w:rFonts w:ascii="Times New Roman" w:eastAsia="Times New Roman" w:hAnsi="Times New Roman" w:cs="Times New Roman"/>
                <w:color w:val="000000"/>
                <w:sz w:val="24"/>
                <w:szCs w:val="24"/>
                <w:lang w:eastAsia="en-GB"/>
              </w:rPr>
            </w:pPr>
            <w:r w:rsidRPr="007D14F3">
              <w:rPr>
                <w:rFonts w:ascii="Times New Roman" w:eastAsia="Times New Roman" w:hAnsi="Times New Roman" w:cs="Times New Roman"/>
                <w:color w:val="000000"/>
                <w:sz w:val="24"/>
                <w:szCs w:val="24"/>
                <w:lang w:eastAsia="en-GB"/>
              </w:rPr>
              <w:t>Board size</w:t>
            </w:r>
          </w:p>
        </w:tc>
        <w:tc>
          <w:tcPr>
            <w:tcW w:w="3593" w:type="dxa"/>
            <w:noWrap/>
            <w:vAlign w:val="center"/>
          </w:tcPr>
          <w:p w:rsidR="00BE729F" w:rsidRPr="007D14F3" w:rsidRDefault="00BE729F" w:rsidP="009C7202">
            <w:pPr>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-0.0003 (0.57)</w:t>
            </w:r>
          </w:p>
        </w:tc>
        <w:tc>
          <w:tcPr>
            <w:tcW w:w="2444" w:type="dxa"/>
            <w:noWrap/>
            <w:vAlign w:val="center"/>
          </w:tcPr>
          <w:p w:rsidR="00BE729F" w:rsidRPr="007D14F3" w:rsidRDefault="00BE729F" w:rsidP="009C7202">
            <w:pPr>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-0.0002 (0.62)</w:t>
            </w:r>
          </w:p>
        </w:tc>
      </w:tr>
      <w:tr w:rsidR="00BE729F" w:rsidRPr="007D14F3" w:rsidTr="009C7202">
        <w:trPr>
          <w:trHeight w:val="186"/>
        </w:trPr>
        <w:tc>
          <w:tcPr>
            <w:cnfStyle w:val="001000000000" w:firstRow="0" w:lastRow="0" w:firstColumn="1" w:lastColumn="0" w:oddVBand="0" w:evenVBand="0" w:oddHBand="0" w:evenHBand="0" w:firstRowFirstColumn="0" w:firstRowLastColumn="0" w:lastRowFirstColumn="0" w:lastRowLastColumn="0"/>
            <w:tcW w:w="2775" w:type="dxa"/>
            <w:noWrap/>
            <w:vAlign w:val="center"/>
            <w:hideMark/>
          </w:tcPr>
          <w:p w:rsidR="00BE729F" w:rsidRPr="007D14F3" w:rsidRDefault="00BE729F" w:rsidP="009C7202">
            <w:pPr>
              <w:spacing w:before="60"/>
              <w:jc w:val="center"/>
              <w:rPr>
                <w:rFonts w:ascii="Times New Roman" w:eastAsia="Times New Roman" w:hAnsi="Times New Roman" w:cs="Times New Roman"/>
                <w:color w:val="000000"/>
                <w:sz w:val="24"/>
                <w:szCs w:val="24"/>
                <w:lang w:eastAsia="en-GB"/>
              </w:rPr>
            </w:pPr>
            <w:r w:rsidRPr="007D14F3">
              <w:rPr>
                <w:rFonts w:ascii="Times New Roman" w:eastAsia="Times New Roman" w:hAnsi="Times New Roman" w:cs="Times New Roman"/>
                <w:color w:val="000000"/>
                <w:sz w:val="24"/>
                <w:szCs w:val="24"/>
                <w:lang w:eastAsia="en-GB"/>
              </w:rPr>
              <w:t>Independent</w:t>
            </w:r>
          </w:p>
        </w:tc>
        <w:tc>
          <w:tcPr>
            <w:tcW w:w="3593" w:type="dxa"/>
            <w:noWrap/>
            <w:vAlign w:val="center"/>
          </w:tcPr>
          <w:p w:rsidR="00BE729F" w:rsidRPr="007D14F3" w:rsidRDefault="00BE729F" w:rsidP="009C7202">
            <w:pPr>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7D14F3">
              <w:rPr>
                <w:rFonts w:ascii="Times New Roman" w:hAnsi="Times New Roman" w:cs="Times New Roman"/>
                <w:b/>
                <w:color w:val="000000"/>
                <w:sz w:val="24"/>
                <w:szCs w:val="24"/>
              </w:rPr>
              <w:t>0.0176 (</w:t>
            </w:r>
            <w:proofErr w:type="gramStart"/>
            <w:r w:rsidRPr="007D14F3">
              <w:rPr>
                <w:rFonts w:ascii="Times New Roman" w:hAnsi="Times New Roman" w:cs="Times New Roman"/>
                <w:b/>
                <w:color w:val="000000"/>
                <w:sz w:val="24"/>
                <w:szCs w:val="24"/>
              </w:rPr>
              <w:t>0.08)*</w:t>
            </w:r>
            <w:proofErr w:type="gramEnd"/>
          </w:p>
        </w:tc>
        <w:tc>
          <w:tcPr>
            <w:tcW w:w="2444" w:type="dxa"/>
            <w:noWrap/>
            <w:vAlign w:val="center"/>
          </w:tcPr>
          <w:p w:rsidR="00BE729F" w:rsidRPr="007D14F3" w:rsidRDefault="00BE729F" w:rsidP="009C7202">
            <w:pPr>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sz w:val="24"/>
                <w:szCs w:val="24"/>
              </w:rPr>
            </w:pPr>
            <w:r w:rsidRPr="007D14F3">
              <w:rPr>
                <w:rFonts w:ascii="Times New Roman" w:hAnsi="Times New Roman" w:cs="Times New Roman"/>
                <w:b/>
                <w:color w:val="000000"/>
                <w:sz w:val="24"/>
                <w:szCs w:val="24"/>
              </w:rPr>
              <w:t>0.0173 (</w:t>
            </w:r>
            <w:proofErr w:type="gramStart"/>
            <w:r w:rsidRPr="007D14F3">
              <w:rPr>
                <w:rFonts w:ascii="Times New Roman" w:hAnsi="Times New Roman" w:cs="Times New Roman"/>
                <w:b/>
                <w:color w:val="000000"/>
                <w:sz w:val="24"/>
                <w:szCs w:val="24"/>
              </w:rPr>
              <w:t>0.09)*</w:t>
            </w:r>
            <w:proofErr w:type="gramEnd"/>
          </w:p>
        </w:tc>
      </w:tr>
      <w:tr w:rsidR="00BE729F" w:rsidRPr="007D14F3" w:rsidTr="009C7202">
        <w:trPr>
          <w:trHeight w:val="186"/>
        </w:trPr>
        <w:tc>
          <w:tcPr>
            <w:cnfStyle w:val="001000000000" w:firstRow="0" w:lastRow="0" w:firstColumn="1" w:lastColumn="0" w:oddVBand="0" w:evenVBand="0" w:oddHBand="0" w:evenHBand="0" w:firstRowFirstColumn="0" w:firstRowLastColumn="0" w:lastRowFirstColumn="0" w:lastRowLastColumn="0"/>
            <w:tcW w:w="2775" w:type="dxa"/>
            <w:noWrap/>
            <w:vAlign w:val="center"/>
            <w:hideMark/>
          </w:tcPr>
          <w:p w:rsidR="00BE729F" w:rsidRPr="007D14F3" w:rsidRDefault="00BE729F" w:rsidP="009C7202">
            <w:pPr>
              <w:spacing w:before="60"/>
              <w:jc w:val="center"/>
              <w:rPr>
                <w:rFonts w:ascii="Times New Roman" w:eastAsia="Times New Roman" w:hAnsi="Times New Roman" w:cs="Times New Roman"/>
                <w:color w:val="000000"/>
                <w:sz w:val="24"/>
                <w:szCs w:val="24"/>
                <w:lang w:eastAsia="en-GB"/>
              </w:rPr>
            </w:pPr>
            <w:r w:rsidRPr="007D14F3">
              <w:rPr>
                <w:rFonts w:ascii="Times New Roman" w:eastAsia="Times New Roman" w:hAnsi="Times New Roman" w:cs="Times New Roman"/>
                <w:color w:val="000000"/>
                <w:sz w:val="24"/>
                <w:szCs w:val="24"/>
                <w:lang w:eastAsia="en-GB"/>
              </w:rPr>
              <w:t>Duality</w:t>
            </w:r>
          </w:p>
        </w:tc>
        <w:tc>
          <w:tcPr>
            <w:tcW w:w="3593" w:type="dxa"/>
            <w:noWrap/>
            <w:vAlign w:val="center"/>
          </w:tcPr>
          <w:p w:rsidR="00BE729F" w:rsidRPr="007D14F3" w:rsidRDefault="00BE729F" w:rsidP="009C7202">
            <w:pPr>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-0.0015(0.46)</w:t>
            </w:r>
          </w:p>
        </w:tc>
        <w:tc>
          <w:tcPr>
            <w:tcW w:w="2444" w:type="dxa"/>
            <w:noWrap/>
            <w:vAlign w:val="center"/>
          </w:tcPr>
          <w:p w:rsidR="00BE729F" w:rsidRPr="007D14F3" w:rsidRDefault="00BE729F" w:rsidP="009C7202">
            <w:pPr>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-0.0012 (0.59)</w:t>
            </w:r>
          </w:p>
        </w:tc>
      </w:tr>
      <w:tr w:rsidR="00BE729F" w:rsidRPr="007D14F3" w:rsidTr="009C7202">
        <w:trPr>
          <w:trHeight w:val="186"/>
        </w:trPr>
        <w:tc>
          <w:tcPr>
            <w:cnfStyle w:val="001000000000" w:firstRow="0" w:lastRow="0" w:firstColumn="1" w:lastColumn="0" w:oddVBand="0" w:evenVBand="0" w:oddHBand="0" w:evenHBand="0" w:firstRowFirstColumn="0" w:firstRowLastColumn="0" w:lastRowFirstColumn="0" w:lastRowLastColumn="0"/>
            <w:tcW w:w="2775" w:type="dxa"/>
            <w:noWrap/>
            <w:vAlign w:val="center"/>
            <w:hideMark/>
          </w:tcPr>
          <w:p w:rsidR="00BE729F" w:rsidRPr="007D14F3" w:rsidRDefault="00BE729F" w:rsidP="009C7202">
            <w:pPr>
              <w:spacing w:before="60"/>
              <w:jc w:val="center"/>
              <w:rPr>
                <w:rFonts w:ascii="Times New Roman" w:eastAsia="Times New Roman" w:hAnsi="Times New Roman" w:cs="Times New Roman"/>
                <w:color w:val="000000"/>
                <w:sz w:val="24"/>
                <w:szCs w:val="24"/>
                <w:lang w:eastAsia="en-GB"/>
              </w:rPr>
            </w:pPr>
            <w:r w:rsidRPr="007D14F3">
              <w:rPr>
                <w:rFonts w:ascii="Times New Roman" w:eastAsia="Times New Roman" w:hAnsi="Times New Roman" w:cs="Times New Roman"/>
                <w:color w:val="000000"/>
                <w:sz w:val="24"/>
                <w:szCs w:val="24"/>
                <w:lang w:eastAsia="en-GB"/>
              </w:rPr>
              <w:t>Diversity</w:t>
            </w:r>
          </w:p>
        </w:tc>
        <w:tc>
          <w:tcPr>
            <w:tcW w:w="3593" w:type="dxa"/>
            <w:noWrap/>
            <w:vAlign w:val="center"/>
          </w:tcPr>
          <w:p w:rsidR="00BE729F" w:rsidRPr="007D14F3" w:rsidRDefault="00BE729F" w:rsidP="009C7202">
            <w:pPr>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-0.0170 (0.16)</w:t>
            </w:r>
          </w:p>
        </w:tc>
        <w:tc>
          <w:tcPr>
            <w:tcW w:w="2444" w:type="dxa"/>
            <w:noWrap/>
            <w:vAlign w:val="center"/>
          </w:tcPr>
          <w:p w:rsidR="00BE729F" w:rsidRPr="007D14F3" w:rsidRDefault="00BE729F" w:rsidP="009C7202">
            <w:pPr>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-0.0185 (0.12)</w:t>
            </w:r>
          </w:p>
        </w:tc>
      </w:tr>
      <w:tr w:rsidR="00BE729F" w:rsidRPr="007D14F3" w:rsidTr="009C7202">
        <w:trPr>
          <w:trHeight w:val="186"/>
        </w:trPr>
        <w:tc>
          <w:tcPr>
            <w:cnfStyle w:val="001000000000" w:firstRow="0" w:lastRow="0" w:firstColumn="1" w:lastColumn="0" w:oddVBand="0" w:evenVBand="0" w:oddHBand="0" w:evenHBand="0" w:firstRowFirstColumn="0" w:firstRowLastColumn="0" w:lastRowFirstColumn="0" w:lastRowLastColumn="0"/>
            <w:tcW w:w="2775" w:type="dxa"/>
            <w:noWrap/>
            <w:vAlign w:val="center"/>
            <w:hideMark/>
          </w:tcPr>
          <w:p w:rsidR="00BE729F" w:rsidRPr="007D14F3" w:rsidRDefault="00BE729F" w:rsidP="009C7202">
            <w:pPr>
              <w:spacing w:before="60"/>
              <w:jc w:val="center"/>
              <w:rPr>
                <w:rFonts w:ascii="Times New Roman" w:eastAsia="Times New Roman" w:hAnsi="Times New Roman" w:cs="Times New Roman"/>
                <w:color w:val="000000"/>
                <w:sz w:val="24"/>
                <w:szCs w:val="24"/>
                <w:lang w:eastAsia="en-GB"/>
              </w:rPr>
            </w:pPr>
            <w:r w:rsidRPr="007D14F3">
              <w:rPr>
                <w:rFonts w:ascii="Times New Roman" w:eastAsia="Times New Roman" w:hAnsi="Times New Roman" w:cs="Times New Roman"/>
                <w:color w:val="000000"/>
                <w:sz w:val="24"/>
                <w:szCs w:val="24"/>
                <w:lang w:eastAsia="en-GB"/>
              </w:rPr>
              <w:t>Leverage</w:t>
            </w:r>
          </w:p>
        </w:tc>
        <w:tc>
          <w:tcPr>
            <w:tcW w:w="3593" w:type="dxa"/>
            <w:noWrap/>
            <w:vAlign w:val="center"/>
          </w:tcPr>
          <w:p w:rsidR="00BE729F" w:rsidRPr="007D14F3" w:rsidRDefault="00BE729F" w:rsidP="009C7202">
            <w:pPr>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0.0043 (0.59)</w:t>
            </w:r>
          </w:p>
        </w:tc>
        <w:tc>
          <w:tcPr>
            <w:tcW w:w="2444" w:type="dxa"/>
            <w:noWrap/>
            <w:vAlign w:val="center"/>
          </w:tcPr>
          <w:p w:rsidR="00BE729F" w:rsidRPr="007D14F3" w:rsidRDefault="00BE729F" w:rsidP="009C7202">
            <w:pPr>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0.0035 (0.67)</w:t>
            </w:r>
          </w:p>
        </w:tc>
      </w:tr>
      <w:tr w:rsidR="00BE729F" w:rsidRPr="007D14F3" w:rsidTr="009C7202">
        <w:trPr>
          <w:trHeight w:val="186"/>
        </w:trPr>
        <w:tc>
          <w:tcPr>
            <w:cnfStyle w:val="001000000000" w:firstRow="0" w:lastRow="0" w:firstColumn="1" w:lastColumn="0" w:oddVBand="0" w:evenVBand="0" w:oddHBand="0" w:evenHBand="0" w:firstRowFirstColumn="0" w:firstRowLastColumn="0" w:lastRowFirstColumn="0" w:lastRowLastColumn="0"/>
            <w:tcW w:w="2775" w:type="dxa"/>
            <w:noWrap/>
            <w:vAlign w:val="center"/>
            <w:hideMark/>
          </w:tcPr>
          <w:p w:rsidR="00BE729F" w:rsidRPr="007D14F3" w:rsidRDefault="00BE729F" w:rsidP="009C7202">
            <w:pPr>
              <w:spacing w:before="60"/>
              <w:jc w:val="center"/>
              <w:rPr>
                <w:rFonts w:ascii="Times New Roman" w:eastAsia="Times New Roman" w:hAnsi="Times New Roman" w:cs="Times New Roman"/>
                <w:color w:val="000000"/>
                <w:sz w:val="24"/>
                <w:szCs w:val="24"/>
                <w:lang w:eastAsia="en-GB"/>
              </w:rPr>
            </w:pPr>
            <w:r w:rsidRPr="007D14F3">
              <w:rPr>
                <w:rFonts w:ascii="Times New Roman" w:eastAsia="Times New Roman" w:hAnsi="Times New Roman" w:cs="Times New Roman"/>
                <w:color w:val="000000"/>
                <w:sz w:val="24"/>
                <w:szCs w:val="24"/>
                <w:lang w:eastAsia="en-GB"/>
              </w:rPr>
              <w:t>FCF</w:t>
            </w:r>
          </w:p>
        </w:tc>
        <w:tc>
          <w:tcPr>
            <w:tcW w:w="3593" w:type="dxa"/>
            <w:noWrap/>
            <w:vAlign w:val="center"/>
          </w:tcPr>
          <w:p w:rsidR="00BE729F" w:rsidRPr="007D14F3" w:rsidRDefault="00BE729F" w:rsidP="009C7202">
            <w:pPr>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0.0452 (</w:t>
            </w:r>
            <w:proofErr w:type="gramStart"/>
            <w:r w:rsidRPr="007D14F3">
              <w:rPr>
                <w:rFonts w:ascii="Times New Roman" w:hAnsi="Times New Roman" w:cs="Times New Roman"/>
                <w:color w:val="000000"/>
                <w:sz w:val="24"/>
                <w:szCs w:val="24"/>
              </w:rPr>
              <w:t>0.04)*</w:t>
            </w:r>
            <w:proofErr w:type="gramEnd"/>
            <w:r w:rsidRPr="007D14F3">
              <w:rPr>
                <w:rFonts w:ascii="Times New Roman" w:hAnsi="Times New Roman" w:cs="Times New Roman"/>
                <w:color w:val="000000"/>
                <w:sz w:val="24"/>
                <w:szCs w:val="24"/>
              </w:rPr>
              <w:t>*</w:t>
            </w:r>
          </w:p>
        </w:tc>
        <w:tc>
          <w:tcPr>
            <w:tcW w:w="2444" w:type="dxa"/>
            <w:noWrap/>
            <w:vAlign w:val="center"/>
          </w:tcPr>
          <w:p w:rsidR="00BE729F" w:rsidRPr="007D14F3" w:rsidRDefault="00BE729F" w:rsidP="009C7202">
            <w:pPr>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0.0479 (</w:t>
            </w:r>
            <w:proofErr w:type="gramStart"/>
            <w:r w:rsidRPr="007D14F3">
              <w:rPr>
                <w:rFonts w:ascii="Times New Roman" w:hAnsi="Times New Roman" w:cs="Times New Roman"/>
                <w:color w:val="000000"/>
                <w:sz w:val="24"/>
                <w:szCs w:val="24"/>
              </w:rPr>
              <w:t>0.03)*</w:t>
            </w:r>
            <w:proofErr w:type="gramEnd"/>
            <w:r w:rsidRPr="007D14F3">
              <w:rPr>
                <w:rFonts w:ascii="Times New Roman" w:hAnsi="Times New Roman" w:cs="Times New Roman"/>
                <w:color w:val="000000"/>
                <w:sz w:val="24"/>
                <w:szCs w:val="24"/>
              </w:rPr>
              <w:t>*</w:t>
            </w:r>
          </w:p>
        </w:tc>
      </w:tr>
      <w:tr w:rsidR="00BE729F" w:rsidRPr="007D14F3" w:rsidTr="009C7202">
        <w:trPr>
          <w:trHeight w:val="186"/>
        </w:trPr>
        <w:tc>
          <w:tcPr>
            <w:cnfStyle w:val="001000000000" w:firstRow="0" w:lastRow="0" w:firstColumn="1" w:lastColumn="0" w:oddVBand="0" w:evenVBand="0" w:oddHBand="0" w:evenHBand="0" w:firstRowFirstColumn="0" w:firstRowLastColumn="0" w:lastRowFirstColumn="0" w:lastRowLastColumn="0"/>
            <w:tcW w:w="2775" w:type="dxa"/>
            <w:noWrap/>
            <w:vAlign w:val="center"/>
            <w:hideMark/>
          </w:tcPr>
          <w:p w:rsidR="00BE729F" w:rsidRPr="007D14F3" w:rsidRDefault="00BE729F" w:rsidP="009C7202">
            <w:pPr>
              <w:spacing w:before="60"/>
              <w:jc w:val="center"/>
              <w:rPr>
                <w:rFonts w:ascii="Times New Roman" w:eastAsia="Times New Roman" w:hAnsi="Times New Roman" w:cs="Times New Roman"/>
                <w:color w:val="000000"/>
                <w:sz w:val="24"/>
                <w:szCs w:val="24"/>
                <w:lang w:eastAsia="en-GB"/>
              </w:rPr>
            </w:pPr>
            <w:r w:rsidRPr="007D14F3">
              <w:rPr>
                <w:rFonts w:ascii="Times New Roman" w:eastAsia="Times New Roman" w:hAnsi="Times New Roman" w:cs="Times New Roman"/>
                <w:color w:val="000000"/>
                <w:sz w:val="24"/>
                <w:szCs w:val="24"/>
                <w:lang w:eastAsia="en-GB"/>
              </w:rPr>
              <w:t>Tobin’s q</w:t>
            </w:r>
          </w:p>
        </w:tc>
        <w:tc>
          <w:tcPr>
            <w:tcW w:w="3593" w:type="dxa"/>
            <w:noWrap/>
            <w:vAlign w:val="center"/>
          </w:tcPr>
          <w:p w:rsidR="00BE729F" w:rsidRPr="007D14F3" w:rsidRDefault="00BE729F" w:rsidP="009C7202">
            <w:pPr>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-0.0020 (0.14)</w:t>
            </w:r>
          </w:p>
        </w:tc>
        <w:tc>
          <w:tcPr>
            <w:tcW w:w="2444" w:type="dxa"/>
            <w:noWrap/>
            <w:vAlign w:val="center"/>
          </w:tcPr>
          <w:p w:rsidR="00BE729F" w:rsidRPr="007D14F3" w:rsidRDefault="00BE729F" w:rsidP="009C7202">
            <w:pPr>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-0.0021 (0.14)</w:t>
            </w:r>
          </w:p>
        </w:tc>
      </w:tr>
      <w:tr w:rsidR="00BE729F" w:rsidRPr="007D14F3" w:rsidTr="009C7202">
        <w:trPr>
          <w:trHeight w:val="186"/>
        </w:trPr>
        <w:tc>
          <w:tcPr>
            <w:cnfStyle w:val="001000000000" w:firstRow="0" w:lastRow="0" w:firstColumn="1" w:lastColumn="0" w:oddVBand="0" w:evenVBand="0" w:oddHBand="0" w:evenHBand="0" w:firstRowFirstColumn="0" w:firstRowLastColumn="0" w:lastRowFirstColumn="0" w:lastRowLastColumn="0"/>
            <w:tcW w:w="2775" w:type="dxa"/>
            <w:noWrap/>
            <w:vAlign w:val="center"/>
            <w:hideMark/>
          </w:tcPr>
          <w:p w:rsidR="00BE729F" w:rsidRPr="007D14F3" w:rsidRDefault="00BE729F" w:rsidP="009C7202">
            <w:pPr>
              <w:spacing w:before="60"/>
              <w:jc w:val="center"/>
              <w:rPr>
                <w:rFonts w:ascii="Times New Roman" w:eastAsia="Times New Roman" w:hAnsi="Times New Roman" w:cs="Times New Roman"/>
                <w:color w:val="000000"/>
                <w:sz w:val="24"/>
                <w:szCs w:val="24"/>
                <w:lang w:eastAsia="en-GB"/>
              </w:rPr>
            </w:pPr>
            <w:r w:rsidRPr="007D14F3">
              <w:rPr>
                <w:rFonts w:ascii="Times New Roman" w:eastAsia="Times New Roman" w:hAnsi="Times New Roman" w:cs="Times New Roman"/>
                <w:color w:val="000000"/>
                <w:sz w:val="24"/>
                <w:szCs w:val="24"/>
                <w:lang w:eastAsia="en-GB"/>
              </w:rPr>
              <w:t>Firm size</w:t>
            </w:r>
          </w:p>
        </w:tc>
        <w:tc>
          <w:tcPr>
            <w:tcW w:w="3593" w:type="dxa"/>
            <w:noWrap/>
            <w:vAlign w:val="center"/>
          </w:tcPr>
          <w:p w:rsidR="00BE729F" w:rsidRPr="007D14F3" w:rsidRDefault="00BE729F" w:rsidP="009C7202">
            <w:pPr>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-0.0035(</w:t>
            </w:r>
            <w:proofErr w:type="gramStart"/>
            <w:r w:rsidRPr="007D14F3">
              <w:rPr>
                <w:rFonts w:ascii="Times New Roman" w:hAnsi="Times New Roman" w:cs="Times New Roman"/>
                <w:color w:val="000000"/>
                <w:sz w:val="24"/>
                <w:szCs w:val="24"/>
              </w:rPr>
              <w:t>0.06)*</w:t>
            </w:r>
            <w:proofErr w:type="gramEnd"/>
          </w:p>
        </w:tc>
        <w:tc>
          <w:tcPr>
            <w:tcW w:w="2444" w:type="dxa"/>
            <w:noWrap/>
            <w:vAlign w:val="center"/>
          </w:tcPr>
          <w:p w:rsidR="00BE729F" w:rsidRPr="007D14F3" w:rsidRDefault="00BE729F" w:rsidP="009C7202">
            <w:pPr>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-0.0035 (</w:t>
            </w:r>
            <w:proofErr w:type="gramStart"/>
            <w:r w:rsidRPr="007D14F3">
              <w:rPr>
                <w:rFonts w:ascii="Times New Roman" w:hAnsi="Times New Roman" w:cs="Times New Roman"/>
                <w:color w:val="000000"/>
                <w:sz w:val="24"/>
                <w:szCs w:val="24"/>
              </w:rPr>
              <w:t>0.06)*</w:t>
            </w:r>
            <w:proofErr w:type="gramEnd"/>
          </w:p>
        </w:tc>
      </w:tr>
      <w:tr w:rsidR="00BE729F" w:rsidRPr="007D14F3" w:rsidTr="009C7202">
        <w:trPr>
          <w:trHeight w:val="186"/>
        </w:trPr>
        <w:tc>
          <w:tcPr>
            <w:cnfStyle w:val="001000000000" w:firstRow="0" w:lastRow="0" w:firstColumn="1" w:lastColumn="0" w:oddVBand="0" w:evenVBand="0" w:oddHBand="0" w:evenHBand="0" w:firstRowFirstColumn="0" w:firstRowLastColumn="0" w:lastRowFirstColumn="0" w:lastRowLastColumn="0"/>
            <w:tcW w:w="2775" w:type="dxa"/>
            <w:noWrap/>
            <w:vAlign w:val="center"/>
            <w:hideMark/>
          </w:tcPr>
          <w:p w:rsidR="00BE729F" w:rsidRPr="007D14F3" w:rsidRDefault="00BE729F" w:rsidP="009C7202">
            <w:pPr>
              <w:spacing w:before="60"/>
              <w:jc w:val="center"/>
              <w:rPr>
                <w:rFonts w:ascii="Times New Roman" w:eastAsia="Times New Roman" w:hAnsi="Times New Roman" w:cs="Times New Roman"/>
                <w:color w:val="000000"/>
                <w:sz w:val="24"/>
                <w:szCs w:val="24"/>
                <w:lang w:eastAsia="en-GB"/>
              </w:rPr>
            </w:pPr>
            <w:r w:rsidRPr="007D14F3">
              <w:rPr>
                <w:rFonts w:ascii="Times New Roman" w:eastAsia="Times New Roman" w:hAnsi="Times New Roman" w:cs="Times New Roman"/>
                <w:color w:val="000000"/>
                <w:sz w:val="24"/>
                <w:szCs w:val="24"/>
                <w:lang w:eastAsia="en-GB"/>
              </w:rPr>
              <w:t>Relative Deal Size</w:t>
            </w:r>
          </w:p>
        </w:tc>
        <w:tc>
          <w:tcPr>
            <w:tcW w:w="3593" w:type="dxa"/>
            <w:noWrap/>
            <w:vAlign w:val="center"/>
          </w:tcPr>
          <w:p w:rsidR="00BE729F" w:rsidRPr="007D14F3" w:rsidRDefault="00BE729F" w:rsidP="009C7202">
            <w:pPr>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0.0157(0.</w:t>
            </w:r>
            <w:proofErr w:type="gramStart"/>
            <w:r w:rsidRPr="007D14F3">
              <w:rPr>
                <w:rFonts w:ascii="Times New Roman" w:hAnsi="Times New Roman" w:cs="Times New Roman"/>
                <w:color w:val="000000"/>
                <w:sz w:val="24"/>
                <w:szCs w:val="24"/>
              </w:rPr>
              <w:t>04)*</w:t>
            </w:r>
            <w:proofErr w:type="gramEnd"/>
            <w:r w:rsidRPr="007D14F3">
              <w:rPr>
                <w:rFonts w:ascii="Times New Roman" w:hAnsi="Times New Roman" w:cs="Times New Roman"/>
                <w:color w:val="000000"/>
                <w:sz w:val="24"/>
                <w:szCs w:val="24"/>
              </w:rPr>
              <w:t>*</w:t>
            </w:r>
          </w:p>
        </w:tc>
        <w:tc>
          <w:tcPr>
            <w:tcW w:w="2444" w:type="dxa"/>
            <w:noWrap/>
            <w:vAlign w:val="center"/>
          </w:tcPr>
          <w:p w:rsidR="00BE729F" w:rsidRPr="007D14F3" w:rsidRDefault="00BE729F" w:rsidP="009C7202">
            <w:pPr>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0.0153 (</w:t>
            </w:r>
            <w:proofErr w:type="gramStart"/>
            <w:r w:rsidRPr="007D14F3">
              <w:rPr>
                <w:rFonts w:ascii="Times New Roman" w:hAnsi="Times New Roman" w:cs="Times New Roman"/>
                <w:color w:val="000000"/>
                <w:sz w:val="24"/>
                <w:szCs w:val="24"/>
              </w:rPr>
              <w:t>0.04)*</w:t>
            </w:r>
            <w:proofErr w:type="gramEnd"/>
            <w:r w:rsidRPr="007D14F3">
              <w:rPr>
                <w:rFonts w:ascii="Times New Roman" w:hAnsi="Times New Roman" w:cs="Times New Roman"/>
                <w:color w:val="000000"/>
                <w:sz w:val="24"/>
                <w:szCs w:val="24"/>
              </w:rPr>
              <w:t>*</w:t>
            </w:r>
          </w:p>
        </w:tc>
      </w:tr>
      <w:tr w:rsidR="00BE729F" w:rsidRPr="007D14F3" w:rsidTr="009C7202">
        <w:trPr>
          <w:trHeight w:val="186"/>
        </w:trPr>
        <w:tc>
          <w:tcPr>
            <w:cnfStyle w:val="001000000000" w:firstRow="0" w:lastRow="0" w:firstColumn="1" w:lastColumn="0" w:oddVBand="0" w:evenVBand="0" w:oddHBand="0" w:evenHBand="0" w:firstRowFirstColumn="0" w:firstRowLastColumn="0" w:lastRowFirstColumn="0" w:lastRowLastColumn="0"/>
            <w:tcW w:w="2775" w:type="dxa"/>
            <w:noWrap/>
            <w:vAlign w:val="center"/>
            <w:hideMark/>
          </w:tcPr>
          <w:p w:rsidR="00BE729F" w:rsidRPr="007D14F3" w:rsidRDefault="00BE729F" w:rsidP="009C7202">
            <w:pPr>
              <w:spacing w:before="60"/>
              <w:jc w:val="center"/>
              <w:rPr>
                <w:rFonts w:ascii="Times New Roman" w:eastAsia="Times New Roman" w:hAnsi="Times New Roman" w:cs="Times New Roman"/>
                <w:color w:val="000000"/>
                <w:sz w:val="24"/>
                <w:szCs w:val="24"/>
                <w:lang w:eastAsia="en-GB"/>
              </w:rPr>
            </w:pPr>
            <w:r w:rsidRPr="007D14F3">
              <w:rPr>
                <w:rFonts w:ascii="Times New Roman" w:eastAsia="Times New Roman" w:hAnsi="Times New Roman" w:cs="Times New Roman"/>
                <w:color w:val="000000"/>
                <w:sz w:val="24"/>
                <w:szCs w:val="24"/>
                <w:lang w:eastAsia="en-GB"/>
              </w:rPr>
              <w:t>Industry</w:t>
            </w:r>
          </w:p>
        </w:tc>
        <w:tc>
          <w:tcPr>
            <w:tcW w:w="3593" w:type="dxa"/>
            <w:noWrap/>
            <w:vAlign w:val="center"/>
          </w:tcPr>
          <w:p w:rsidR="00BE729F" w:rsidRPr="007D14F3" w:rsidRDefault="00BE729F" w:rsidP="009C7202">
            <w:pPr>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0.0029(0.16)</w:t>
            </w:r>
          </w:p>
        </w:tc>
        <w:tc>
          <w:tcPr>
            <w:tcW w:w="2444" w:type="dxa"/>
            <w:noWrap/>
            <w:vAlign w:val="center"/>
          </w:tcPr>
          <w:p w:rsidR="00BE729F" w:rsidRPr="007D14F3" w:rsidRDefault="00BE729F" w:rsidP="009C7202">
            <w:pPr>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0.0030 (0.16)</w:t>
            </w:r>
          </w:p>
        </w:tc>
      </w:tr>
      <w:tr w:rsidR="00BE729F" w:rsidRPr="007D14F3" w:rsidTr="009C7202">
        <w:trPr>
          <w:trHeight w:val="186"/>
        </w:trPr>
        <w:tc>
          <w:tcPr>
            <w:cnfStyle w:val="001000000000" w:firstRow="0" w:lastRow="0" w:firstColumn="1" w:lastColumn="0" w:oddVBand="0" w:evenVBand="0" w:oddHBand="0" w:evenHBand="0" w:firstRowFirstColumn="0" w:firstRowLastColumn="0" w:lastRowFirstColumn="0" w:lastRowLastColumn="0"/>
            <w:tcW w:w="2775" w:type="dxa"/>
            <w:noWrap/>
            <w:vAlign w:val="center"/>
            <w:hideMark/>
          </w:tcPr>
          <w:p w:rsidR="00BE729F" w:rsidRPr="007D14F3" w:rsidRDefault="00BE729F" w:rsidP="009C7202">
            <w:pPr>
              <w:spacing w:before="60"/>
              <w:jc w:val="center"/>
              <w:rPr>
                <w:rFonts w:ascii="Times New Roman" w:eastAsia="Times New Roman" w:hAnsi="Times New Roman" w:cs="Times New Roman"/>
                <w:color w:val="000000"/>
                <w:sz w:val="24"/>
                <w:szCs w:val="24"/>
                <w:lang w:eastAsia="en-GB"/>
              </w:rPr>
            </w:pPr>
            <w:r w:rsidRPr="007D14F3">
              <w:rPr>
                <w:rFonts w:ascii="Times New Roman" w:eastAsia="Times New Roman" w:hAnsi="Times New Roman" w:cs="Times New Roman"/>
                <w:color w:val="000000"/>
                <w:sz w:val="24"/>
                <w:szCs w:val="24"/>
                <w:lang w:eastAsia="en-GB"/>
              </w:rPr>
              <w:t>Private</w:t>
            </w:r>
          </w:p>
        </w:tc>
        <w:tc>
          <w:tcPr>
            <w:tcW w:w="3593" w:type="dxa"/>
            <w:noWrap/>
            <w:vAlign w:val="center"/>
          </w:tcPr>
          <w:p w:rsidR="00BE729F" w:rsidRPr="007D14F3" w:rsidRDefault="00BE729F" w:rsidP="009C7202">
            <w:pPr>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0.0033 (0.19)</w:t>
            </w:r>
          </w:p>
        </w:tc>
        <w:tc>
          <w:tcPr>
            <w:tcW w:w="2444" w:type="dxa"/>
            <w:noWrap/>
            <w:vAlign w:val="center"/>
          </w:tcPr>
          <w:p w:rsidR="00BE729F" w:rsidRPr="007D14F3" w:rsidRDefault="00BE729F" w:rsidP="009C7202">
            <w:pPr>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0.0027 (0.27)</w:t>
            </w:r>
          </w:p>
        </w:tc>
      </w:tr>
      <w:tr w:rsidR="00BE729F" w:rsidRPr="007D14F3" w:rsidTr="009C7202">
        <w:trPr>
          <w:trHeight w:val="186"/>
        </w:trPr>
        <w:tc>
          <w:tcPr>
            <w:cnfStyle w:val="001000000000" w:firstRow="0" w:lastRow="0" w:firstColumn="1" w:lastColumn="0" w:oddVBand="0" w:evenVBand="0" w:oddHBand="0" w:evenHBand="0" w:firstRowFirstColumn="0" w:firstRowLastColumn="0" w:lastRowFirstColumn="0" w:lastRowLastColumn="0"/>
            <w:tcW w:w="2775" w:type="dxa"/>
            <w:noWrap/>
            <w:vAlign w:val="center"/>
            <w:hideMark/>
          </w:tcPr>
          <w:p w:rsidR="00BE729F" w:rsidRPr="007D14F3" w:rsidRDefault="00BE729F" w:rsidP="009C7202">
            <w:pPr>
              <w:spacing w:before="60"/>
              <w:jc w:val="center"/>
              <w:rPr>
                <w:rFonts w:ascii="Times New Roman" w:eastAsia="Times New Roman" w:hAnsi="Times New Roman" w:cs="Times New Roman"/>
                <w:color w:val="000000"/>
                <w:sz w:val="24"/>
                <w:szCs w:val="24"/>
                <w:lang w:eastAsia="en-GB"/>
              </w:rPr>
            </w:pPr>
            <w:r w:rsidRPr="007D14F3">
              <w:rPr>
                <w:rFonts w:ascii="Times New Roman" w:eastAsia="Times New Roman" w:hAnsi="Times New Roman" w:cs="Times New Roman"/>
                <w:color w:val="000000"/>
                <w:sz w:val="24"/>
                <w:szCs w:val="24"/>
                <w:lang w:eastAsia="en-GB"/>
              </w:rPr>
              <w:t>Subsidiary</w:t>
            </w:r>
          </w:p>
        </w:tc>
        <w:tc>
          <w:tcPr>
            <w:tcW w:w="3593" w:type="dxa"/>
            <w:noWrap/>
            <w:vAlign w:val="center"/>
          </w:tcPr>
          <w:p w:rsidR="00BE729F" w:rsidRPr="007D14F3" w:rsidRDefault="00BE729F" w:rsidP="009C7202">
            <w:pPr>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0.0124 (</w:t>
            </w:r>
            <w:proofErr w:type="gramStart"/>
            <w:r w:rsidRPr="007D14F3">
              <w:rPr>
                <w:rFonts w:ascii="Times New Roman" w:hAnsi="Times New Roman" w:cs="Times New Roman"/>
                <w:color w:val="000000"/>
                <w:sz w:val="24"/>
                <w:szCs w:val="24"/>
              </w:rPr>
              <w:t>0.00)*</w:t>
            </w:r>
            <w:proofErr w:type="gramEnd"/>
            <w:r w:rsidRPr="007D14F3">
              <w:rPr>
                <w:rFonts w:ascii="Times New Roman" w:hAnsi="Times New Roman" w:cs="Times New Roman"/>
                <w:color w:val="000000"/>
                <w:sz w:val="24"/>
                <w:szCs w:val="24"/>
              </w:rPr>
              <w:t>**</w:t>
            </w:r>
          </w:p>
        </w:tc>
        <w:tc>
          <w:tcPr>
            <w:tcW w:w="2444" w:type="dxa"/>
            <w:noWrap/>
            <w:vAlign w:val="center"/>
          </w:tcPr>
          <w:p w:rsidR="00BE729F" w:rsidRPr="007D14F3" w:rsidRDefault="00BE729F" w:rsidP="009C7202">
            <w:pPr>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0.0114 (</w:t>
            </w:r>
            <w:proofErr w:type="gramStart"/>
            <w:r w:rsidRPr="007D14F3">
              <w:rPr>
                <w:rFonts w:ascii="Times New Roman" w:hAnsi="Times New Roman" w:cs="Times New Roman"/>
                <w:color w:val="000000"/>
                <w:sz w:val="24"/>
                <w:szCs w:val="24"/>
              </w:rPr>
              <w:t>0.00)*</w:t>
            </w:r>
            <w:proofErr w:type="gramEnd"/>
            <w:r w:rsidRPr="007D14F3">
              <w:rPr>
                <w:rFonts w:ascii="Times New Roman" w:hAnsi="Times New Roman" w:cs="Times New Roman"/>
                <w:color w:val="000000"/>
                <w:sz w:val="24"/>
                <w:szCs w:val="24"/>
              </w:rPr>
              <w:t>**</w:t>
            </w:r>
          </w:p>
        </w:tc>
      </w:tr>
      <w:tr w:rsidR="00BE729F" w:rsidRPr="007D14F3" w:rsidTr="009C7202">
        <w:trPr>
          <w:trHeight w:val="186"/>
        </w:trPr>
        <w:tc>
          <w:tcPr>
            <w:cnfStyle w:val="001000000000" w:firstRow="0" w:lastRow="0" w:firstColumn="1" w:lastColumn="0" w:oddVBand="0" w:evenVBand="0" w:oddHBand="0" w:evenHBand="0" w:firstRowFirstColumn="0" w:firstRowLastColumn="0" w:lastRowFirstColumn="0" w:lastRowLastColumn="0"/>
            <w:tcW w:w="2775" w:type="dxa"/>
            <w:noWrap/>
            <w:vAlign w:val="center"/>
            <w:hideMark/>
          </w:tcPr>
          <w:p w:rsidR="00BE729F" w:rsidRPr="007D14F3" w:rsidRDefault="00BE729F" w:rsidP="009C7202">
            <w:pPr>
              <w:spacing w:before="60"/>
              <w:jc w:val="center"/>
              <w:rPr>
                <w:rFonts w:ascii="Times New Roman" w:eastAsia="Times New Roman" w:hAnsi="Times New Roman" w:cs="Times New Roman"/>
                <w:color w:val="000000"/>
                <w:sz w:val="24"/>
                <w:szCs w:val="24"/>
                <w:lang w:eastAsia="en-GB"/>
              </w:rPr>
            </w:pPr>
            <w:r w:rsidRPr="007D14F3">
              <w:rPr>
                <w:rFonts w:ascii="Times New Roman" w:eastAsia="Times New Roman" w:hAnsi="Times New Roman" w:cs="Times New Roman"/>
                <w:color w:val="000000"/>
                <w:sz w:val="24"/>
                <w:szCs w:val="24"/>
                <w:lang w:eastAsia="en-GB"/>
              </w:rPr>
              <w:t>All-Cash</w:t>
            </w:r>
          </w:p>
        </w:tc>
        <w:tc>
          <w:tcPr>
            <w:tcW w:w="3593" w:type="dxa"/>
            <w:noWrap/>
            <w:vAlign w:val="center"/>
          </w:tcPr>
          <w:p w:rsidR="00BE729F" w:rsidRPr="007D14F3" w:rsidRDefault="00BE729F" w:rsidP="009C7202">
            <w:pPr>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0.0041 (</w:t>
            </w:r>
            <w:proofErr w:type="gramStart"/>
            <w:r w:rsidRPr="007D14F3">
              <w:rPr>
                <w:rFonts w:ascii="Times New Roman" w:hAnsi="Times New Roman" w:cs="Times New Roman"/>
                <w:color w:val="000000"/>
                <w:sz w:val="24"/>
                <w:szCs w:val="24"/>
              </w:rPr>
              <w:t>0.06)*</w:t>
            </w:r>
            <w:proofErr w:type="gramEnd"/>
          </w:p>
        </w:tc>
        <w:tc>
          <w:tcPr>
            <w:tcW w:w="2444" w:type="dxa"/>
            <w:noWrap/>
            <w:vAlign w:val="center"/>
          </w:tcPr>
          <w:p w:rsidR="00BE729F" w:rsidRPr="007D14F3" w:rsidRDefault="00BE729F" w:rsidP="009C7202">
            <w:pPr>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0.0036 (</w:t>
            </w:r>
            <w:proofErr w:type="gramStart"/>
            <w:r w:rsidRPr="007D14F3">
              <w:rPr>
                <w:rFonts w:ascii="Times New Roman" w:hAnsi="Times New Roman" w:cs="Times New Roman"/>
                <w:color w:val="000000"/>
                <w:sz w:val="24"/>
                <w:szCs w:val="24"/>
              </w:rPr>
              <w:t>0.10)*</w:t>
            </w:r>
            <w:proofErr w:type="gramEnd"/>
          </w:p>
        </w:tc>
      </w:tr>
      <w:tr w:rsidR="00BE729F" w:rsidRPr="007D14F3" w:rsidTr="009C7202">
        <w:trPr>
          <w:trHeight w:val="186"/>
        </w:trPr>
        <w:tc>
          <w:tcPr>
            <w:cnfStyle w:val="001000000000" w:firstRow="0" w:lastRow="0" w:firstColumn="1" w:lastColumn="0" w:oddVBand="0" w:evenVBand="0" w:oddHBand="0" w:evenHBand="0" w:firstRowFirstColumn="0" w:firstRowLastColumn="0" w:lastRowFirstColumn="0" w:lastRowLastColumn="0"/>
            <w:tcW w:w="2775" w:type="dxa"/>
            <w:noWrap/>
            <w:vAlign w:val="center"/>
            <w:hideMark/>
          </w:tcPr>
          <w:p w:rsidR="00BE729F" w:rsidRPr="007D14F3" w:rsidRDefault="00BE729F" w:rsidP="009C7202">
            <w:pPr>
              <w:spacing w:before="60"/>
              <w:jc w:val="center"/>
              <w:rPr>
                <w:rFonts w:ascii="Times New Roman" w:eastAsia="Times New Roman" w:hAnsi="Times New Roman" w:cs="Times New Roman"/>
                <w:color w:val="000000"/>
                <w:sz w:val="24"/>
                <w:szCs w:val="24"/>
                <w:lang w:eastAsia="en-GB"/>
              </w:rPr>
            </w:pPr>
            <w:r w:rsidRPr="007D14F3">
              <w:rPr>
                <w:rFonts w:ascii="Times New Roman" w:eastAsia="Times New Roman" w:hAnsi="Times New Roman" w:cs="Times New Roman"/>
                <w:color w:val="000000"/>
                <w:sz w:val="24"/>
                <w:szCs w:val="24"/>
                <w:lang w:eastAsia="en-GB"/>
              </w:rPr>
              <w:t>Stock</w:t>
            </w:r>
          </w:p>
        </w:tc>
        <w:tc>
          <w:tcPr>
            <w:tcW w:w="3593" w:type="dxa"/>
            <w:noWrap/>
            <w:vAlign w:val="center"/>
          </w:tcPr>
          <w:p w:rsidR="00BE729F" w:rsidRPr="007D14F3" w:rsidRDefault="00BE729F" w:rsidP="009C7202">
            <w:pPr>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-0.0069 (</w:t>
            </w:r>
            <w:proofErr w:type="gramStart"/>
            <w:r w:rsidRPr="007D14F3">
              <w:rPr>
                <w:rFonts w:ascii="Times New Roman" w:hAnsi="Times New Roman" w:cs="Times New Roman"/>
                <w:color w:val="000000"/>
                <w:sz w:val="24"/>
                <w:szCs w:val="24"/>
              </w:rPr>
              <w:t>0.10)*</w:t>
            </w:r>
            <w:proofErr w:type="gramEnd"/>
          </w:p>
        </w:tc>
        <w:tc>
          <w:tcPr>
            <w:tcW w:w="2444" w:type="dxa"/>
            <w:noWrap/>
            <w:vAlign w:val="center"/>
          </w:tcPr>
          <w:p w:rsidR="00BE729F" w:rsidRPr="007D14F3" w:rsidRDefault="00BE729F" w:rsidP="009C7202">
            <w:pPr>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-0.0075 (</w:t>
            </w:r>
            <w:proofErr w:type="gramStart"/>
            <w:r w:rsidRPr="007D14F3">
              <w:rPr>
                <w:rFonts w:ascii="Times New Roman" w:hAnsi="Times New Roman" w:cs="Times New Roman"/>
                <w:color w:val="000000"/>
                <w:sz w:val="24"/>
                <w:szCs w:val="24"/>
              </w:rPr>
              <w:t>0.07)*</w:t>
            </w:r>
            <w:proofErr w:type="gramEnd"/>
          </w:p>
        </w:tc>
      </w:tr>
      <w:tr w:rsidR="00BE729F" w:rsidRPr="007D14F3" w:rsidTr="009C7202">
        <w:trPr>
          <w:trHeight w:val="186"/>
        </w:trPr>
        <w:tc>
          <w:tcPr>
            <w:cnfStyle w:val="001000000000" w:firstRow="0" w:lastRow="0" w:firstColumn="1" w:lastColumn="0" w:oddVBand="0" w:evenVBand="0" w:oddHBand="0" w:evenHBand="0" w:firstRowFirstColumn="0" w:firstRowLastColumn="0" w:lastRowFirstColumn="0" w:lastRowLastColumn="0"/>
            <w:tcW w:w="2775" w:type="dxa"/>
            <w:noWrap/>
            <w:vAlign w:val="center"/>
            <w:hideMark/>
          </w:tcPr>
          <w:p w:rsidR="00BE729F" w:rsidRPr="007D14F3" w:rsidRDefault="00BE729F" w:rsidP="009C7202">
            <w:pPr>
              <w:spacing w:before="60"/>
              <w:jc w:val="center"/>
              <w:rPr>
                <w:rFonts w:ascii="Times New Roman" w:eastAsia="Times New Roman" w:hAnsi="Times New Roman" w:cs="Times New Roman"/>
                <w:color w:val="000000"/>
                <w:sz w:val="24"/>
                <w:szCs w:val="24"/>
                <w:lang w:eastAsia="en-GB"/>
              </w:rPr>
            </w:pPr>
            <w:r w:rsidRPr="007D14F3">
              <w:rPr>
                <w:rFonts w:ascii="Times New Roman" w:eastAsia="Times New Roman" w:hAnsi="Times New Roman" w:cs="Times New Roman"/>
                <w:color w:val="000000"/>
                <w:sz w:val="24"/>
                <w:szCs w:val="24"/>
                <w:lang w:eastAsia="en-GB"/>
              </w:rPr>
              <w:t>CEO Shares</w:t>
            </w:r>
          </w:p>
        </w:tc>
        <w:tc>
          <w:tcPr>
            <w:tcW w:w="3593" w:type="dxa"/>
            <w:noWrap/>
            <w:vAlign w:val="center"/>
          </w:tcPr>
          <w:p w:rsidR="00BE729F" w:rsidRPr="007D14F3" w:rsidRDefault="00BE729F" w:rsidP="009C7202">
            <w:pPr>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0.1205 (0.23)</w:t>
            </w:r>
          </w:p>
        </w:tc>
        <w:tc>
          <w:tcPr>
            <w:tcW w:w="2444" w:type="dxa"/>
            <w:noWrap/>
            <w:vAlign w:val="center"/>
          </w:tcPr>
          <w:p w:rsidR="00BE729F" w:rsidRPr="007D14F3" w:rsidRDefault="00BE729F" w:rsidP="009C7202">
            <w:pPr>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0.1181 (0.24)</w:t>
            </w:r>
          </w:p>
        </w:tc>
      </w:tr>
      <w:tr w:rsidR="00BE729F" w:rsidRPr="007D14F3" w:rsidTr="009C7202">
        <w:trPr>
          <w:trHeight w:val="186"/>
        </w:trPr>
        <w:tc>
          <w:tcPr>
            <w:cnfStyle w:val="001000000000" w:firstRow="0" w:lastRow="0" w:firstColumn="1" w:lastColumn="0" w:oddVBand="0" w:evenVBand="0" w:oddHBand="0" w:evenHBand="0" w:firstRowFirstColumn="0" w:firstRowLastColumn="0" w:lastRowFirstColumn="0" w:lastRowLastColumn="0"/>
            <w:tcW w:w="2775" w:type="dxa"/>
            <w:noWrap/>
            <w:vAlign w:val="center"/>
            <w:hideMark/>
          </w:tcPr>
          <w:p w:rsidR="00BE729F" w:rsidRPr="007D14F3" w:rsidRDefault="00BE729F" w:rsidP="009C7202">
            <w:pPr>
              <w:spacing w:before="60"/>
              <w:jc w:val="center"/>
              <w:rPr>
                <w:rFonts w:ascii="Times New Roman" w:eastAsia="Times New Roman" w:hAnsi="Times New Roman" w:cs="Times New Roman"/>
                <w:color w:val="000000"/>
                <w:sz w:val="24"/>
                <w:szCs w:val="24"/>
                <w:lang w:eastAsia="en-GB"/>
              </w:rPr>
            </w:pPr>
            <w:r w:rsidRPr="007D14F3">
              <w:rPr>
                <w:rFonts w:ascii="Times New Roman" w:eastAsia="Times New Roman" w:hAnsi="Times New Roman" w:cs="Times New Roman"/>
                <w:color w:val="000000"/>
                <w:sz w:val="24"/>
                <w:szCs w:val="24"/>
                <w:lang w:eastAsia="en-GB"/>
              </w:rPr>
              <w:t>Intercept</w:t>
            </w:r>
          </w:p>
        </w:tc>
        <w:tc>
          <w:tcPr>
            <w:tcW w:w="3593" w:type="dxa"/>
            <w:noWrap/>
            <w:vAlign w:val="center"/>
          </w:tcPr>
          <w:p w:rsidR="00BE729F" w:rsidRPr="007D14F3" w:rsidRDefault="00BE729F" w:rsidP="009C7202">
            <w:pPr>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-0.0009 (0.93)</w:t>
            </w:r>
          </w:p>
        </w:tc>
        <w:tc>
          <w:tcPr>
            <w:tcW w:w="2444" w:type="dxa"/>
            <w:noWrap/>
            <w:vAlign w:val="center"/>
          </w:tcPr>
          <w:p w:rsidR="00BE729F" w:rsidRPr="007D14F3" w:rsidRDefault="00BE729F" w:rsidP="009C7202">
            <w:pPr>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-0.0054 (0.64)</w:t>
            </w:r>
          </w:p>
        </w:tc>
      </w:tr>
      <w:tr w:rsidR="00BE729F" w:rsidRPr="007D14F3" w:rsidTr="009C7202">
        <w:trPr>
          <w:trHeight w:val="186"/>
        </w:trPr>
        <w:tc>
          <w:tcPr>
            <w:cnfStyle w:val="001000000000" w:firstRow="0" w:lastRow="0" w:firstColumn="1" w:lastColumn="0" w:oddVBand="0" w:evenVBand="0" w:oddHBand="0" w:evenHBand="0" w:firstRowFirstColumn="0" w:firstRowLastColumn="0" w:lastRowFirstColumn="0" w:lastRowLastColumn="0"/>
            <w:tcW w:w="2775" w:type="dxa"/>
            <w:noWrap/>
            <w:vAlign w:val="center"/>
          </w:tcPr>
          <w:p w:rsidR="00BE729F" w:rsidRPr="007D14F3" w:rsidRDefault="00BE729F" w:rsidP="009C7202">
            <w:pPr>
              <w:spacing w:before="60"/>
              <w:jc w:val="center"/>
              <w:rPr>
                <w:rFonts w:ascii="Times New Roman" w:eastAsia="Times New Roman" w:hAnsi="Times New Roman" w:cs="Times New Roman"/>
                <w:color w:val="000000"/>
                <w:sz w:val="24"/>
                <w:szCs w:val="24"/>
                <w:lang w:eastAsia="en-GB"/>
              </w:rPr>
            </w:pPr>
            <w:r w:rsidRPr="007D14F3">
              <w:rPr>
                <w:rFonts w:ascii="Times New Roman" w:eastAsia="Times New Roman" w:hAnsi="Times New Roman" w:cs="Times New Roman"/>
                <w:color w:val="000000"/>
                <w:sz w:val="24"/>
                <w:szCs w:val="24"/>
                <w:lang w:eastAsia="en-GB"/>
              </w:rPr>
              <w:t>Time-fixed effects</w:t>
            </w:r>
          </w:p>
        </w:tc>
        <w:tc>
          <w:tcPr>
            <w:tcW w:w="3593" w:type="dxa"/>
            <w:noWrap/>
            <w:vAlign w:val="center"/>
          </w:tcPr>
          <w:p w:rsidR="00BE729F" w:rsidRPr="007D14F3" w:rsidRDefault="0023244C" w:rsidP="009C7202">
            <w:pPr>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sym w:font="Wingdings 2" w:char="F04F"/>
            </w:r>
          </w:p>
        </w:tc>
        <w:tc>
          <w:tcPr>
            <w:tcW w:w="2444" w:type="dxa"/>
            <w:noWrap/>
            <w:vAlign w:val="center"/>
          </w:tcPr>
          <w:p w:rsidR="00BE729F" w:rsidRPr="007D14F3" w:rsidRDefault="00856281" w:rsidP="009C7202">
            <w:pPr>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sym w:font="Wingdings 2" w:char="F050"/>
            </w:r>
          </w:p>
        </w:tc>
      </w:tr>
      <w:tr w:rsidR="00BE729F" w:rsidRPr="007D14F3" w:rsidTr="009C7202">
        <w:trPr>
          <w:trHeight w:val="186"/>
        </w:trPr>
        <w:tc>
          <w:tcPr>
            <w:cnfStyle w:val="001000000000" w:firstRow="0" w:lastRow="0" w:firstColumn="1" w:lastColumn="0" w:oddVBand="0" w:evenVBand="0" w:oddHBand="0" w:evenHBand="0" w:firstRowFirstColumn="0" w:firstRowLastColumn="0" w:lastRowFirstColumn="0" w:lastRowLastColumn="0"/>
            <w:tcW w:w="2775" w:type="dxa"/>
            <w:noWrap/>
            <w:vAlign w:val="center"/>
          </w:tcPr>
          <w:p w:rsidR="00BE729F" w:rsidRPr="007D14F3" w:rsidRDefault="00BE729F" w:rsidP="009C7202">
            <w:pPr>
              <w:spacing w:before="60"/>
              <w:jc w:val="center"/>
              <w:rPr>
                <w:rFonts w:ascii="Times New Roman" w:eastAsia="Times New Roman" w:hAnsi="Times New Roman" w:cs="Times New Roman"/>
                <w:color w:val="000000"/>
                <w:sz w:val="24"/>
                <w:szCs w:val="24"/>
                <w:lang w:eastAsia="en-GB"/>
              </w:rPr>
            </w:pPr>
            <w:r w:rsidRPr="007D14F3">
              <w:rPr>
                <w:rFonts w:ascii="Times New Roman" w:eastAsia="Times New Roman" w:hAnsi="Times New Roman" w:cs="Times New Roman"/>
                <w:color w:val="000000"/>
                <w:sz w:val="24"/>
                <w:szCs w:val="24"/>
                <w:lang w:eastAsia="en-GB"/>
              </w:rPr>
              <w:t>F-statistics</w:t>
            </w:r>
          </w:p>
        </w:tc>
        <w:tc>
          <w:tcPr>
            <w:tcW w:w="3593" w:type="dxa"/>
            <w:noWrap/>
            <w:vAlign w:val="center"/>
          </w:tcPr>
          <w:p w:rsidR="00BE729F" w:rsidRPr="007D14F3" w:rsidRDefault="00BE729F" w:rsidP="009C7202">
            <w:pPr>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0.00</w:t>
            </w:r>
          </w:p>
        </w:tc>
        <w:tc>
          <w:tcPr>
            <w:tcW w:w="2444" w:type="dxa"/>
            <w:noWrap/>
            <w:vAlign w:val="center"/>
          </w:tcPr>
          <w:p w:rsidR="00BE729F" w:rsidRPr="007D14F3" w:rsidRDefault="00BE729F" w:rsidP="009C7202">
            <w:pPr>
              <w:spacing w:before="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7D14F3">
              <w:rPr>
                <w:rFonts w:ascii="Times New Roman" w:eastAsia="Times New Roman" w:hAnsi="Times New Roman" w:cs="Times New Roman"/>
                <w:color w:val="000000"/>
                <w:sz w:val="24"/>
                <w:szCs w:val="24"/>
                <w:lang w:eastAsia="en-GB"/>
              </w:rPr>
              <w:t>0.00</w:t>
            </w:r>
          </w:p>
        </w:tc>
      </w:tr>
      <w:tr w:rsidR="00BE729F" w:rsidRPr="007D14F3" w:rsidTr="009C7202">
        <w:trPr>
          <w:trHeight w:val="186"/>
        </w:trPr>
        <w:tc>
          <w:tcPr>
            <w:cnfStyle w:val="001000000000" w:firstRow="0" w:lastRow="0" w:firstColumn="1" w:lastColumn="0" w:oddVBand="0" w:evenVBand="0" w:oddHBand="0" w:evenHBand="0" w:firstRowFirstColumn="0" w:firstRowLastColumn="0" w:lastRowFirstColumn="0" w:lastRowLastColumn="0"/>
            <w:tcW w:w="2775" w:type="dxa"/>
            <w:noWrap/>
            <w:vAlign w:val="center"/>
          </w:tcPr>
          <w:p w:rsidR="00BE729F" w:rsidRPr="007D14F3" w:rsidRDefault="00BE729F" w:rsidP="009C7202">
            <w:pPr>
              <w:spacing w:before="60"/>
              <w:jc w:val="center"/>
              <w:rPr>
                <w:rFonts w:ascii="Times New Roman" w:eastAsia="Times New Roman" w:hAnsi="Times New Roman" w:cs="Times New Roman"/>
                <w:color w:val="000000"/>
                <w:sz w:val="24"/>
                <w:szCs w:val="24"/>
                <w:lang w:eastAsia="en-GB"/>
              </w:rPr>
            </w:pPr>
            <w:r w:rsidRPr="007D14F3">
              <w:rPr>
                <w:rFonts w:ascii="Times New Roman" w:eastAsia="Times New Roman" w:hAnsi="Times New Roman" w:cs="Times New Roman"/>
                <w:color w:val="000000"/>
                <w:sz w:val="24"/>
                <w:szCs w:val="24"/>
                <w:lang w:eastAsia="en-GB"/>
              </w:rPr>
              <w:t>R-squared</w:t>
            </w:r>
          </w:p>
        </w:tc>
        <w:tc>
          <w:tcPr>
            <w:tcW w:w="3593" w:type="dxa"/>
            <w:noWrap/>
            <w:vAlign w:val="center"/>
          </w:tcPr>
          <w:p w:rsidR="00BE729F" w:rsidRPr="007D14F3" w:rsidRDefault="00BE729F" w:rsidP="009C7202">
            <w:pPr>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2.87%</w:t>
            </w:r>
          </w:p>
        </w:tc>
        <w:tc>
          <w:tcPr>
            <w:tcW w:w="2444" w:type="dxa"/>
            <w:noWrap/>
            <w:vAlign w:val="center"/>
          </w:tcPr>
          <w:p w:rsidR="00BE729F" w:rsidRPr="007D14F3" w:rsidRDefault="00BE729F" w:rsidP="009C7202">
            <w:pPr>
              <w:spacing w:before="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7D14F3">
              <w:rPr>
                <w:rFonts w:ascii="Times New Roman" w:eastAsia="Times New Roman" w:hAnsi="Times New Roman" w:cs="Times New Roman"/>
                <w:color w:val="000000"/>
                <w:sz w:val="24"/>
                <w:szCs w:val="24"/>
                <w:lang w:eastAsia="en-GB"/>
              </w:rPr>
              <w:t>3.32%</w:t>
            </w:r>
          </w:p>
        </w:tc>
      </w:tr>
      <w:tr w:rsidR="00BE729F" w:rsidRPr="007D14F3" w:rsidTr="009C7202">
        <w:trPr>
          <w:trHeight w:val="186"/>
        </w:trPr>
        <w:tc>
          <w:tcPr>
            <w:cnfStyle w:val="001000000000" w:firstRow="0" w:lastRow="0" w:firstColumn="1" w:lastColumn="0" w:oddVBand="0" w:evenVBand="0" w:oddHBand="0" w:evenHBand="0" w:firstRowFirstColumn="0" w:firstRowLastColumn="0" w:lastRowFirstColumn="0" w:lastRowLastColumn="0"/>
            <w:tcW w:w="2775" w:type="dxa"/>
            <w:noWrap/>
            <w:vAlign w:val="center"/>
          </w:tcPr>
          <w:p w:rsidR="00BE729F" w:rsidRPr="007D14F3" w:rsidRDefault="00BE729F" w:rsidP="009C7202">
            <w:pPr>
              <w:spacing w:before="60"/>
              <w:jc w:val="center"/>
              <w:rPr>
                <w:rFonts w:ascii="Times New Roman" w:eastAsia="Times New Roman" w:hAnsi="Times New Roman" w:cs="Times New Roman"/>
                <w:color w:val="000000"/>
                <w:sz w:val="24"/>
                <w:szCs w:val="24"/>
                <w:lang w:eastAsia="en-GB"/>
              </w:rPr>
            </w:pPr>
            <w:r w:rsidRPr="007D14F3">
              <w:rPr>
                <w:rFonts w:ascii="Times New Roman" w:eastAsia="Times New Roman" w:hAnsi="Times New Roman" w:cs="Times New Roman"/>
                <w:color w:val="000000"/>
                <w:sz w:val="24"/>
                <w:szCs w:val="24"/>
                <w:lang w:eastAsia="en-GB"/>
              </w:rPr>
              <w:t>Mean VIF</w:t>
            </w:r>
          </w:p>
        </w:tc>
        <w:tc>
          <w:tcPr>
            <w:tcW w:w="3593" w:type="dxa"/>
            <w:noWrap/>
            <w:vAlign w:val="center"/>
          </w:tcPr>
          <w:p w:rsidR="00BE729F" w:rsidRPr="007D14F3" w:rsidRDefault="00BE729F" w:rsidP="009C7202">
            <w:pPr>
              <w:spacing w:before="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rPr>
            </w:pPr>
            <w:r w:rsidRPr="007D14F3">
              <w:rPr>
                <w:rFonts w:ascii="Times New Roman" w:hAnsi="Times New Roman" w:cs="Times New Roman"/>
                <w:color w:val="000000"/>
                <w:sz w:val="24"/>
                <w:szCs w:val="24"/>
              </w:rPr>
              <w:t>1.39</w:t>
            </w:r>
          </w:p>
        </w:tc>
        <w:tc>
          <w:tcPr>
            <w:tcW w:w="2444" w:type="dxa"/>
            <w:noWrap/>
            <w:vAlign w:val="center"/>
          </w:tcPr>
          <w:p w:rsidR="00BE729F" w:rsidRPr="007D14F3" w:rsidRDefault="00BE729F" w:rsidP="009C7202">
            <w:pPr>
              <w:spacing w:before="60"/>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en-GB"/>
              </w:rPr>
            </w:pPr>
            <w:r w:rsidRPr="007D14F3">
              <w:rPr>
                <w:rFonts w:ascii="Times New Roman" w:eastAsia="Times New Roman" w:hAnsi="Times New Roman" w:cs="Times New Roman"/>
                <w:color w:val="000000"/>
                <w:sz w:val="24"/>
                <w:szCs w:val="24"/>
                <w:lang w:eastAsia="en-GB"/>
              </w:rPr>
              <w:t>1.70</w:t>
            </w:r>
          </w:p>
        </w:tc>
      </w:tr>
    </w:tbl>
    <w:p w:rsidR="004A2749" w:rsidRPr="007D14F3" w:rsidRDefault="004A2749" w:rsidP="009C7202">
      <w:pPr>
        <w:pStyle w:val="Heading2"/>
        <w:numPr>
          <w:ilvl w:val="1"/>
          <w:numId w:val="3"/>
        </w:numPr>
        <w:spacing w:before="120" w:after="120" w:line="240" w:lineRule="auto"/>
        <w:rPr>
          <w:rFonts w:cs="Times New Roman"/>
          <w:szCs w:val="24"/>
        </w:rPr>
      </w:pPr>
      <w:bookmarkStart w:id="43" w:name="_Toc516128950"/>
      <w:r w:rsidRPr="007D14F3">
        <w:rPr>
          <w:rFonts w:cs="Times New Roman"/>
          <w:szCs w:val="24"/>
        </w:rPr>
        <w:t>Robus</w:t>
      </w:r>
      <w:r w:rsidR="00143C04" w:rsidRPr="007D14F3">
        <w:rPr>
          <w:rFonts w:cs="Times New Roman"/>
          <w:szCs w:val="24"/>
        </w:rPr>
        <w:t>t</w:t>
      </w:r>
      <w:r w:rsidRPr="007D14F3">
        <w:rPr>
          <w:rFonts w:cs="Times New Roman"/>
          <w:szCs w:val="24"/>
        </w:rPr>
        <w:t>ness check</w:t>
      </w:r>
      <w:bookmarkEnd w:id="43"/>
    </w:p>
    <w:p w:rsidR="001B7592" w:rsidRPr="007D14F3" w:rsidRDefault="00E76881" w:rsidP="009C7202">
      <w:pPr>
        <w:spacing w:before="120" w:after="120" w:line="240" w:lineRule="auto"/>
        <w:jc w:val="both"/>
        <w:rPr>
          <w:rFonts w:ascii="Times New Roman" w:eastAsiaTheme="majorEastAsia" w:hAnsi="Times New Roman" w:cs="Times New Roman"/>
          <w:sz w:val="24"/>
          <w:szCs w:val="24"/>
        </w:rPr>
      </w:pPr>
      <w:r w:rsidRPr="007D14F3">
        <w:rPr>
          <w:rFonts w:ascii="Times New Roman" w:hAnsi="Times New Roman" w:cs="Times New Roman"/>
          <w:sz w:val="24"/>
          <w:szCs w:val="24"/>
        </w:rPr>
        <w:t>The results are robust to</w:t>
      </w:r>
      <w:r w:rsidR="00CD56AF" w:rsidRPr="007D14F3">
        <w:rPr>
          <w:rFonts w:ascii="Times New Roman" w:hAnsi="Times New Roman" w:cs="Times New Roman"/>
          <w:sz w:val="24"/>
          <w:szCs w:val="24"/>
        </w:rPr>
        <w:t xml:space="preserve"> several other specifications of the empirical tests: (i)</w:t>
      </w:r>
      <w:r w:rsidR="00856281" w:rsidRPr="007D14F3">
        <w:rPr>
          <w:rFonts w:ascii="Times New Roman" w:hAnsi="Times New Roman" w:cs="Times New Roman"/>
          <w:sz w:val="24"/>
          <w:szCs w:val="24"/>
        </w:rPr>
        <w:t xml:space="preserve"> </w:t>
      </w:r>
      <w:r w:rsidR="00721002" w:rsidRPr="007D14F3">
        <w:rPr>
          <w:rFonts w:ascii="Times New Roman" w:hAnsi="Times New Roman" w:cs="Times New Roman"/>
          <w:sz w:val="24"/>
          <w:szCs w:val="24"/>
        </w:rPr>
        <w:t>the regression</w:t>
      </w:r>
      <w:r w:rsidR="00856281" w:rsidRPr="007D14F3">
        <w:rPr>
          <w:rFonts w:ascii="Times New Roman" w:hAnsi="Times New Roman" w:cs="Times New Roman"/>
          <w:sz w:val="24"/>
          <w:szCs w:val="24"/>
        </w:rPr>
        <w:t xml:space="preserve"> is run</w:t>
      </w:r>
      <w:r w:rsidR="00721002" w:rsidRPr="007D14F3">
        <w:rPr>
          <w:rFonts w:ascii="Times New Roman" w:hAnsi="Times New Roman" w:cs="Times New Roman"/>
          <w:sz w:val="24"/>
          <w:szCs w:val="24"/>
        </w:rPr>
        <w:t xml:space="preserve"> measuring the </w:t>
      </w:r>
      <w:r w:rsidR="00B0591F" w:rsidRPr="007D14F3">
        <w:rPr>
          <w:rFonts w:ascii="Times New Roman" w:hAnsi="Times New Roman" w:cs="Times New Roman"/>
          <w:sz w:val="24"/>
          <w:szCs w:val="24"/>
        </w:rPr>
        <w:t>acquirer</w:t>
      </w:r>
      <w:r w:rsidR="00721002" w:rsidRPr="007D14F3">
        <w:rPr>
          <w:rFonts w:ascii="Times New Roman" w:hAnsi="Times New Roman" w:cs="Times New Roman"/>
          <w:sz w:val="24"/>
          <w:szCs w:val="24"/>
        </w:rPr>
        <w:t xml:space="preserve"> returns in 5-day and 11-day event windows</w:t>
      </w:r>
      <w:r w:rsidR="00CD56AF" w:rsidRPr="007D14F3">
        <w:rPr>
          <w:rFonts w:ascii="Times New Roman" w:hAnsi="Times New Roman" w:cs="Times New Roman"/>
          <w:sz w:val="24"/>
          <w:szCs w:val="24"/>
        </w:rPr>
        <w:t xml:space="preserve"> </w:t>
      </w:r>
      <w:r w:rsidR="00721002" w:rsidRPr="007D14F3">
        <w:rPr>
          <w:rFonts w:ascii="Times New Roman" w:hAnsi="Times New Roman" w:cs="Times New Roman"/>
          <w:sz w:val="24"/>
          <w:szCs w:val="24"/>
        </w:rPr>
        <w:t>with the fixed-time effects</w:t>
      </w:r>
      <w:r w:rsidR="00CD56AF" w:rsidRPr="007D14F3">
        <w:rPr>
          <w:rFonts w:ascii="Times New Roman" w:hAnsi="Times New Roman" w:cs="Times New Roman"/>
          <w:sz w:val="24"/>
          <w:szCs w:val="24"/>
        </w:rPr>
        <w:t xml:space="preserve">; (ii) </w:t>
      </w:r>
      <w:r w:rsidR="00721002" w:rsidRPr="007D14F3">
        <w:rPr>
          <w:rFonts w:ascii="Times New Roman" w:hAnsi="Times New Roman" w:cs="Times New Roman"/>
          <w:sz w:val="24"/>
          <w:szCs w:val="24"/>
        </w:rPr>
        <w:t>only deals that relative deal value falls in the interval of 1-100%</w:t>
      </w:r>
      <w:r w:rsidR="00856281" w:rsidRPr="007D14F3">
        <w:rPr>
          <w:rFonts w:ascii="Times New Roman" w:hAnsi="Times New Roman" w:cs="Times New Roman"/>
          <w:sz w:val="24"/>
          <w:szCs w:val="24"/>
        </w:rPr>
        <w:t xml:space="preserve"> are included,</w:t>
      </w:r>
      <w:r w:rsidR="006375D6" w:rsidRPr="007D14F3">
        <w:rPr>
          <w:rFonts w:ascii="Times New Roman" w:hAnsi="Times New Roman" w:cs="Times New Roman"/>
          <w:sz w:val="24"/>
          <w:szCs w:val="24"/>
        </w:rPr>
        <w:t xml:space="preserve"> as extreme values may disrupt the results of the analysis</w:t>
      </w:r>
      <w:r w:rsidR="00856281" w:rsidRPr="007D14F3">
        <w:rPr>
          <w:rFonts w:ascii="Times New Roman" w:hAnsi="Times New Roman" w:cs="Times New Roman"/>
          <w:sz w:val="24"/>
          <w:szCs w:val="24"/>
        </w:rPr>
        <w:t>; (iii)</w:t>
      </w:r>
      <w:r w:rsidR="00721002" w:rsidRPr="007D14F3">
        <w:rPr>
          <w:rFonts w:ascii="Times New Roman" w:hAnsi="Times New Roman" w:cs="Times New Roman"/>
          <w:sz w:val="24"/>
          <w:szCs w:val="24"/>
        </w:rPr>
        <w:t xml:space="preserve"> the regression with alternative methods used to measure board characteristics</w:t>
      </w:r>
      <w:r w:rsidR="00856281" w:rsidRPr="007D14F3">
        <w:rPr>
          <w:rFonts w:ascii="Times New Roman" w:hAnsi="Times New Roman" w:cs="Times New Roman"/>
          <w:sz w:val="24"/>
          <w:szCs w:val="24"/>
        </w:rPr>
        <w:t xml:space="preserve"> is performed. In separate OLS regressions s</w:t>
      </w:r>
      <w:r w:rsidR="006375D6" w:rsidRPr="007D14F3">
        <w:rPr>
          <w:rFonts w:ascii="Times New Roman" w:hAnsi="Times New Roman" w:cs="Times New Roman"/>
          <w:sz w:val="24"/>
          <w:szCs w:val="24"/>
        </w:rPr>
        <w:t xml:space="preserve">ize of the board </w:t>
      </w:r>
      <w:r w:rsidR="00856281" w:rsidRPr="007D14F3">
        <w:rPr>
          <w:rFonts w:ascii="Times New Roman" w:hAnsi="Times New Roman" w:cs="Times New Roman"/>
          <w:sz w:val="24"/>
          <w:szCs w:val="24"/>
        </w:rPr>
        <w:t xml:space="preserve">is measured </w:t>
      </w:r>
      <w:r w:rsidR="006375D6" w:rsidRPr="007D14F3">
        <w:rPr>
          <w:rFonts w:ascii="Times New Roman" w:hAnsi="Times New Roman" w:cs="Times New Roman"/>
          <w:sz w:val="24"/>
          <w:szCs w:val="24"/>
        </w:rPr>
        <w:t xml:space="preserve">as </w:t>
      </w:r>
      <w:r w:rsidR="00D0115D" w:rsidRPr="007D14F3">
        <w:rPr>
          <w:rFonts w:ascii="Times New Roman" w:hAnsi="Times New Roman" w:cs="Times New Roman"/>
          <w:sz w:val="24"/>
          <w:szCs w:val="24"/>
        </w:rPr>
        <w:t xml:space="preserve">a </w:t>
      </w:r>
      <w:r w:rsidR="009C7202">
        <w:rPr>
          <w:rFonts w:ascii="Times New Roman" w:hAnsi="Times New Roman" w:cs="Times New Roman"/>
          <w:sz w:val="24"/>
          <w:szCs w:val="24"/>
        </w:rPr>
        <w:t>logarithm of board members</w:t>
      </w:r>
      <w:r w:rsidR="006375D6" w:rsidRPr="007D14F3">
        <w:rPr>
          <w:rFonts w:ascii="Times New Roman" w:hAnsi="Times New Roman" w:cs="Times New Roman"/>
          <w:sz w:val="24"/>
          <w:szCs w:val="24"/>
        </w:rPr>
        <w:t xml:space="preserve">, </w:t>
      </w:r>
      <w:r w:rsidR="00B0591F" w:rsidRPr="007D14F3">
        <w:rPr>
          <w:rFonts w:ascii="Times New Roman" w:hAnsi="Times New Roman" w:cs="Times New Roman"/>
          <w:sz w:val="24"/>
          <w:szCs w:val="24"/>
        </w:rPr>
        <w:t>gender</w:t>
      </w:r>
      <w:r w:rsidR="006375D6" w:rsidRPr="007D14F3">
        <w:rPr>
          <w:rFonts w:ascii="Times New Roman" w:hAnsi="Times New Roman" w:cs="Times New Roman"/>
          <w:sz w:val="24"/>
          <w:szCs w:val="24"/>
        </w:rPr>
        <w:t xml:space="preserve"> diversity as </w:t>
      </w:r>
      <w:r w:rsidR="006375D6" w:rsidRPr="007D14F3">
        <w:rPr>
          <w:rFonts w:ascii="Times New Roman" w:eastAsiaTheme="majorEastAsia" w:hAnsi="Times New Roman" w:cs="Times New Roman"/>
          <w:sz w:val="24"/>
          <w:szCs w:val="24"/>
        </w:rPr>
        <w:t xml:space="preserve">a dummy equal to one if </w:t>
      </w:r>
      <w:r w:rsidR="00D0115D" w:rsidRPr="007D14F3">
        <w:rPr>
          <w:rFonts w:ascii="Times New Roman" w:eastAsiaTheme="majorEastAsia" w:hAnsi="Times New Roman" w:cs="Times New Roman"/>
          <w:sz w:val="24"/>
          <w:szCs w:val="24"/>
        </w:rPr>
        <w:t>the</w:t>
      </w:r>
      <w:r w:rsidR="006375D6" w:rsidRPr="007D14F3">
        <w:rPr>
          <w:rFonts w:ascii="Times New Roman" w:eastAsiaTheme="majorEastAsia" w:hAnsi="Times New Roman" w:cs="Times New Roman"/>
          <w:sz w:val="24"/>
          <w:szCs w:val="24"/>
        </w:rPr>
        <w:t xml:space="preserve"> board </w:t>
      </w:r>
      <w:r w:rsidR="00D0115D" w:rsidRPr="007D14F3">
        <w:rPr>
          <w:rFonts w:ascii="Times New Roman" w:eastAsiaTheme="majorEastAsia" w:hAnsi="Times New Roman" w:cs="Times New Roman"/>
          <w:sz w:val="24"/>
          <w:szCs w:val="24"/>
        </w:rPr>
        <w:t xml:space="preserve">has at least </w:t>
      </w:r>
      <w:r w:rsidR="006375D6" w:rsidRPr="007D14F3">
        <w:rPr>
          <w:rFonts w:ascii="Times New Roman" w:eastAsiaTheme="majorEastAsia" w:hAnsi="Times New Roman" w:cs="Times New Roman"/>
          <w:sz w:val="24"/>
          <w:szCs w:val="24"/>
        </w:rPr>
        <w:t xml:space="preserve">three women, board independence </w:t>
      </w:r>
      <w:r w:rsidR="009C7202">
        <w:rPr>
          <w:rFonts w:ascii="Times New Roman" w:eastAsiaTheme="majorEastAsia" w:hAnsi="Times New Roman" w:cs="Times New Roman"/>
          <w:sz w:val="24"/>
          <w:szCs w:val="24"/>
        </w:rPr>
        <w:t xml:space="preserve">as a binomial variable </w:t>
      </w:r>
      <w:r w:rsidR="00B0591F" w:rsidRPr="007D14F3">
        <w:rPr>
          <w:rFonts w:ascii="Times New Roman" w:eastAsiaTheme="majorEastAsia" w:hAnsi="Times New Roman" w:cs="Times New Roman"/>
          <w:sz w:val="24"/>
          <w:szCs w:val="24"/>
        </w:rPr>
        <w:t>equal</w:t>
      </w:r>
      <w:r w:rsidR="006375D6" w:rsidRPr="007D14F3">
        <w:rPr>
          <w:rFonts w:ascii="Times New Roman" w:eastAsiaTheme="majorEastAsia" w:hAnsi="Times New Roman" w:cs="Times New Roman"/>
          <w:sz w:val="24"/>
          <w:szCs w:val="24"/>
        </w:rPr>
        <w:t xml:space="preserve"> to one if the percentage of independent directors </w:t>
      </w:r>
      <w:r w:rsidR="00B0591F" w:rsidRPr="007D14F3">
        <w:rPr>
          <w:rFonts w:ascii="Times New Roman" w:eastAsiaTheme="majorEastAsia" w:hAnsi="Times New Roman" w:cs="Times New Roman"/>
          <w:sz w:val="24"/>
          <w:szCs w:val="24"/>
        </w:rPr>
        <w:t>equals</w:t>
      </w:r>
      <w:r w:rsidR="006375D6" w:rsidRPr="007D14F3">
        <w:rPr>
          <w:rFonts w:ascii="Times New Roman" w:eastAsiaTheme="majorEastAsia" w:hAnsi="Times New Roman" w:cs="Times New Roman"/>
          <w:sz w:val="24"/>
          <w:szCs w:val="24"/>
        </w:rPr>
        <w:t xml:space="preserve"> o</w:t>
      </w:r>
      <w:r w:rsidR="00B0591F" w:rsidRPr="007D14F3">
        <w:rPr>
          <w:rFonts w:ascii="Times New Roman" w:eastAsiaTheme="majorEastAsia" w:hAnsi="Times New Roman" w:cs="Times New Roman"/>
          <w:sz w:val="24"/>
          <w:szCs w:val="24"/>
        </w:rPr>
        <w:t>r</w:t>
      </w:r>
      <w:r w:rsidR="006375D6" w:rsidRPr="007D14F3">
        <w:rPr>
          <w:rFonts w:ascii="Times New Roman" w:eastAsiaTheme="majorEastAsia" w:hAnsi="Times New Roman" w:cs="Times New Roman"/>
          <w:sz w:val="24"/>
          <w:szCs w:val="24"/>
        </w:rPr>
        <w:t xml:space="preserve"> </w:t>
      </w:r>
      <w:r w:rsidR="00B0591F" w:rsidRPr="007D14F3">
        <w:rPr>
          <w:rFonts w:ascii="Times New Roman" w:eastAsiaTheme="majorEastAsia" w:hAnsi="Times New Roman" w:cs="Times New Roman"/>
          <w:sz w:val="24"/>
          <w:szCs w:val="24"/>
        </w:rPr>
        <w:t>exceeds</w:t>
      </w:r>
      <w:r w:rsidR="006375D6" w:rsidRPr="007D14F3">
        <w:rPr>
          <w:rFonts w:ascii="Times New Roman" w:eastAsiaTheme="majorEastAsia" w:hAnsi="Times New Roman" w:cs="Times New Roman"/>
          <w:sz w:val="24"/>
          <w:szCs w:val="24"/>
        </w:rPr>
        <w:t xml:space="preserve"> the mean</w:t>
      </w:r>
      <w:r w:rsidR="00CD56AF" w:rsidRPr="007D14F3">
        <w:rPr>
          <w:rFonts w:ascii="Times New Roman" w:eastAsiaTheme="majorEastAsia" w:hAnsi="Times New Roman" w:cs="Times New Roman"/>
          <w:sz w:val="24"/>
          <w:szCs w:val="24"/>
        </w:rPr>
        <w:t xml:space="preserve">, (iv) </w:t>
      </w:r>
      <w:r w:rsidR="00E23713" w:rsidRPr="007D14F3">
        <w:rPr>
          <w:rFonts w:ascii="Times New Roman" w:eastAsiaTheme="majorEastAsia" w:hAnsi="Times New Roman" w:cs="Times New Roman"/>
          <w:sz w:val="24"/>
          <w:szCs w:val="24"/>
        </w:rPr>
        <w:t>the significance of intercorrelation of the two variables</w:t>
      </w:r>
      <w:r w:rsidR="000220BA" w:rsidRPr="007D14F3">
        <w:rPr>
          <w:rFonts w:ascii="Times New Roman" w:eastAsiaTheme="majorEastAsia" w:hAnsi="Times New Roman" w:cs="Times New Roman"/>
          <w:sz w:val="24"/>
          <w:szCs w:val="24"/>
        </w:rPr>
        <w:t xml:space="preserve"> </w:t>
      </w:r>
      <w:r w:rsidR="00856281" w:rsidRPr="007D14F3">
        <w:rPr>
          <w:rFonts w:ascii="Times New Roman" w:eastAsiaTheme="majorEastAsia" w:hAnsi="Times New Roman" w:cs="Times New Roman"/>
          <w:sz w:val="24"/>
          <w:szCs w:val="24"/>
        </w:rPr>
        <w:t>is checked</w:t>
      </w:r>
      <w:r w:rsidR="00E23713" w:rsidRPr="007D14F3">
        <w:rPr>
          <w:rFonts w:ascii="Times New Roman" w:eastAsiaTheme="majorEastAsia" w:hAnsi="Times New Roman" w:cs="Times New Roman"/>
          <w:sz w:val="24"/>
          <w:szCs w:val="24"/>
        </w:rPr>
        <w:t xml:space="preserve"> by adding a</w:t>
      </w:r>
      <w:r w:rsidR="00011656" w:rsidRPr="007D14F3">
        <w:rPr>
          <w:rFonts w:ascii="Times New Roman" w:eastAsiaTheme="majorEastAsia" w:hAnsi="Times New Roman" w:cs="Times New Roman"/>
          <w:sz w:val="24"/>
          <w:szCs w:val="24"/>
        </w:rPr>
        <w:t> </w:t>
      </w:r>
      <w:r w:rsidR="00E23713" w:rsidRPr="007D14F3">
        <w:rPr>
          <w:rFonts w:ascii="Times New Roman" w:eastAsiaTheme="majorEastAsia" w:hAnsi="Times New Roman" w:cs="Times New Roman"/>
          <w:sz w:val="24"/>
          <w:szCs w:val="24"/>
        </w:rPr>
        <w:t xml:space="preserve">variable equal to the product of </w:t>
      </w:r>
      <w:r w:rsidR="006B4C6A" w:rsidRPr="007D14F3">
        <w:rPr>
          <w:rFonts w:ascii="Times New Roman" w:eastAsiaTheme="majorEastAsia" w:hAnsi="Times New Roman" w:cs="Times New Roman"/>
          <w:sz w:val="24"/>
          <w:szCs w:val="24"/>
        </w:rPr>
        <w:t>b</w:t>
      </w:r>
      <w:r w:rsidR="00E23713" w:rsidRPr="007D14F3">
        <w:rPr>
          <w:rFonts w:ascii="Times New Roman" w:eastAsiaTheme="majorEastAsia" w:hAnsi="Times New Roman" w:cs="Times New Roman"/>
          <w:sz w:val="24"/>
          <w:szCs w:val="24"/>
        </w:rPr>
        <w:t xml:space="preserve">oard size and </w:t>
      </w:r>
      <w:r w:rsidR="006B4C6A" w:rsidRPr="007D14F3">
        <w:rPr>
          <w:rFonts w:ascii="Times New Roman" w:eastAsiaTheme="majorEastAsia" w:hAnsi="Times New Roman" w:cs="Times New Roman"/>
          <w:sz w:val="24"/>
          <w:szCs w:val="24"/>
        </w:rPr>
        <w:t>f</w:t>
      </w:r>
      <w:r w:rsidR="00E23713" w:rsidRPr="007D14F3">
        <w:rPr>
          <w:rFonts w:ascii="Times New Roman" w:eastAsiaTheme="majorEastAsia" w:hAnsi="Times New Roman" w:cs="Times New Roman"/>
          <w:sz w:val="24"/>
          <w:szCs w:val="24"/>
        </w:rPr>
        <w:t>irm size</w:t>
      </w:r>
      <w:r w:rsidR="00856281" w:rsidRPr="007D14F3">
        <w:rPr>
          <w:rFonts w:ascii="Times New Roman" w:eastAsiaTheme="majorEastAsia" w:hAnsi="Times New Roman" w:cs="Times New Roman"/>
          <w:sz w:val="24"/>
          <w:szCs w:val="24"/>
        </w:rPr>
        <w:t xml:space="preserve"> into </w:t>
      </w:r>
      <w:r w:rsidR="00856281" w:rsidRPr="007D14F3">
        <w:rPr>
          <w:rFonts w:ascii="Times New Roman" w:eastAsiaTheme="majorEastAsia" w:hAnsi="Times New Roman" w:cs="Times New Roman"/>
          <w:sz w:val="24"/>
          <w:szCs w:val="24"/>
        </w:rPr>
        <w:lastRenderedPageBreak/>
        <w:t>the regression</w:t>
      </w:r>
      <w:r w:rsidR="00E23713" w:rsidRPr="007D14F3">
        <w:rPr>
          <w:rFonts w:ascii="Times New Roman" w:eastAsiaTheme="majorEastAsia" w:hAnsi="Times New Roman" w:cs="Times New Roman"/>
          <w:sz w:val="24"/>
          <w:szCs w:val="24"/>
        </w:rPr>
        <w:t>. The new variable</w:t>
      </w:r>
      <w:r w:rsidR="00962FA1" w:rsidRPr="007D14F3">
        <w:rPr>
          <w:rFonts w:ascii="Times New Roman" w:eastAsiaTheme="majorEastAsia" w:hAnsi="Times New Roman" w:cs="Times New Roman"/>
          <w:sz w:val="24"/>
          <w:szCs w:val="24"/>
        </w:rPr>
        <w:t>, as well as board size,</w:t>
      </w:r>
      <w:r w:rsidR="00E23713" w:rsidRPr="007D14F3">
        <w:rPr>
          <w:rFonts w:ascii="Times New Roman" w:eastAsiaTheme="majorEastAsia" w:hAnsi="Times New Roman" w:cs="Times New Roman"/>
          <w:sz w:val="24"/>
          <w:szCs w:val="24"/>
        </w:rPr>
        <w:t xml:space="preserve"> are insignificant on all levels, whereas </w:t>
      </w:r>
      <w:r w:rsidR="00550FBC" w:rsidRPr="007D14F3">
        <w:rPr>
          <w:rFonts w:ascii="Times New Roman" w:eastAsiaTheme="majorEastAsia" w:hAnsi="Times New Roman" w:cs="Times New Roman"/>
          <w:sz w:val="24"/>
          <w:szCs w:val="24"/>
        </w:rPr>
        <w:t>f</w:t>
      </w:r>
      <w:r w:rsidR="00E23713" w:rsidRPr="007D14F3">
        <w:rPr>
          <w:rFonts w:ascii="Times New Roman" w:eastAsiaTheme="majorEastAsia" w:hAnsi="Times New Roman" w:cs="Times New Roman"/>
          <w:sz w:val="24"/>
          <w:szCs w:val="24"/>
        </w:rPr>
        <w:t xml:space="preserve">irm size remains significant </w:t>
      </w:r>
      <w:r w:rsidR="00E9148A" w:rsidRPr="007D14F3">
        <w:rPr>
          <w:rFonts w:ascii="Times New Roman" w:eastAsiaTheme="majorEastAsia" w:hAnsi="Times New Roman" w:cs="Times New Roman"/>
          <w:sz w:val="24"/>
          <w:szCs w:val="24"/>
        </w:rPr>
        <w:t>at</w:t>
      </w:r>
      <w:r w:rsidR="00E23713" w:rsidRPr="007D14F3">
        <w:rPr>
          <w:rFonts w:ascii="Times New Roman" w:eastAsiaTheme="majorEastAsia" w:hAnsi="Times New Roman" w:cs="Times New Roman"/>
          <w:sz w:val="24"/>
          <w:szCs w:val="24"/>
        </w:rPr>
        <w:t xml:space="preserve"> the 10% level, meaning that the </w:t>
      </w:r>
      <w:r w:rsidR="006B4C6A" w:rsidRPr="007D14F3">
        <w:rPr>
          <w:rFonts w:ascii="Times New Roman" w:eastAsiaTheme="majorEastAsia" w:hAnsi="Times New Roman" w:cs="Times New Roman"/>
          <w:sz w:val="24"/>
          <w:szCs w:val="24"/>
        </w:rPr>
        <w:t>f</w:t>
      </w:r>
      <w:r w:rsidR="00E23713" w:rsidRPr="007D14F3">
        <w:rPr>
          <w:rFonts w:ascii="Times New Roman" w:eastAsiaTheme="majorEastAsia" w:hAnsi="Times New Roman" w:cs="Times New Roman"/>
          <w:sz w:val="24"/>
          <w:szCs w:val="24"/>
        </w:rPr>
        <w:t>irm size</w:t>
      </w:r>
      <w:r w:rsidR="006B4C6A" w:rsidRPr="007D14F3">
        <w:rPr>
          <w:rFonts w:ascii="Times New Roman" w:eastAsiaTheme="majorEastAsia" w:hAnsi="Times New Roman" w:cs="Times New Roman"/>
          <w:sz w:val="24"/>
          <w:szCs w:val="24"/>
        </w:rPr>
        <w:t xml:space="preserve">, unlike </w:t>
      </w:r>
      <w:r w:rsidR="00E23713" w:rsidRPr="007D14F3">
        <w:rPr>
          <w:rFonts w:ascii="Times New Roman" w:eastAsiaTheme="majorEastAsia" w:hAnsi="Times New Roman" w:cs="Times New Roman"/>
          <w:sz w:val="24"/>
          <w:szCs w:val="24"/>
        </w:rPr>
        <w:t xml:space="preserve">the board size has </w:t>
      </w:r>
      <w:r w:rsidR="00BD0BD6" w:rsidRPr="007D14F3">
        <w:rPr>
          <w:rFonts w:ascii="Times New Roman" w:eastAsiaTheme="majorEastAsia" w:hAnsi="Times New Roman" w:cs="Times New Roman"/>
          <w:sz w:val="24"/>
          <w:szCs w:val="24"/>
        </w:rPr>
        <w:t xml:space="preserve">an </w:t>
      </w:r>
      <w:r w:rsidR="00E23713" w:rsidRPr="007D14F3">
        <w:rPr>
          <w:rFonts w:ascii="Times New Roman" w:eastAsiaTheme="majorEastAsia" w:hAnsi="Times New Roman" w:cs="Times New Roman"/>
          <w:sz w:val="24"/>
          <w:szCs w:val="24"/>
        </w:rPr>
        <w:t>actual influence on the acquirer return</w:t>
      </w:r>
      <w:r w:rsidR="00CD56AF" w:rsidRPr="007D14F3">
        <w:rPr>
          <w:rFonts w:ascii="Times New Roman" w:eastAsiaTheme="majorEastAsia" w:hAnsi="Times New Roman" w:cs="Times New Roman"/>
          <w:sz w:val="24"/>
          <w:szCs w:val="24"/>
        </w:rPr>
        <w:t>s.</w:t>
      </w:r>
    </w:p>
    <w:p w:rsidR="0045429F" w:rsidRPr="007D14F3" w:rsidRDefault="00C76B0D" w:rsidP="009C7202">
      <w:pPr>
        <w:pStyle w:val="Heading1"/>
        <w:numPr>
          <w:ilvl w:val="0"/>
          <w:numId w:val="3"/>
        </w:numPr>
        <w:rPr>
          <w:rFonts w:cs="Times New Roman"/>
          <w:sz w:val="24"/>
          <w:szCs w:val="24"/>
        </w:rPr>
      </w:pPr>
      <w:r w:rsidRPr="007D14F3">
        <w:rPr>
          <w:rFonts w:cs="Times New Roman"/>
          <w:sz w:val="24"/>
          <w:szCs w:val="24"/>
        </w:rPr>
        <w:t>Does the board structure matter?</w:t>
      </w:r>
    </w:p>
    <w:p w:rsidR="006A03D4" w:rsidRPr="007D14F3" w:rsidRDefault="00B46753" w:rsidP="009C7202">
      <w:pPr>
        <w:spacing w:before="120" w:after="120" w:line="240" w:lineRule="auto"/>
        <w:jc w:val="both"/>
        <w:rPr>
          <w:rFonts w:ascii="Times New Roman" w:hAnsi="Times New Roman" w:cs="Times New Roman"/>
          <w:sz w:val="24"/>
          <w:szCs w:val="24"/>
        </w:rPr>
      </w:pPr>
      <w:r w:rsidRPr="007D14F3">
        <w:rPr>
          <w:rFonts w:ascii="Times New Roman" w:hAnsi="Times New Roman" w:cs="Times New Roman"/>
          <w:sz w:val="24"/>
          <w:szCs w:val="24"/>
        </w:rPr>
        <w:t>Research shows acquisitions on average destroy, rather than create value for bidders. Deal failure and value destruction particularly occur when a deal is pursued because of non-economic reasons: managerial overconfidence and hubris as well as agency</w:t>
      </w:r>
      <w:r w:rsidR="00F07152" w:rsidRPr="007D14F3">
        <w:rPr>
          <w:rFonts w:ascii="Times New Roman" w:hAnsi="Times New Roman" w:cs="Times New Roman"/>
          <w:sz w:val="24"/>
          <w:szCs w:val="24"/>
        </w:rPr>
        <w:t xml:space="preserve"> issues</w:t>
      </w:r>
      <w:r w:rsidR="006A03D4" w:rsidRPr="007D14F3">
        <w:rPr>
          <w:rFonts w:ascii="Times New Roman" w:hAnsi="Times New Roman" w:cs="Times New Roman"/>
          <w:sz w:val="24"/>
          <w:szCs w:val="24"/>
        </w:rPr>
        <w:t>.</w:t>
      </w:r>
      <w:r w:rsidR="002F3F53" w:rsidRPr="007D14F3">
        <w:rPr>
          <w:rFonts w:ascii="Times New Roman" w:hAnsi="Times New Roman" w:cs="Times New Roman"/>
          <w:sz w:val="24"/>
          <w:szCs w:val="24"/>
        </w:rPr>
        <w:t xml:space="preserve"> </w:t>
      </w:r>
      <w:proofErr w:type="gramStart"/>
      <w:r w:rsidR="002F3F53" w:rsidRPr="007D14F3">
        <w:rPr>
          <w:rFonts w:ascii="Times New Roman" w:hAnsi="Times New Roman" w:cs="Times New Roman"/>
          <w:sz w:val="24"/>
          <w:szCs w:val="24"/>
        </w:rPr>
        <w:t>In order to</w:t>
      </w:r>
      <w:proofErr w:type="gramEnd"/>
      <w:r w:rsidR="002F3F53" w:rsidRPr="007D14F3">
        <w:rPr>
          <w:rFonts w:ascii="Times New Roman" w:hAnsi="Times New Roman" w:cs="Times New Roman"/>
          <w:sz w:val="24"/>
          <w:szCs w:val="24"/>
        </w:rPr>
        <w:t xml:space="preserve"> limit such investments, companies need effective boards</w:t>
      </w:r>
      <w:r w:rsidR="00856281" w:rsidRPr="007D14F3">
        <w:rPr>
          <w:rFonts w:ascii="Times New Roman" w:hAnsi="Times New Roman" w:cs="Times New Roman"/>
          <w:sz w:val="24"/>
          <w:szCs w:val="24"/>
        </w:rPr>
        <w:t>. The e</w:t>
      </w:r>
      <w:r w:rsidR="00A40B79" w:rsidRPr="007D14F3">
        <w:rPr>
          <w:rFonts w:ascii="Times New Roman" w:hAnsi="Times New Roman" w:cs="Times New Roman"/>
          <w:sz w:val="24"/>
          <w:szCs w:val="24"/>
        </w:rPr>
        <w:t>vidence</w:t>
      </w:r>
      <w:r w:rsidR="00856281" w:rsidRPr="007D14F3">
        <w:rPr>
          <w:rFonts w:ascii="Times New Roman" w:hAnsi="Times New Roman" w:cs="Times New Roman"/>
          <w:sz w:val="24"/>
          <w:szCs w:val="24"/>
        </w:rPr>
        <w:t xml:space="preserve"> is found</w:t>
      </w:r>
      <w:r w:rsidR="00A40B79" w:rsidRPr="007D14F3">
        <w:rPr>
          <w:rFonts w:ascii="Times New Roman" w:hAnsi="Times New Roman" w:cs="Times New Roman"/>
          <w:sz w:val="24"/>
          <w:szCs w:val="24"/>
        </w:rPr>
        <w:t xml:space="preserve"> that board </w:t>
      </w:r>
      <w:r w:rsidR="00A40B79" w:rsidRPr="00060F9F">
        <w:rPr>
          <w:rFonts w:ascii="Times New Roman" w:hAnsi="Times New Roman" w:cs="Times New Roman"/>
          <w:noProof/>
          <w:sz w:val="24"/>
          <w:szCs w:val="24"/>
        </w:rPr>
        <w:t>independenc</w:t>
      </w:r>
      <w:r w:rsidR="00060F9F">
        <w:rPr>
          <w:rFonts w:ascii="Times New Roman" w:hAnsi="Times New Roman" w:cs="Times New Roman"/>
          <w:noProof/>
          <w:sz w:val="24"/>
          <w:szCs w:val="24"/>
        </w:rPr>
        <w:t>e</w:t>
      </w:r>
      <w:r w:rsidR="00A40B79" w:rsidRPr="007D14F3">
        <w:rPr>
          <w:rFonts w:ascii="Times New Roman" w:hAnsi="Times New Roman" w:cs="Times New Roman"/>
          <w:sz w:val="24"/>
          <w:szCs w:val="24"/>
        </w:rPr>
        <w:t xml:space="preserve"> and classification significantly and positively influence bidders value. Independent and classified boards monitor the CEO better and shift the focus of the CEO to the long-term perspective in terms of value creation for shareholders.</w:t>
      </w:r>
    </w:p>
    <w:p w:rsidR="006375D6" w:rsidRDefault="00C549FE" w:rsidP="0001603E">
      <w:pPr>
        <w:spacing w:before="120" w:after="120" w:line="240" w:lineRule="auto"/>
        <w:jc w:val="both"/>
        <w:rPr>
          <w:rFonts w:ascii="Times New Roman" w:hAnsi="Times New Roman" w:cs="Times New Roman"/>
          <w:sz w:val="24"/>
          <w:szCs w:val="24"/>
        </w:rPr>
      </w:pPr>
      <w:r w:rsidRPr="007D14F3">
        <w:rPr>
          <w:rFonts w:ascii="Times New Roman" w:hAnsi="Times New Roman" w:cs="Times New Roman"/>
          <w:sz w:val="24"/>
          <w:szCs w:val="24"/>
        </w:rPr>
        <w:t xml:space="preserve">The outcome of this study </w:t>
      </w:r>
      <w:r w:rsidR="00193CE8" w:rsidRPr="007D14F3">
        <w:rPr>
          <w:rFonts w:ascii="Times New Roman" w:hAnsi="Times New Roman" w:cs="Times New Roman"/>
          <w:sz w:val="24"/>
          <w:szCs w:val="24"/>
        </w:rPr>
        <w:t xml:space="preserve">can be of interest of </w:t>
      </w:r>
      <w:r w:rsidR="00193CE8" w:rsidRPr="00060F9F">
        <w:rPr>
          <w:rFonts w:ascii="Times New Roman" w:hAnsi="Times New Roman" w:cs="Times New Roman"/>
          <w:noProof/>
          <w:sz w:val="24"/>
          <w:szCs w:val="24"/>
        </w:rPr>
        <w:t>lawmakers</w:t>
      </w:r>
      <w:r w:rsidR="00193CE8" w:rsidRPr="007D14F3">
        <w:rPr>
          <w:rFonts w:ascii="Times New Roman" w:hAnsi="Times New Roman" w:cs="Times New Roman"/>
          <w:sz w:val="24"/>
          <w:szCs w:val="24"/>
        </w:rPr>
        <w:t>, but above all various</w:t>
      </w:r>
      <w:r w:rsidRPr="007D14F3">
        <w:rPr>
          <w:rFonts w:ascii="Times New Roman" w:hAnsi="Times New Roman" w:cs="Times New Roman"/>
          <w:sz w:val="24"/>
          <w:szCs w:val="24"/>
        </w:rPr>
        <w:t xml:space="preserve"> acquisitive and non-acquisitive companies by aiding them in finding an optimal board structure, which can </w:t>
      </w:r>
      <w:r w:rsidR="00193CE8" w:rsidRPr="007D14F3">
        <w:rPr>
          <w:rFonts w:ascii="Times New Roman" w:hAnsi="Times New Roman" w:cs="Times New Roman"/>
          <w:sz w:val="24"/>
          <w:szCs w:val="24"/>
        </w:rPr>
        <w:t xml:space="preserve">fulfil their monitoring duties more </w:t>
      </w:r>
      <w:r w:rsidRPr="007D14F3">
        <w:rPr>
          <w:rFonts w:ascii="Times New Roman" w:hAnsi="Times New Roman" w:cs="Times New Roman"/>
          <w:sz w:val="24"/>
          <w:szCs w:val="24"/>
        </w:rPr>
        <w:t xml:space="preserve">effectively, leading to profitable </w:t>
      </w:r>
      <w:r w:rsidR="00193CE8" w:rsidRPr="007D14F3">
        <w:rPr>
          <w:rFonts w:ascii="Times New Roman" w:hAnsi="Times New Roman" w:cs="Times New Roman"/>
          <w:sz w:val="24"/>
          <w:szCs w:val="24"/>
        </w:rPr>
        <w:t xml:space="preserve">investment decisions, especially those relating to mergers and acquisitions. The trade-off between the costs and benefits of adjusting the board structure differs among the firms and depends on numerous factors, one of them being, </w:t>
      </w:r>
      <w:r w:rsidR="00193CE8" w:rsidRPr="007D14F3">
        <w:rPr>
          <w:rFonts w:ascii="Times New Roman" w:hAnsi="Times New Roman" w:cs="Times New Roman"/>
          <w:noProof/>
          <w:sz w:val="24"/>
          <w:szCs w:val="24"/>
        </w:rPr>
        <w:t>as</w:t>
      </w:r>
      <w:r w:rsidR="00193CE8" w:rsidRPr="007D14F3">
        <w:rPr>
          <w:rFonts w:ascii="Times New Roman" w:hAnsi="Times New Roman" w:cs="Times New Roman"/>
          <w:sz w:val="24"/>
          <w:szCs w:val="24"/>
        </w:rPr>
        <w:t xml:space="preserve"> an </w:t>
      </w:r>
      <w:r w:rsidR="00193CE8" w:rsidRPr="007D14F3">
        <w:rPr>
          <w:rFonts w:ascii="Times New Roman" w:hAnsi="Times New Roman" w:cs="Times New Roman"/>
          <w:noProof/>
          <w:sz w:val="24"/>
          <w:szCs w:val="24"/>
        </w:rPr>
        <w:t>example</w:t>
      </w:r>
      <w:r w:rsidR="00193CE8" w:rsidRPr="007D14F3">
        <w:rPr>
          <w:rFonts w:ascii="Times New Roman" w:hAnsi="Times New Roman" w:cs="Times New Roman"/>
          <w:sz w:val="24"/>
          <w:szCs w:val="24"/>
        </w:rPr>
        <w:t xml:space="preserve">, the overall costs of implementing changes. Although the outcomes of this study are quite straightforward, the decisions regarding adjustments to the board </w:t>
      </w:r>
      <w:r w:rsidR="00193CE8" w:rsidRPr="00060F9F">
        <w:rPr>
          <w:rFonts w:ascii="Times New Roman" w:hAnsi="Times New Roman" w:cs="Times New Roman"/>
          <w:noProof/>
          <w:sz w:val="24"/>
          <w:szCs w:val="24"/>
        </w:rPr>
        <w:t>structure</w:t>
      </w:r>
      <w:r w:rsidR="00193CE8" w:rsidRPr="007D14F3">
        <w:rPr>
          <w:rFonts w:ascii="Times New Roman" w:hAnsi="Times New Roman" w:cs="Times New Roman"/>
          <w:sz w:val="24"/>
          <w:szCs w:val="24"/>
        </w:rPr>
        <w:t xml:space="preserve"> should be reviewed by each company individually.</w:t>
      </w:r>
    </w:p>
    <w:p w:rsidR="00873D54" w:rsidRPr="00873D54" w:rsidRDefault="00873D54" w:rsidP="00873D54">
      <w:pPr>
        <w:pStyle w:val="Heading1"/>
        <w:numPr>
          <w:ilvl w:val="0"/>
          <w:numId w:val="3"/>
        </w:numPr>
        <w:rPr>
          <w:rFonts w:cs="Times New Roman"/>
          <w:sz w:val="24"/>
          <w:szCs w:val="24"/>
        </w:rPr>
      </w:pPr>
      <w:r>
        <w:rPr>
          <w:rFonts w:cs="Times New Roman"/>
          <w:sz w:val="24"/>
          <w:szCs w:val="24"/>
        </w:rPr>
        <w:t>Refere</w:t>
      </w:r>
      <w:bookmarkStart w:id="44" w:name="_GoBack"/>
      <w:bookmarkEnd w:id="44"/>
      <w:r>
        <w:rPr>
          <w:rFonts w:cs="Times New Roman"/>
          <w:sz w:val="24"/>
          <w:szCs w:val="24"/>
        </w:rPr>
        <w:t>nces</w:t>
      </w:r>
    </w:p>
    <w:p w:rsidR="00873D54" w:rsidRPr="00873D54" w:rsidRDefault="00873D54" w:rsidP="00873D54">
      <w:pPr>
        <w:pStyle w:val="ListParagraph"/>
        <w:numPr>
          <w:ilvl w:val="0"/>
          <w:numId w:val="32"/>
        </w:numPr>
        <w:rPr>
          <w:rFonts w:ascii="Times New Roman" w:hAnsi="Times New Roman" w:cs="Times New Roman"/>
          <w:sz w:val="24"/>
        </w:rPr>
      </w:pPr>
      <w:proofErr w:type="spellStart"/>
      <w:r w:rsidRPr="00873D54">
        <w:rPr>
          <w:rFonts w:ascii="Times New Roman" w:hAnsi="Times New Roman" w:cs="Times New Roman"/>
          <w:sz w:val="24"/>
        </w:rPr>
        <w:t>Abarbanell</w:t>
      </w:r>
      <w:proofErr w:type="spellEnd"/>
      <w:r w:rsidRPr="00873D54">
        <w:rPr>
          <w:rFonts w:ascii="Times New Roman" w:hAnsi="Times New Roman" w:cs="Times New Roman"/>
          <w:sz w:val="24"/>
        </w:rPr>
        <w:t xml:space="preserve">, J. S. and Bernard, V. L. (1992), "Tests of analysts' overreaction/underreaction to earnings information as an explanation for anomalous stock price </w:t>
      </w:r>
      <w:proofErr w:type="spellStart"/>
      <w:r w:rsidRPr="00873D54">
        <w:rPr>
          <w:rFonts w:ascii="Times New Roman" w:hAnsi="Times New Roman" w:cs="Times New Roman"/>
          <w:sz w:val="24"/>
        </w:rPr>
        <w:t>behaviour</w:t>
      </w:r>
      <w:proofErr w:type="spellEnd"/>
      <w:r w:rsidRPr="00873D54">
        <w:rPr>
          <w:rFonts w:ascii="Times New Roman" w:hAnsi="Times New Roman" w:cs="Times New Roman"/>
          <w:sz w:val="24"/>
        </w:rPr>
        <w:t>", The Journal of Finance, 47(3), 1181-1207, https://doi.org/10.2307/2328982.</w:t>
      </w:r>
    </w:p>
    <w:p w:rsidR="00873D54" w:rsidRPr="00873D54" w:rsidRDefault="00873D54" w:rsidP="00873D54">
      <w:pPr>
        <w:pStyle w:val="ListParagraph"/>
        <w:numPr>
          <w:ilvl w:val="0"/>
          <w:numId w:val="32"/>
        </w:numPr>
        <w:rPr>
          <w:rFonts w:ascii="Times New Roman" w:hAnsi="Times New Roman" w:cs="Times New Roman"/>
          <w:sz w:val="24"/>
        </w:rPr>
      </w:pPr>
      <w:r w:rsidRPr="00873D54">
        <w:rPr>
          <w:rFonts w:ascii="Times New Roman" w:hAnsi="Times New Roman" w:cs="Times New Roman"/>
          <w:sz w:val="24"/>
        </w:rPr>
        <w:t xml:space="preserve">Ahern, K. R., and </w:t>
      </w:r>
      <w:proofErr w:type="spellStart"/>
      <w:r w:rsidRPr="00873D54">
        <w:rPr>
          <w:rFonts w:ascii="Times New Roman" w:hAnsi="Times New Roman" w:cs="Times New Roman"/>
          <w:sz w:val="24"/>
        </w:rPr>
        <w:t>Dittmar</w:t>
      </w:r>
      <w:proofErr w:type="spellEnd"/>
      <w:r w:rsidRPr="00873D54">
        <w:rPr>
          <w:rFonts w:ascii="Times New Roman" w:hAnsi="Times New Roman" w:cs="Times New Roman"/>
          <w:sz w:val="24"/>
        </w:rPr>
        <w:t xml:space="preserve">, A. K. (2012), "The changing of the boards: The impact on firm valuation of mandated female board representation", The Quarterly Journal of Economics, 127(1), 137-197, </w:t>
      </w:r>
      <w:hyperlink r:id="rId14" w:history="1">
        <w:r w:rsidRPr="00873D54">
          <w:rPr>
            <w:rStyle w:val="Hyperlink"/>
            <w:rFonts w:ascii="Times New Roman" w:hAnsi="Times New Roman" w:cs="Times New Roman"/>
            <w:color w:val="auto"/>
            <w:sz w:val="24"/>
            <w:u w:val="none"/>
          </w:rPr>
          <w:t>https://doi.org/10.1093/qje/qjr049</w:t>
        </w:r>
      </w:hyperlink>
      <w:r w:rsidRPr="00873D54">
        <w:rPr>
          <w:rFonts w:ascii="Times New Roman" w:hAnsi="Times New Roman" w:cs="Times New Roman"/>
          <w:sz w:val="24"/>
        </w:rPr>
        <w:t>.</w:t>
      </w:r>
    </w:p>
    <w:p w:rsidR="00873D54" w:rsidRPr="00873D54" w:rsidRDefault="00873D54" w:rsidP="00873D54">
      <w:pPr>
        <w:pStyle w:val="ListParagraph"/>
        <w:numPr>
          <w:ilvl w:val="0"/>
          <w:numId w:val="32"/>
        </w:numPr>
        <w:rPr>
          <w:rFonts w:ascii="Times New Roman" w:hAnsi="Times New Roman" w:cs="Times New Roman"/>
          <w:sz w:val="24"/>
        </w:rPr>
      </w:pPr>
      <w:proofErr w:type="spellStart"/>
      <w:r w:rsidRPr="00873D54">
        <w:rPr>
          <w:rFonts w:ascii="Times New Roman" w:hAnsi="Times New Roman" w:cs="Times New Roman"/>
          <w:sz w:val="24"/>
        </w:rPr>
        <w:t>Alexandridis</w:t>
      </w:r>
      <w:proofErr w:type="spellEnd"/>
      <w:r w:rsidRPr="00873D54">
        <w:rPr>
          <w:rFonts w:ascii="Times New Roman" w:hAnsi="Times New Roman" w:cs="Times New Roman"/>
          <w:sz w:val="24"/>
        </w:rPr>
        <w:t xml:space="preserve">, G., </w:t>
      </w:r>
      <w:proofErr w:type="spellStart"/>
      <w:r w:rsidRPr="00873D54">
        <w:rPr>
          <w:rFonts w:ascii="Times New Roman" w:hAnsi="Times New Roman" w:cs="Times New Roman"/>
          <w:sz w:val="24"/>
        </w:rPr>
        <w:t>Mavrovitis</w:t>
      </w:r>
      <w:proofErr w:type="spellEnd"/>
      <w:r w:rsidRPr="00873D54">
        <w:rPr>
          <w:rFonts w:ascii="Times New Roman" w:hAnsi="Times New Roman" w:cs="Times New Roman"/>
          <w:sz w:val="24"/>
        </w:rPr>
        <w:t xml:space="preserve">, C. F., and </w:t>
      </w:r>
      <w:proofErr w:type="spellStart"/>
      <w:r w:rsidRPr="00873D54">
        <w:rPr>
          <w:rFonts w:ascii="Times New Roman" w:hAnsi="Times New Roman" w:cs="Times New Roman"/>
          <w:sz w:val="24"/>
        </w:rPr>
        <w:t>Travlos</w:t>
      </w:r>
      <w:proofErr w:type="spellEnd"/>
      <w:r w:rsidRPr="00873D54">
        <w:rPr>
          <w:rFonts w:ascii="Times New Roman" w:hAnsi="Times New Roman" w:cs="Times New Roman"/>
          <w:sz w:val="24"/>
        </w:rPr>
        <w:t>, N. G. (2012), "How have M&amp;As changed? Evidence from the sixth merger wave", The European Journal of Finance, 18(8), 663-688.</w:t>
      </w:r>
      <w:r w:rsidRPr="00873D54">
        <w:rPr>
          <w:rFonts w:ascii="Times New Roman" w:hAnsi="Times New Roman" w:cs="Times New Roman"/>
          <w:sz w:val="24"/>
        </w:rPr>
        <w:tab/>
      </w:r>
    </w:p>
    <w:p w:rsidR="00873D54" w:rsidRPr="00873D54" w:rsidRDefault="00873D54" w:rsidP="00873D54">
      <w:pPr>
        <w:pStyle w:val="ListParagraph"/>
        <w:numPr>
          <w:ilvl w:val="0"/>
          <w:numId w:val="32"/>
        </w:numPr>
        <w:rPr>
          <w:rFonts w:ascii="Times New Roman" w:hAnsi="Times New Roman" w:cs="Times New Roman"/>
          <w:sz w:val="24"/>
        </w:rPr>
      </w:pPr>
      <w:r w:rsidRPr="00873D54">
        <w:rPr>
          <w:rFonts w:ascii="Times New Roman" w:hAnsi="Times New Roman" w:cs="Times New Roman"/>
          <w:sz w:val="24"/>
        </w:rPr>
        <w:t xml:space="preserve">Amar, W. B., </w:t>
      </w:r>
      <w:proofErr w:type="spellStart"/>
      <w:r w:rsidRPr="00873D54">
        <w:rPr>
          <w:rFonts w:ascii="Times New Roman" w:hAnsi="Times New Roman" w:cs="Times New Roman"/>
          <w:sz w:val="24"/>
        </w:rPr>
        <w:t>Boujenoui</w:t>
      </w:r>
      <w:proofErr w:type="spellEnd"/>
      <w:r w:rsidRPr="00873D54">
        <w:rPr>
          <w:rFonts w:ascii="Times New Roman" w:hAnsi="Times New Roman" w:cs="Times New Roman"/>
          <w:sz w:val="24"/>
        </w:rPr>
        <w:t xml:space="preserve">, A. and </w:t>
      </w:r>
      <w:proofErr w:type="spellStart"/>
      <w:r w:rsidRPr="00873D54">
        <w:rPr>
          <w:rFonts w:ascii="Times New Roman" w:hAnsi="Times New Roman" w:cs="Times New Roman"/>
          <w:sz w:val="24"/>
        </w:rPr>
        <w:t>Francoeur</w:t>
      </w:r>
      <w:proofErr w:type="spellEnd"/>
      <w:r w:rsidRPr="00873D54">
        <w:rPr>
          <w:rFonts w:ascii="Times New Roman" w:hAnsi="Times New Roman" w:cs="Times New Roman"/>
          <w:sz w:val="24"/>
        </w:rPr>
        <w:t xml:space="preserve">, C. (2011), "CEO attributes, board composition, and acquirer value creation: A Canadian study", Canadian Journal of Administrative Sciences/Revue Canadienne des Sciences de </w:t>
      </w:r>
      <w:proofErr w:type="spellStart"/>
      <w:r w:rsidRPr="00873D54">
        <w:rPr>
          <w:rFonts w:ascii="Times New Roman" w:hAnsi="Times New Roman" w:cs="Times New Roman"/>
          <w:sz w:val="24"/>
        </w:rPr>
        <w:t>l'Administration</w:t>
      </w:r>
      <w:proofErr w:type="spellEnd"/>
      <w:r w:rsidRPr="00873D54">
        <w:rPr>
          <w:rFonts w:ascii="Times New Roman" w:hAnsi="Times New Roman" w:cs="Times New Roman"/>
          <w:sz w:val="24"/>
        </w:rPr>
        <w:t xml:space="preserve">, 28(4), 480-492, </w:t>
      </w:r>
      <w:hyperlink r:id="rId15" w:history="1">
        <w:r w:rsidRPr="00873D54">
          <w:rPr>
            <w:rStyle w:val="Hyperlink"/>
            <w:rFonts w:ascii="Times New Roman" w:hAnsi="Times New Roman" w:cs="Times New Roman"/>
            <w:color w:val="auto"/>
            <w:sz w:val="24"/>
            <w:u w:val="none"/>
          </w:rPr>
          <w:t>https://doi.org/10.1002/cjas.223</w:t>
        </w:r>
      </w:hyperlink>
      <w:r w:rsidRPr="00873D54">
        <w:rPr>
          <w:rFonts w:ascii="Times New Roman" w:hAnsi="Times New Roman" w:cs="Times New Roman"/>
          <w:sz w:val="24"/>
        </w:rPr>
        <w:t>.</w:t>
      </w:r>
    </w:p>
    <w:p w:rsidR="00873D54" w:rsidRPr="00873D54" w:rsidRDefault="00873D54" w:rsidP="00873D54">
      <w:pPr>
        <w:pStyle w:val="ListParagraph"/>
        <w:numPr>
          <w:ilvl w:val="0"/>
          <w:numId w:val="32"/>
        </w:numPr>
        <w:rPr>
          <w:rFonts w:ascii="Times New Roman" w:hAnsi="Times New Roman" w:cs="Times New Roman"/>
          <w:sz w:val="24"/>
        </w:rPr>
      </w:pPr>
      <w:proofErr w:type="spellStart"/>
      <w:r w:rsidRPr="00873D54">
        <w:rPr>
          <w:rFonts w:ascii="Times New Roman" w:hAnsi="Times New Roman" w:cs="Times New Roman"/>
          <w:sz w:val="24"/>
        </w:rPr>
        <w:t>Baliga</w:t>
      </w:r>
      <w:proofErr w:type="spellEnd"/>
      <w:r w:rsidRPr="00873D54">
        <w:rPr>
          <w:rFonts w:ascii="Times New Roman" w:hAnsi="Times New Roman" w:cs="Times New Roman"/>
          <w:sz w:val="24"/>
        </w:rPr>
        <w:t>, B. R., Moyer, R. C. and Rao, R. S. (1996), "CEO duality and firm performance: What's the fuss?", Strategic Management Journal, 41-53.</w:t>
      </w:r>
    </w:p>
    <w:p w:rsidR="00873D54" w:rsidRPr="00873D54" w:rsidRDefault="00873D54" w:rsidP="00873D54">
      <w:pPr>
        <w:pStyle w:val="ListParagraph"/>
        <w:numPr>
          <w:ilvl w:val="0"/>
          <w:numId w:val="32"/>
        </w:numPr>
        <w:rPr>
          <w:rFonts w:ascii="Times New Roman" w:hAnsi="Times New Roman" w:cs="Times New Roman"/>
          <w:sz w:val="24"/>
        </w:rPr>
      </w:pPr>
      <w:r w:rsidRPr="00873D54">
        <w:rPr>
          <w:rFonts w:ascii="Times New Roman" w:hAnsi="Times New Roman" w:cs="Times New Roman"/>
          <w:sz w:val="24"/>
        </w:rPr>
        <w:t xml:space="preserve">Bates, T. W., Becher, D. A. and Lemmon, M. L. (2008), "Board classification and managerial entrenchment: Evidence from the market for corporate control", Journal of Financial Economics, 87(3), 656-677, </w:t>
      </w:r>
      <w:hyperlink r:id="rId16" w:history="1">
        <w:r w:rsidRPr="00873D54">
          <w:rPr>
            <w:rStyle w:val="Hyperlink"/>
            <w:rFonts w:ascii="Times New Roman" w:hAnsi="Times New Roman" w:cs="Times New Roman"/>
            <w:color w:val="auto"/>
            <w:sz w:val="24"/>
            <w:u w:val="none"/>
          </w:rPr>
          <w:t>https://doi.org/10.1016/j.jfineco.2007.03.007</w:t>
        </w:r>
      </w:hyperlink>
      <w:r w:rsidRPr="00873D54">
        <w:rPr>
          <w:rFonts w:ascii="Times New Roman" w:hAnsi="Times New Roman" w:cs="Times New Roman"/>
          <w:sz w:val="24"/>
        </w:rPr>
        <w:t xml:space="preserve">. </w:t>
      </w:r>
    </w:p>
    <w:p w:rsidR="00873D54" w:rsidRPr="00873D54" w:rsidRDefault="00873D54" w:rsidP="00873D54">
      <w:pPr>
        <w:pStyle w:val="ListParagraph"/>
        <w:numPr>
          <w:ilvl w:val="0"/>
          <w:numId w:val="32"/>
        </w:numPr>
        <w:rPr>
          <w:rFonts w:ascii="Times New Roman" w:hAnsi="Times New Roman" w:cs="Times New Roman"/>
          <w:sz w:val="24"/>
        </w:rPr>
      </w:pPr>
      <w:proofErr w:type="spellStart"/>
      <w:r w:rsidRPr="00873D54">
        <w:rPr>
          <w:rFonts w:ascii="Times New Roman" w:hAnsi="Times New Roman" w:cs="Times New Roman"/>
          <w:sz w:val="24"/>
        </w:rPr>
        <w:t>Baysinger</w:t>
      </w:r>
      <w:proofErr w:type="spellEnd"/>
      <w:r w:rsidRPr="00873D54">
        <w:rPr>
          <w:rFonts w:ascii="Times New Roman" w:hAnsi="Times New Roman" w:cs="Times New Roman"/>
          <w:sz w:val="24"/>
        </w:rPr>
        <w:t xml:space="preserve">, B. D., and Butler, H. N. (1985), "Corporate governance and the board of directors: Performance effects of changes in board composition", Journal of Law, Economics, &amp; Organization, 1(1), 101-124, </w:t>
      </w:r>
      <w:hyperlink r:id="rId17" w:history="1">
        <w:r w:rsidRPr="00873D54">
          <w:rPr>
            <w:rStyle w:val="Hyperlink"/>
            <w:rFonts w:ascii="Times New Roman" w:hAnsi="Times New Roman" w:cs="Times New Roman"/>
            <w:color w:val="auto"/>
            <w:sz w:val="24"/>
            <w:u w:val="none"/>
          </w:rPr>
          <w:t>https://doi.org/10.1093/oxfordjournals.jleo.a036883</w:t>
        </w:r>
      </w:hyperlink>
      <w:r w:rsidRPr="00873D54">
        <w:rPr>
          <w:rFonts w:ascii="Times New Roman" w:hAnsi="Times New Roman" w:cs="Times New Roman"/>
          <w:sz w:val="24"/>
        </w:rPr>
        <w:t xml:space="preserve">. </w:t>
      </w:r>
    </w:p>
    <w:p w:rsidR="00873D54" w:rsidRPr="00873D54" w:rsidRDefault="00873D54" w:rsidP="00873D54">
      <w:pPr>
        <w:pStyle w:val="ListParagraph"/>
        <w:numPr>
          <w:ilvl w:val="0"/>
          <w:numId w:val="32"/>
        </w:numPr>
        <w:rPr>
          <w:rFonts w:ascii="Times New Roman" w:hAnsi="Times New Roman" w:cs="Times New Roman"/>
          <w:sz w:val="24"/>
        </w:rPr>
      </w:pPr>
      <w:proofErr w:type="spellStart"/>
      <w:r w:rsidRPr="00873D54">
        <w:rPr>
          <w:rFonts w:ascii="Times New Roman" w:hAnsi="Times New Roman" w:cs="Times New Roman"/>
          <w:sz w:val="24"/>
        </w:rPr>
        <w:t>Bebchuk</w:t>
      </w:r>
      <w:proofErr w:type="spellEnd"/>
      <w:r w:rsidRPr="00873D54">
        <w:rPr>
          <w:rFonts w:ascii="Times New Roman" w:hAnsi="Times New Roman" w:cs="Times New Roman"/>
          <w:sz w:val="24"/>
        </w:rPr>
        <w:t xml:space="preserve">, L. A. and Cohen, A. (2005), "The costs of entrenched boards", Journal of Financial Economics, 78(2), 409-433, </w:t>
      </w:r>
      <w:hyperlink r:id="rId18" w:history="1">
        <w:r w:rsidRPr="00873D54">
          <w:rPr>
            <w:rStyle w:val="Hyperlink"/>
            <w:rFonts w:ascii="Times New Roman" w:hAnsi="Times New Roman" w:cs="Times New Roman"/>
            <w:color w:val="auto"/>
            <w:sz w:val="24"/>
            <w:u w:val="none"/>
          </w:rPr>
          <w:t>https://doi.org/10.3386/w10587</w:t>
        </w:r>
      </w:hyperlink>
      <w:r w:rsidRPr="00873D54">
        <w:rPr>
          <w:rFonts w:ascii="Times New Roman" w:hAnsi="Times New Roman" w:cs="Times New Roman"/>
          <w:sz w:val="24"/>
        </w:rPr>
        <w:t xml:space="preserve">. </w:t>
      </w:r>
    </w:p>
    <w:p w:rsidR="00873D54" w:rsidRPr="00873D54" w:rsidRDefault="00873D54" w:rsidP="00873D54">
      <w:pPr>
        <w:pStyle w:val="ListParagraph"/>
        <w:numPr>
          <w:ilvl w:val="0"/>
          <w:numId w:val="32"/>
        </w:numPr>
        <w:rPr>
          <w:rFonts w:ascii="Times New Roman" w:hAnsi="Times New Roman" w:cs="Times New Roman"/>
          <w:sz w:val="24"/>
        </w:rPr>
      </w:pPr>
      <w:r w:rsidRPr="00873D54">
        <w:rPr>
          <w:rFonts w:ascii="Times New Roman" w:hAnsi="Times New Roman" w:cs="Times New Roman"/>
          <w:sz w:val="24"/>
        </w:rPr>
        <w:t xml:space="preserve">Binder, J. (1998). "The event study methodology since 1969", Review of quantitative Finance and Accounting, 11(2), 111-137, </w:t>
      </w:r>
      <w:hyperlink r:id="rId19" w:history="1">
        <w:r w:rsidRPr="00873D54">
          <w:rPr>
            <w:rStyle w:val="Hyperlink"/>
            <w:rFonts w:ascii="Times New Roman" w:hAnsi="Times New Roman" w:cs="Times New Roman"/>
            <w:color w:val="auto"/>
            <w:sz w:val="24"/>
            <w:u w:val="none"/>
          </w:rPr>
          <w:t>https://doi.org/10.1023/A:1008295500105</w:t>
        </w:r>
      </w:hyperlink>
      <w:r w:rsidRPr="00873D54">
        <w:rPr>
          <w:rFonts w:ascii="Times New Roman" w:hAnsi="Times New Roman" w:cs="Times New Roman"/>
          <w:sz w:val="24"/>
        </w:rPr>
        <w:t>.</w:t>
      </w:r>
    </w:p>
    <w:p w:rsidR="00873D54" w:rsidRPr="00873D54" w:rsidRDefault="00873D54" w:rsidP="00873D54">
      <w:pPr>
        <w:pStyle w:val="ListParagraph"/>
        <w:numPr>
          <w:ilvl w:val="0"/>
          <w:numId w:val="32"/>
        </w:numPr>
        <w:rPr>
          <w:rFonts w:ascii="Times New Roman" w:hAnsi="Times New Roman" w:cs="Times New Roman"/>
          <w:sz w:val="24"/>
        </w:rPr>
      </w:pPr>
      <w:proofErr w:type="spellStart"/>
      <w:r w:rsidRPr="00873D54">
        <w:rPr>
          <w:rFonts w:ascii="Times New Roman" w:hAnsi="Times New Roman" w:cs="Times New Roman"/>
          <w:sz w:val="24"/>
        </w:rPr>
        <w:lastRenderedPageBreak/>
        <w:t>Bøhren</w:t>
      </w:r>
      <w:proofErr w:type="spellEnd"/>
      <w:r w:rsidRPr="00873D54">
        <w:rPr>
          <w:rFonts w:ascii="Times New Roman" w:hAnsi="Times New Roman" w:cs="Times New Roman"/>
          <w:sz w:val="24"/>
        </w:rPr>
        <w:t xml:space="preserve">, Ø., &amp; </w:t>
      </w:r>
      <w:proofErr w:type="spellStart"/>
      <w:r w:rsidRPr="00873D54">
        <w:rPr>
          <w:rFonts w:ascii="Times New Roman" w:hAnsi="Times New Roman" w:cs="Times New Roman"/>
          <w:sz w:val="24"/>
        </w:rPr>
        <w:t>Staubo</w:t>
      </w:r>
      <w:proofErr w:type="spellEnd"/>
      <w:r w:rsidRPr="00873D54">
        <w:rPr>
          <w:rFonts w:ascii="Times New Roman" w:hAnsi="Times New Roman" w:cs="Times New Roman"/>
          <w:sz w:val="24"/>
        </w:rPr>
        <w:t>, S. (2014), "Does mandatory gender balance work? Changing organizational form to avoid board upheaval", Journal of Corporate Finance, 28, 152-168, https://doi.org/10.1016/j.jcorpfin.2013.12.005.</w:t>
      </w:r>
    </w:p>
    <w:p w:rsidR="00873D54" w:rsidRPr="00873D54" w:rsidRDefault="00873D54" w:rsidP="00873D54">
      <w:pPr>
        <w:pStyle w:val="ListParagraph"/>
        <w:numPr>
          <w:ilvl w:val="0"/>
          <w:numId w:val="32"/>
        </w:numPr>
        <w:rPr>
          <w:rFonts w:ascii="Times New Roman" w:hAnsi="Times New Roman" w:cs="Times New Roman"/>
          <w:sz w:val="24"/>
        </w:rPr>
      </w:pPr>
      <w:r w:rsidRPr="00873D54">
        <w:rPr>
          <w:rFonts w:ascii="Times New Roman" w:hAnsi="Times New Roman" w:cs="Times New Roman"/>
          <w:sz w:val="24"/>
        </w:rPr>
        <w:t>Boyd, B. K. (1995), "CEO duality and firm performance: A contingency model", Strategic Management Journal, 16(4), 301-312, https://doi.org/10.1002/smj.4250160404.</w:t>
      </w:r>
    </w:p>
    <w:p w:rsidR="00873D54" w:rsidRPr="00873D54" w:rsidRDefault="00873D54" w:rsidP="00873D54">
      <w:pPr>
        <w:pStyle w:val="ListParagraph"/>
        <w:numPr>
          <w:ilvl w:val="0"/>
          <w:numId w:val="32"/>
        </w:numPr>
        <w:rPr>
          <w:rFonts w:ascii="Times New Roman" w:hAnsi="Times New Roman" w:cs="Times New Roman"/>
          <w:sz w:val="24"/>
        </w:rPr>
      </w:pPr>
      <w:r w:rsidRPr="00873D54">
        <w:rPr>
          <w:rFonts w:ascii="Times New Roman" w:hAnsi="Times New Roman" w:cs="Times New Roman"/>
          <w:sz w:val="24"/>
        </w:rPr>
        <w:t xml:space="preserve">Brown, D. T., and </w:t>
      </w:r>
      <w:proofErr w:type="spellStart"/>
      <w:r w:rsidRPr="00873D54">
        <w:rPr>
          <w:rFonts w:ascii="Times New Roman" w:hAnsi="Times New Roman" w:cs="Times New Roman"/>
          <w:sz w:val="24"/>
        </w:rPr>
        <w:t>Ryngaert</w:t>
      </w:r>
      <w:proofErr w:type="spellEnd"/>
      <w:r w:rsidRPr="00873D54">
        <w:rPr>
          <w:rFonts w:ascii="Times New Roman" w:hAnsi="Times New Roman" w:cs="Times New Roman"/>
          <w:sz w:val="24"/>
        </w:rPr>
        <w:t>, M. D. (1991), "The mode of acquisition in takeovers: Taxes and asymmetric information", The Journal of Finance, 46(2), 653-669, https://doi.org/10.1111/j.1540-6261.1991.tb02678.x.</w:t>
      </w:r>
    </w:p>
    <w:p w:rsidR="00873D54" w:rsidRPr="00873D54" w:rsidRDefault="00873D54" w:rsidP="00873D54">
      <w:pPr>
        <w:pStyle w:val="ListParagraph"/>
        <w:numPr>
          <w:ilvl w:val="0"/>
          <w:numId w:val="32"/>
        </w:numPr>
        <w:rPr>
          <w:rFonts w:ascii="Times New Roman" w:hAnsi="Times New Roman" w:cs="Times New Roman"/>
          <w:sz w:val="24"/>
        </w:rPr>
      </w:pPr>
      <w:r w:rsidRPr="00873D54">
        <w:rPr>
          <w:rFonts w:ascii="Times New Roman" w:hAnsi="Times New Roman" w:cs="Times New Roman"/>
          <w:sz w:val="24"/>
        </w:rPr>
        <w:t>Bruner, R. F. (2004), "Applied mergers and acquisitions" (Vol. 173), John Wiley &amp; Sons, New York, USA.</w:t>
      </w:r>
      <w:r w:rsidRPr="00873D54">
        <w:rPr>
          <w:rFonts w:ascii="Times New Roman" w:hAnsi="Times New Roman" w:cs="Times New Roman"/>
          <w:sz w:val="24"/>
        </w:rPr>
        <w:tab/>
      </w:r>
    </w:p>
    <w:p w:rsidR="00873D54" w:rsidRPr="00873D54" w:rsidRDefault="00873D54" w:rsidP="00873D54">
      <w:pPr>
        <w:pStyle w:val="ListParagraph"/>
        <w:numPr>
          <w:ilvl w:val="0"/>
          <w:numId w:val="32"/>
        </w:numPr>
        <w:rPr>
          <w:rFonts w:ascii="Times New Roman" w:hAnsi="Times New Roman" w:cs="Times New Roman"/>
          <w:sz w:val="24"/>
        </w:rPr>
      </w:pPr>
      <w:r w:rsidRPr="00873D54">
        <w:rPr>
          <w:rFonts w:ascii="Times New Roman" w:hAnsi="Times New Roman" w:cs="Times New Roman"/>
          <w:sz w:val="24"/>
        </w:rPr>
        <w:t xml:space="preserve">Byrd, J. W. and Hickman, K. A. (1992), "Do outside directors monitor </w:t>
      </w:r>
      <w:proofErr w:type="gramStart"/>
      <w:r w:rsidRPr="00873D54">
        <w:rPr>
          <w:rFonts w:ascii="Times New Roman" w:hAnsi="Times New Roman" w:cs="Times New Roman"/>
          <w:sz w:val="24"/>
        </w:rPr>
        <w:t>managers?:</w:t>
      </w:r>
      <w:proofErr w:type="gramEnd"/>
      <w:r w:rsidRPr="00873D54">
        <w:rPr>
          <w:rFonts w:ascii="Times New Roman" w:hAnsi="Times New Roman" w:cs="Times New Roman"/>
          <w:sz w:val="24"/>
        </w:rPr>
        <w:t xml:space="preserve"> Evidence from tender offer bids", Journal of financial economics, 32(2), 195-221, https://doi.org/0.1016/0304-405X(92)90018-S.</w:t>
      </w:r>
    </w:p>
    <w:p w:rsidR="00873D54" w:rsidRPr="00873D54" w:rsidRDefault="00873D54" w:rsidP="00873D54">
      <w:pPr>
        <w:pStyle w:val="ListParagraph"/>
        <w:numPr>
          <w:ilvl w:val="0"/>
          <w:numId w:val="32"/>
        </w:numPr>
        <w:rPr>
          <w:rFonts w:ascii="Times New Roman" w:hAnsi="Times New Roman" w:cs="Times New Roman"/>
          <w:sz w:val="24"/>
        </w:rPr>
      </w:pPr>
      <w:r w:rsidRPr="00873D54">
        <w:rPr>
          <w:rFonts w:ascii="Times New Roman" w:hAnsi="Times New Roman" w:cs="Times New Roman"/>
          <w:sz w:val="24"/>
        </w:rPr>
        <w:t xml:space="preserve">Calipha, R., </w:t>
      </w:r>
      <w:proofErr w:type="spellStart"/>
      <w:r w:rsidRPr="00873D54">
        <w:rPr>
          <w:rFonts w:ascii="Times New Roman" w:hAnsi="Times New Roman" w:cs="Times New Roman"/>
          <w:sz w:val="24"/>
        </w:rPr>
        <w:t>Tarba</w:t>
      </w:r>
      <w:proofErr w:type="spellEnd"/>
      <w:r w:rsidRPr="00873D54">
        <w:rPr>
          <w:rFonts w:ascii="Times New Roman" w:hAnsi="Times New Roman" w:cs="Times New Roman"/>
          <w:sz w:val="24"/>
        </w:rPr>
        <w:t>, S. and Brock, D. (2010). "Mergers and acquisitions: a review of phases, motives, and success factors", in: Advances in mergers and acquisitions, Emerald Group Publishing Limited, Bingley, United Kingdom, (p. 1-24), https://doi.org/10.1108/S1479-361X(2010)0000009004.</w:t>
      </w:r>
    </w:p>
    <w:p w:rsidR="00873D54" w:rsidRPr="00873D54" w:rsidRDefault="00873D54" w:rsidP="00873D54">
      <w:pPr>
        <w:pStyle w:val="ListParagraph"/>
        <w:numPr>
          <w:ilvl w:val="0"/>
          <w:numId w:val="32"/>
        </w:numPr>
        <w:rPr>
          <w:rFonts w:ascii="Times New Roman" w:hAnsi="Times New Roman" w:cs="Times New Roman"/>
          <w:sz w:val="24"/>
        </w:rPr>
      </w:pPr>
      <w:r w:rsidRPr="00873D54">
        <w:rPr>
          <w:rFonts w:ascii="Times New Roman" w:hAnsi="Times New Roman" w:cs="Times New Roman"/>
          <w:sz w:val="24"/>
        </w:rPr>
        <w:t>Carter, D. A., D'Souza, F., Simkins, B. J. and Simpson, W. G. (2010), "The gender and ethnic diversity of US boards and board committees and firm financial performance.", Corporate Governance: An International Review, 18(5), 396-414, https://doi.org/10.1111/j.1467-8683.2010.00809.x.</w:t>
      </w:r>
    </w:p>
    <w:p w:rsidR="00873D54" w:rsidRPr="00873D54" w:rsidRDefault="00873D54" w:rsidP="00873D54">
      <w:pPr>
        <w:pStyle w:val="ListParagraph"/>
        <w:numPr>
          <w:ilvl w:val="0"/>
          <w:numId w:val="32"/>
        </w:numPr>
        <w:rPr>
          <w:rFonts w:ascii="Times New Roman" w:hAnsi="Times New Roman" w:cs="Times New Roman"/>
          <w:sz w:val="24"/>
        </w:rPr>
      </w:pPr>
      <w:r w:rsidRPr="00873D54">
        <w:rPr>
          <w:rFonts w:ascii="Times New Roman" w:hAnsi="Times New Roman" w:cs="Times New Roman"/>
          <w:sz w:val="24"/>
        </w:rPr>
        <w:t>Chen, C. W., Lin, J. B., and Yi, B. (2008), "CEO duality and firm performance: An endogenous issue", Corporate Ownership and Control, 6(1), 58-65, https://doi.org/10.22495/cocv6i1p6.</w:t>
      </w:r>
    </w:p>
    <w:p w:rsidR="00873D54" w:rsidRPr="00873D54" w:rsidRDefault="00873D54" w:rsidP="00873D54">
      <w:pPr>
        <w:pStyle w:val="ListParagraph"/>
        <w:numPr>
          <w:ilvl w:val="0"/>
          <w:numId w:val="32"/>
        </w:numPr>
        <w:rPr>
          <w:rFonts w:ascii="Times New Roman" w:hAnsi="Times New Roman" w:cs="Times New Roman"/>
          <w:sz w:val="24"/>
        </w:rPr>
      </w:pPr>
      <w:r w:rsidRPr="00873D54">
        <w:rPr>
          <w:rFonts w:ascii="Times New Roman" w:hAnsi="Times New Roman" w:cs="Times New Roman"/>
          <w:sz w:val="24"/>
        </w:rPr>
        <w:t>Chung, K. H. and Pruitt, S. W. (1994), "A simple approximation of Tobin's q", Financial management, 70-74, https://doi.org/10.2307/3665623.</w:t>
      </w:r>
    </w:p>
    <w:p w:rsidR="00873D54" w:rsidRPr="00873D54" w:rsidRDefault="00873D54" w:rsidP="00873D54">
      <w:pPr>
        <w:pStyle w:val="ListParagraph"/>
        <w:numPr>
          <w:ilvl w:val="0"/>
          <w:numId w:val="32"/>
        </w:numPr>
        <w:rPr>
          <w:rFonts w:ascii="Times New Roman" w:hAnsi="Times New Roman" w:cs="Times New Roman"/>
          <w:sz w:val="24"/>
        </w:rPr>
      </w:pPr>
      <w:proofErr w:type="spellStart"/>
      <w:r w:rsidRPr="00873D54">
        <w:rPr>
          <w:rFonts w:ascii="Times New Roman" w:hAnsi="Times New Roman" w:cs="Times New Roman"/>
          <w:sz w:val="24"/>
        </w:rPr>
        <w:t>Cremers</w:t>
      </w:r>
      <w:proofErr w:type="spellEnd"/>
      <w:r w:rsidRPr="00873D54">
        <w:rPr>
          <w:rFonts w:ascii="Times New Roman" w:hAnsi="Times New Roman" w:cs="Times New Roman"/>
          <w:sz w:val="24"/>
        </w:rPr>
        <w:t xml:space="preserve">, K. M., </w:t>
      </w:r>
      <w:proofErr w:type="spellStart"/>
      <w:r w:rsidRPr="00873D54">
        <w:rPr>
          <w:rFonts w:ascii="Times New Roman" w:hAnsi="Times New Roman" w:cs="Times New Roman"/>
          <w:sz w:val="24"/>
        </w:rPr>
        <w:t>Litov</w:t>
      </w:r>
      <w:proofErr w:type="spellEnd"/>
      <w:r w:rsidRPr="00873D54">
        <w:rPr>
          <w:rFonts w:ascii="Times New Roman" w:hAnsi="Times New Roman" w:cs="Times New Roman"/>
          <w:sz w:val="24"/>
        </w:rPr>
        <w:t xml:space="preserve">, L. P. and </w:t>
      </w:r>
      <w:proofErr w:type="spellStart"/>
      <w:r w:rsidRPr="00873D54">
        <w:rPr>
          <w:rFonts w:ascii="Times New Roman" w:hAnsi="Times New Roman" w:cs="Times New Roman"/>
          <w:sz w:val="24"/>
        </w:rPr>
        <w:t>Sepe</w:t>
      </w:r>
      <w:proofErr w:type="spellEnd"/>
      <w:r w:rsidRPr="00873D54">
        <w:rPr>
          <w:rFonts w:ascii="Times New Roman" w:hAnsi="Times New Roman" w:cs="Times New Roman"/>
          <w:sz w:val="24"/>
        </w:rPr>
        <w:t>, S. M. (2017), "Staggered boards and long-term firm value, revisited", Journal of Financial Economics, 126(2), 422-444, https://doi.org/10.1016/j.jfineco.2017.08.003.</w:t>
      </w:r>
    </w:p>
    <w:p w:rsidR="00873D54" w:rsidRPr="00873D54" w:rsidRDefault="00873D54" w:rsidP="00873D54">
      <w:pPr>
        <w:pStyle w:val="ListParagraph"/>
        <w:numPr>
          <w:ilvl w:val="0"/>
          <w:numId w:val="32"/>
        </w:numPr>
        <w:rPr>
          <w:rFonts w:ascii="Times New Roman" w:hAnsi="Times New Roman" w:cs="Times New Roman"/>
          <w:sz w:val="24"/>
        </w:rPr>
      </w:pPr>
      <w:proofErr w:type="spellStart"/>
      <w:r w:rsidRPr="00873D54">
        <w:rPr>
          <w:rFonts w:ascii="Times New Roman" w:hAnsi="Times New Roman" w:cs="Times New Roman"/>
          <w:sz w:val="24"/>
        </w:rPr>
        <w:t>Daines</w:t>
      </w:r>
      <w:proofErr w:type="spellEnd"/>
      <w:r w:rsidRPr="00873D54">
        <w:rPr>
          <w:rFonts w:ascii="Times New Roman" w:hAnsi="Times New Roman" w:cs="Times New Roman"/>
          <w:sz w:val="24"/>
        </w:rPr>
        <w:t>, R., Li, S. X. and Wang, C. C. (2016), "Can staggered boards improve value? Evidence from the Massachusetts natural experiment", working paper, Available at: http://www.ecgi.global, (Accessed 8 Mai 2018).</w:t>
      </w:r>
      <w:r w:rsidRPr="00873D54">
        <w:rPr>
          <w:rFonts w:ascii="Times New Roman" w:hAnsi="Times New Roman" w:cs="Times New Roman"/>
          <w:sz w:val="24"/>
        </w:rPr>
        <w:tab/>
      </w:r>
    </w:p>
    <w:p w:rsidR="00873D54" w:rsidRPr="00873D54" w:rsidRDefault="00873D54" w:rsidP="00873D54">
      <w:pPr>
        <w:pStyle w:val="ListParagraph"/>
        <w:numPr>
          <w:ilvl w:val="0"/>
          <w:numId w:val="32"/>
        </w:numPr>
        <w:rPr>
          <w:rFonts w:ascii="Times New Roman" w:hAnsi="Times New Roman" w:cs="Times New Roman"/>
          <w:sz w:val="24"/>
        </w:rPr>
      </w:pPr>
      <w:r w:rsidRPr="00873D54">
        <w:rPr>
          <w:rFonts w:ascii="Times New Roman" w:hAnsi="Times New Roman" w:cs="Times New Roman"/>
          <w:sz w:val="24"/>
        </w:rPr>
        <w:t>Donaldson, L. and Davis, J. H. (1991), "Stewardship theory or agency theory: CEO governance and shareholder returns", Australian Journal of management, 16(1), 49-64, https://doi.org/10.1177/031289629101600103.</w:t>
      </w:r>
    </w:p>
    <w:p w:rsidR="00873D54" w:rsidRPr="00873D54" w:rsidRDefault="00873D54" w:rsidP="00873D54">
      <w:pPr>
        <w:pStyle w:val="ListParagraph"/>
        <w:numPr>
          <w:ilvl w:val="0"/>
          <w:numId w:val="32"/>
        </w:numPr>
        <w:rPr>
          <w:rFonts w:ascii="Times New Roman" w:hAnsi="Times New Roman" w:cs="Times New Roman"/>
          <w:sz w:val="24"/>
        </w:rPr>
      </w:pPr>
      <w:r w:rsidRPr="00873D54">
        <w:rPr>
          <w:rFonts w:ascii="Times New Roman" w:hAnsi="Times New Roman" w:cs="Times New Roman"/>
          <w:sz w:val="24"/>
        </w:rPr>
        <w:t xml:space="preserve">Eisenberg, T., </w:t>
      </w:r>
      <w:proofErr w:type="spellStart"/>
      <w:r w:rsidRPr="00873D54">
        <w:rPr>
          <w:rFonts w:ascii="Times New Roman" w:hAnsi="Times New Roman" w:cs="Times New Roman"/>
          <w:sz w:val="24"/>
        </w:rPr>
        <w:t>Sundgren</w:t>
      </w:r>
      <w:proofErr w:type="spellEnd"/>
      <w:r w:rsidRPr="00873D54">
        <w:rPr>
          <w:rFonts w:ascii="Times New Roman" w:hAnsi="Times New Roman" w:cs="Times New Roman"/>
          <w:sz w:val="24"/>
        </w:rPr>
        <w:t>, S. and Wells, M. T. (1998), "Larger board size and decreasing firm value in small firms", Journal of financial economics, 48(1), 35-54, https://doi.org/10.1016/S0304-405X(98)00003-8.</w:t>
      </w:r>
    </w:p>
    <w:p w:rsidR="00873D54" w:rsidRPr="00873D54" w:rsidRDefault="00873D54" w:rsidP="00873D54">
      <w:pPr>
        <w:pStyle w:val="ListParagraph"/>
        <w:numPr>
          <w:ilvl w:val="0"/>
          <w:numId w:val="32"/>
        </w:numPr>
        <w:rPr>
          <w:rFonts w:ascii="Times New Roman" w:hAnsi="Times New Roman" w:cs="Times New Roman"/>
          <w:sz w:val="24"/>
        </w:rPr>
      </w:pPr>
      <w:proofErr w:type="spellStart"/>
      <w:r w:rsidRPr="00873D54">
        <w:rPr>
          <w:rFonts w:ascii="Times New Roman" w:hAnsi="Times New Roman" w:cs="Times New Roman"/>
          <w:sz w:val="24"/>
        </w:rPr>
        <w:t>Elsayed</w:t>
      </w:r>
      <w:proofErr w:type="spellEnd"/>
      <w:r w:rsidRPr="00873D54">
        <w:rPr>
          <w:rFonts w:ascii="Times New Roman" w:hAnsi="Times New Roman" w:cs="Times New Roman"/>
          <w:sz w:val="24"/>
        </w:rPr>
        <w:t>, K. (2007), "Does CEO duality really affect corporate performance?", Corporate Governance: An International Review, 15(6), 1203-1214, https://doi.org/10.1111/j.1467-8683.2007.00641.x.</w:t>
      </w:r>
    </w:p>
    <w:p w:rsidR="00873D54" w:rsidRPr="00873D54" w:rsidRDefault="00873D54" w:rsidP="00873D54">
      <w:pPr>
        <w:pStyle w:val="ListParagraph"/>
        <w:numPr>
          <w:ilvl w:val="0"/>
          <w:numId w:val="32"/>
        </w:numPr>
        <w:rPr>
          <w:rFonts w:ascii="Times New Roman" w:hAnsi="Times New Roman" w:cs="Times New Roman"/>
          <w:sz w:val="24"/>
        </w:rPr>
      </w:pPr>
      <w:proofErr w:type="spellStart"/>
      <w:r w:rsidRPr="00873D54">
        <w:rPr>
          <w:rFonts w:ascii="Times New Roman" w:hAnsi="Times New Roman" w:cs="Times New Roman"/>
          <w:sz w:val="24"/>
        </w:rPr>
        <w:t>Faleye</w:t>
      </w:r>
      <w:proofErr w:type="spellEnd"/>
      <w:r w:rsidRPr="00873D54">
        <w:rPr>
          <w:rFonts w:ascii="Times New Roman" w:hAnsi="Times New Roman" w:cs="Times New Roman"/>
          <w:sz w:val="24"/>
        </w:rPr>
        <w:t>, O. (2007)."Classified boards, firm value, and managerial entrenchment", Journal of Financial Economics, 83(2), 501-529, https://doi.org/10.1016/j.jfineco.2006.01.005.</w:t>
      </w:r>
    </w:p>
    <w:p w:rsidR="00873D54" w:rsidRPr="00873D54" w:rsidRDefault="00873D54" w:rsidP="00873D54">
      <w:pPr>
        <w:pStyle w:val="ListParagraph"/>
        <w:numPr>
          <w:ilvl w:val="0"/>
          <w:numId w:val="32"/>
        </w:numPr>
        <w:rPr>
          <w:rFonts w:ascii="Times New Roman" w:hAnsi="Times New Roman" w:cs="Times New Roman"/>
          <w:sz w:val="24"/>
        </w:rPr>
      </w:pPr>
      <w:proofErr w:type="spellStart"/>
      <w:r w:rsidRPr="00873D54">
        <w:rPr>
          <w:rFonts w:ascii="Times New Roman" w:hAnsi="Times New Roman" w:cs="Times New Roman"/>
          <w:sz w:val="24"/>
        </w:rPr>
        <w:t>Fama</w:t>
      </w:r>
      <w:proofErr w:type="spellEnd"/>
      <w:r w:rsidRPr="00873D54">
        <w:rPr>
          <w:rFonts w:ascii="Times New Roman" w:hAnsi="Times New Roman" w:cs="Times New Roman"/>
          <w:sz w:val="24"/>
        </w:rPr>
        <w:t xml:space="preserve"> E. F. and Jensen, M. C., (1983), "Separation of ownership and control. Journal of Law and Economics", 26(2), 301-325, https://doi.org/10.1086/467037.</w:t>
      </w:r>
    </w:p>
    <w:p w:rsidR="00873D54" w:rsidRPr="00873D54" w:rsidRDefault="00873D54" w:rsidP="00873D54">
      <w:pPr>
        <w:pStyle w:val="ListParagraph"/>
        <w:numPr>
          <w:ilvl w:val="0"/>
          <w:numId w:val="32"/>
        </w:numPr>
        <w:rPr>
          <w:rFonts w:ascii="Times New Roman" w:hAnsi="Times New Roman" w:cs="Times New Roman"/>
          <w:sz w:val="24"/>
        </w:rPr>
      </w:pPr>
      <w:proofErr w:type="spellStart"/>
      <w:r w:rsidRPr="00873D54">
        <w:rPr>
          <w:rFonts w:ascii="Times New Roman" w:hAnsi="Times New Roman" w:cs="Times New Roman"/>
          <w:sz w:val="24"/>
        </w:rPr>
        <w:t>Fich</w:t>
      </w:r>
      <w:proofErr w:type="spellEnd"/>
      <w:r w:rsidRPr="00873D54">
        <w:rPr>
          <w:rFonts w:ascii="Times New Roman" w:hAnsi="Times New Roman" w:cs="Times New Roman"/>
          <w:sz w:val="24"/>
        </w:rPr>
        <w:t xml:space="preserve">, E. M. and </w:t>
      </w:r>
      <w:proofErr w:type="spellStart"/>
      <w:r w:rsidRPr="00873D54">
        <w:rPr>
          <w:rFonts w:ascii="Times New Roman" w:hAnsi="Times New Roman" w:cs="Times New Roman"/>
          <w:sz w:val="24"/>
        </w:rPr>
        <w:t>Shivdasani</w:t>
      </w:r>
      <w:proofErr w:type="spellEnd"/>
      <w:r w:rsidRPr="00873D54">
        <w:rPr>
          <w:rFonts w:ascii="Times New Roman" w:hAnsi="Times New Roman" w:cs="Times New Roman"/>
          <w:sz w:val="24"/>
        </w:rPr>
        <w:t>, A. (2006), Are busy boards effective monitors?", The Journal of finance, 61(2), 689-724, https://doi.org/10.1111/j.1540-6261.2006.00852.x.</w:t>
      </w:r>
    </w:p>
    <w:p w:rsidR="00873D54" w:rsidRPr="00873D54" w:rsidRDefault="00873D54" w:rsidP="00873D54">
      <w:pPr>
        <w:pStyle w:val="ListParagraph"/>
        <w:numPr>
          <w:ilvl w:val="0"/>
          <w:numId w:val="32"/>
        </w:numPr>
        <w:rPr>
          <w:rFonts w:ascii="Times New Roman" w:hAnsi="Times New Roman" w:cs="Times New Roman"/>
          <w:sz w:val="24"/>
        </w:rPr>
      </w:pPr>
      <w:r w:rsidRPr="00873D54">
        <w:rPr>
          <w:rFonts w:ascii="Times New Roman" w:hAnsi="Times New Roman" w:cs="Times New Roman"/>
          <w:sz w:val="24"/>
        </w:rPr>
        <w:lastRenderedPageBreak/>
        <w:t xml:space="preserve">Hair, J. F., Black, W. C., </w:t>
      </w:r>
      <w:proofErr w:type="spellStart"/>
      <w:r w:rsidRPr="00873D54">
        <w:rPr>
          <w:rFonts w:ascii="Times New Roman" w:hAnsi="Times New Roman" w:cs="Times New Roman"/>
          <w:sz w:val="24"/>
        </w:rPr>
        <w:t>Babin</w:t>
      </w:r>
      <w:proofErr w:type="spellEnd"/>
      <w:r w:rsidRPr="00873D54">
        <w:rPr>
          <w:rFonts w:ascii="Times New Roman" w:hAnsi="Times New Roman" w:cs="Times New Roman"/>
          <w:sz w:val="24"/>
        </w:rPr>
        <w:t>, B. J., Anderson, R. E., and Tatham, R. L. (1998), "Multivariate data analysis" (Vol. 5, No. 3). Upper Saddle River, NJ: Prentice hall, p. 207-219.</w:t>
      </w:r>
      <w:r w:rsidRPr="00873D54">
        <w:rPr>
          <w:rFonts w:ascii="Times New Roman" w:hAnsi="Times New Roman" w:cs="Times New Roman"/>
          <w:sz w:val="24"/>
        </w:rPr>
        <w:tab/>
      </w:r>
    </w:p>
    <w:p w:rsidR="00873D54" w:rsidRPr="00873D54" w:rsidRDefault="00873D54" w:rsidP="00873D54">
      <w:pPr>
        <w:pStyle w:val="ListParagraph"/>
        <w:numPr>
          <w:ilvl w:val="0"/>
          <w:numId w:val="32"/>
        </w:numPr>
        <w:rPr>
          <w:rFonts w:ascii="Times New Roman" w:hAnsi="Times New Roman" w:cs="Times New Roman"/>
          <w:sz w:val="24"/>
        </w:rPr>
      </w:pPr>
      <w:proofErr w:type="spellStart"/>
      <w:r w:rsidRPr="00873D54">
        <w:rPr>
          <w:rFonts w:ascii="Times New Roman" w:hAnsi="Times New Roman" w:cs="Times New Roman"/>
          <w:sz w:val="24"/>
        </w:rPr>
        <w:t>Hermalin</w:t>
      </w:r>
      <w:proofErr w:type="spellEnd"/>
      <w:r w:rsidRPr="00873D54">
        <w:rPr>
          <w:rFonts w:ascii="Times New Roman" w:hAnsi="Times New Roman" w:cs="Times New Roman"/>
          <w:sz w:val="24"/>
        </w:rPr>
        <w:t xml:space="preserve">, B. E., and </w:t>
      </w:r>
      <w:proofErr w:type="spellStart"/>
      <w:r w:rsidRPr="00873D54">
        <w:rPr>
          <w:rFonts w:ascii="Times New Roman" w:hAnsi="Times New Roman" w:cs="Times New Roman"/>
          <w:sz w:val="24"/>
        </w:rPr>
        <w:t>Weisbach</w:t>
      </w:r>
      <w:proofErr w:type="spellEnd"/>
      <w:r w:rsidRPr="00873D54">
        <w:rPr>
          <w:rFonts w:ascii="Times New Roman" w:hAnsi="Times New Roman" w:cs="Times New Roman"/>
          <w:sz w:val="24"/>
        </w:rPr>
        <w:t>, M. S. (1991), "The effects of board composition and direct incentives on firm performance", Financial management, 101-112, https://doi.org/10.5539/ijbm.v9n8p170.</w:t>
      </w:r>
    </w:p>
    <w:p w:rsidR="00873D54" w:rsidRPr="00873D54" w:rsidRDefault="00873D54" w:rsidP="00873D54">
      <w:pPr>
        <w:pStyle w:val="ListParagraph"/>
        <w:numPr>
          <w:ilvl w:val="0"/>
          <w:numId w:val="32"/>
        </w:numPr>
        <w:rPr>
          <w:rFonts w:ascii="Times New Roman" w:hAnsi="Times New Roman" w:cs="Times New Roman"/>
          <w:sz w:val="24"/>
        </w:rPr>
      </w:pPr>
      <w:proofErr w:type="spellStart"/>
      <w:r w:rsidRPr="00873D54">
        <w:rPr>
          <w:rFonts w:ascii="Times New Roman" w:hAnsi="Times New Roman" w:cs="Times New Roman"/>
          <w:sz w:val="24"/>
        </w:rPr>
        <w:t>Huther</w:t>
      </w:r>
      <w:proofErr w:type="spellEnd"/>
      <w:r w:rsidRPr="00873D54">
        <w:rPr>
          <w:rFonts w:ascii="Times New Roman" w:hAnsi="Times New Roman" w:cs="Times New Roman"/>
          <w:sz w:val="24"/>
        </w:rPr>
        <w:t>, J. (1997), "An empirical test of the effect of board size on firm efficiency", Economics Letters, 54(3), 259-264, https://doi.org/10.1016/S0165-1765(97)00035-9.</w:t>
      </w:r>
    </w:p>
    <w:p w:rsidR="00873D54" w:rsidRPr="00873D54" w:rsidRDefault="00873D54" w:rsidP="00873D54">
      <w:pPr>
        <w:pStyle w:val="ListParagraph"/>
        <w:numPr>
          <w:ilvl w:val="0"/>
          <w:numId w:val="32"/>
        </w:numPr>
        <w:rPr>
          <w:rFonts w:ascii="Times New Roman" w:hAnsi="Times New Roman" w:cs="Times New Roman"/>
          <w:sz w:val="24"/>
        </w:rPr>
      </w:pPr>
      <w:r w:rsidRPr="00873D54">
        <w:rPr>
          <w:rFonts w:ascii="Times New Roman" w:hAnsi="Times New Roman" w:cs="Times New Roman"/>
          <w:sz w:val="24"/>
        </w:rPr>
        <w:t xml:space="preserve">Jensen, M. and </w:t>
      </w:r>
      <w:proofErr w:type="spellStart"/>
      <w:r w:rsidRPr="00873D54">
        <w:rPr>
          <w:rFonts w:ascii="Times New Roman" w:hAnsi="Times New Roman" w:cs="Times New Roman"/>
          <w:sz w:val="24"/>
        </w:rPr>
        <w:t>Meckling</w:t>
      </w:r>
      <w:proofErr w:type="spellEnd"/>
      <w:r w:rsidRPr="00873D54">
        <w:rPr>
          <w:rFonts w:ascii="Times New Roman" w:hAnsi="Times New Roman" w:cs="Times New Roman"/>
          <w:sz w:val="24"/>
        </w:rPr>
        <w:t>, W. (1976), "Theory of the Firm: Managerial Behavior, Agency Costs and Ownership Structure", Journal of Financial Economics, 3, 305–360, https://doi.org/10.1016/0304-405X(76)90026-X.</w:t>
      </w:r>
    </w:p>
    <w:p w:rsidR="00873D54" w:rsidRPr="00873D54" w:rsidRDefault="00873D54" w:rsidP="00873D54">
      <w:pPr>
        <w:pStyle w:val="ListParagraph"/>
        <w:numPr>
          <w:ilvl w:val="0"/>
          <w:numId w:val="32"/>
        </w:numPr>
        <w:rPr>
          <w:rFonts w:ascii="Times New Roman" w:hAnsi="Times New Roman" w:cs="Times New Roman"/>
          <w:sz w:val="24"/>
        </w:rPr>
      </w:pPr>
      <w:r w:rsidRPr="00873D54">
        <w:rPr>
          <w:rFonts w:ascii="Times New Roman" w:hAnsi="Times New Roman" w:cs="Times New Roman"/>
          <w:sz w:val="24"/>
        </w:rPr>
        <w:t>Jensen, M. C. (1986), "Agency costs of free cash flow, corporate finance, and takeovers", The American economic review, 76(2), 323-329, https://doi.org/10.2139/ssrn.99580.</w:t>
      </w:r>
    </w:p>
    <w:p w:rsidR="00873D54" w:rsidRPr="00873D54" w:rsidRDefault="00873D54" w:rsidP="00873D54">
      <w:pPr>
        <w:pStyle w:val="ListParagraph"/>
        <w:numPr>
          <w:ilvl w:val="0"/>
          <w:numId w:val="32"/>
        </w:numPr>
        <w:rPr>
          <w:rFonts w:ascii="Times New Roman" w:hAnsi="Times New Roman" w:cs="Times New Roman"/>
          <w:sz w:val="24"/>
        </w:rPr>
      </w:pPr>
      <w:r w:rsidRPr="00873D54">
        <w:rPr>
          <w:rFonts w:ascii="Times New Roman" w:hAnsi="Times New Roman" w:cs="Times New Roman"/>
          <w:sz w:val="24"/>
        </w:rPr>
        <w:t>Jensen, M. C. (1993), "The modern industrial revolution, exit, and the failure of internal control systems", Journal of Finance, 48(3), 831-880, https://doi.org/10.2307/2329018.</w:t>
      </w:r>
    </w:p>
    <w:p w:rsidR="00873D54" w:rsidRPr="00873D54" w:rsidRDefault="00873D54" w:rsidP="00873D54">
      <w:pPr>
        <w:pStyle w:val="ListParagraph"/>
        <w:numPr>
          <w:ilvl w:val="0"/>
          <w:numId w:val="32"/>
        </w:numPr>
        <w:rPr>
          <w:rFonts w:ascii="Times New Roman" w:hAnsi="Times New Roman" w:cs="Times New Roman"/>
          <w:sz w:val="24"/>
        </w:rPr>
      </w:pPr>
      <w:proofErr w:type="spellStart"/>
      <w:r w:rsidRPr="00873D54">
        <w:rPr>
          <w:rFonts w:ascii="Times New Roman" w:hAnsi="Times New Roman" w:cs="Times New Roman"/>
          <w:sz w:val="24"/>
        </w:rPr>
        <w:t>Koeplin</w:t>
      </w:r>
      <w:proofErr w:type="spellEnd"/>
      <w:r w:rsidRPr="00873D54">
        <w:rPr>
          <w:rFonts w:ascii="Times New Roman" w:hAnsi="Times New Roman" w:cs="Times New Roman"/>
          <w:sz w:val="24"/>
        </w:rPr>
        <w:t>, J., Sarin, A. and Shapiro, A. C. (2000), “The private company discount”, Journal of Applied Corporate Finance, 12(4), 94-101, https://doi.org/10.1111/j.1745-6622.2000.tb00022.x.</w:t>
      </w:r>
    </w:p>
    <w:p w:rsidR="00873D54" w:rsidRPr="00873D54" w:rsidRDefault="00873D54" w:rsidP="00873D54">
      <w:pPr>
        <w:pStyle w:val="ListParagraph"/>
        <w:numPr>
          <w:ilvl w:val="0"/>
          <w:numId w:val="32"/>
        </w:numPr>
        <w:rPr>
          <w:rFonts w:ascii="Times New Roman" w:hAnsi="Times New Roman" w:cs="Times New Roman"/>
          <w:sz w:val="24"/>
        </w:rPr>
      </w:pPr>
      <w:proofErr w:type="spellStart"/>
      <w:r w:rsidRPr="00873D54">
        <w:rPr>
          <w:rFonts w:ascii="Times New Roman" w:hAnsi="Times New Roman" w:cs="Times New Roman"/>
          <w:sz w:val="24"/>
        </w:rPr>
        <w:t>Kosnik</w:t>
      </w:r>
      <w:proofErr w:type="spellEnd"/>
      <w:r w:rsidRPr="00873D54">
        <w:rPr>
          <w:rFonts w:ascii="Times New Roman" w:hAnsi="Times New Roman" w:cs="Times New Roman"/>
          <w:sz w:val="24"/>
        </w:rPr>
        <w:t>, R. D. (1987), " Greenmail: A study of board performance in corporate governance", Administrative science quarterly, 163-185, https://doi.org/10.2307/2393124.</w:t>
      </w:r>
    </w:p>
    <w:p w:rsidR="00873D54" w:rsidRPr="00873D54" w:rsidRDefault="00873D54" w:rsidP="00873D54">
      <w:pPr>
        <w:pStyle w:val="ListParagraph"/>
        <w:numPr>
          <w:ilvl w:val="0"/>
          <w:numId w:val="32"/>
        </w:numPr>
        <w:rPr>
          <w:rFonts w:ascii="Times New Roman" w:hAnsi="Times New Roman" w:cs="Times New Roman"/>
          <w:sz w:val="24"/>
        </w:rPr>
      </w:pPr>
      <w:r w:rsidRPr="00873D54">
        <w:rPr>
          <w:rFonts w:ascii="Times New Roman" w:hAnsi="Times New Roman" w:cs="Times New Roman"/>
          <w:sz w:val="24"/>
        </w:rPr>
        <w:t>Kroll, M., Walters, B. A., and Wright, P. (2008), "Board vigilance, director experience, and corporate outcomes", Strategic Management Journal, 29(4), 363-382, https://doi.org/10.1002/smj.649.</w:t>
      </w:r>
    </w:p>
    <w:p w:rsidR="00873D54" w:rsidRPr="00873D54" w:rsidRDefault="00873D54" w:rsidP="00873D54">
      <w:pPr>
        <w:pStyle w:val="ListParagraph"/>
        <w:numPr>
          <w:ilvl w:val="0"/>
          <w:numId w:val="32"/>
        </w:numPr>
        <w:rPr>
          <w:rFonts w:ascii="Times New Roman" w:hAnsi="Times New Roman" w:cs="Times New Roman"/>
          <w:sz w:val="24"/>
        </w:rPr>
      </w:pPr>
      <w:r w:rsidRPr="00873D54">
        <w:rPr>
          <w:rFonts w:ascii="Times New Roman" w:hAnsi="Times New Roman" w:cs="Times New Roman"/>
          <w:sz w:val="24"/>
        </w:rPr>
        <w:t xml:space="preserve">Lang, L. H., </w:t>
      </w:r>
      <w:proofErr w:type="spellStart"/>
      <w:r w:rsidRPr="00873D54">
        <w:rPr>
          <w:rFonts w:ascii="Times New Roman" w:hAnsi="Times New Roman" w:cs="Times New Roman"/>
          <w:sz w:val="24"/>
        </w:rPr>
        <w:t>Stulz</w:t>
      </w:r>
      <w:proofErr w:type="spellEnd"/>
      <w:r w:rsidRPr="00873D54">
        <w:rPr>
          <w:rFonts w:ascii="Times New Roman" w:hAnsi="Times New Roman" w:cs="Times New Roman"/>
          <w:sz w:val="24"/>
        </w:rPr>
        <w:t xml:space="preserve">, R., and </w:t>
      </w:r>
      <w:proofErr w:type="spellStart"/>
      <w:r w:rsidRPr="00873D54">
        <w:rPr>
          <w:rFonts w:ascii="Times New Roman" w:hAnsi="Times New Roman" w:cs="Times New Roman"/>
          <w:sz w:val="24"/>
        </w:rPr>
        <w:t>Walkling</w:t>
      </w:r>
      <w:proofErr w:type="spellEnd"/>
      <w:r w:rsidRPr="00873D54">
        <w:rPr>
          <w:rFonts w:ascii="Times New Roman" w:hAnsi="Times New Roman" w:cs="Times New Roman"/>
          <w:sz w:val="24"/>
        </w:rPr>
        <w:t>, R. A. (1991), "A test of the free cash flow hypothesis: The case of bidder returns", Journal of Financial Economics, 29(2), 315-335, https://doi.org/10.1016/0304-405X(91)90005-5.</w:t>
      </w:r>
    </w:p>
    <w:p w:rsidR="00873D54" w:rsidRPr="00873D54" w:rsidRDefault="00873D54" w:rsidP="00873D54">
      <w:pPr>
        <w:pStyle w:val="ListParagraph"/>
        <w:numPr>
          <w:ilvl w:val="0"/>
          <w:numId w:val="32"/>
        </w:numPr>
        <w:rPr>
          <w:rFonts w:ascii="Times New Roman" w:hAnsi="Times New Roman" w:cs="Times New Roman"/>
          <w:sz w:val="24"/>
        </w:rPr>
      </w:pPr>
      <w:r w:rsidRPr="00873D54">
        <w:rPr>
          <w:rFonts w:ascii="Times New Roman" w:hAnsi="Times New Roman" w:cs="Times New Roman"/>
          <w:sz w:val="24"/>
        </w:rPr>
        <w:t>Lipton, M., and Lorsch, J. W. (1992), "A modest proposal for improved corporate governance", The business lawyer, 59-77, https://doi.org/10.12691/jfa-5-3-4.</w:t>
      </w:r>
    </w:p>
    <w:p w:rsidR="00873D54" w:rsidRPr="00873D54" w:rsidRDefault="00873D54" w:rsidP="00873D54">
      <w:pPr>
        <w:pStyle w:val="ListParagraph"/>
        <w:numPr>
          <w:ilvl w:val="0"/>
          <w:numId w:val="32"/>
        </w:numPr>
        <w:rPr>
          <w:rFonts w:ascii="Times New Roman" w:hAnsi="Times New Roman" w:cs="Times New Roman"/>
          <w:sz w:val="24"/>
        </w:rPr>
      </w:pPr>
      <w:proofErr w:type="spellStart"/>
      <w:r w:rsidRPr="00873D54">
        <w:rPr>
          <w:rFonts w:ascii="Times New Roman" w:hAnsi="Times New Roman" w:cs="Times New Roman"/>
          <w:sz w:val="24"/>
        </w:rPr>
        <w:t>Lückerath</w:t>
      </w:r>
      <w:proofErr w:type="spellEnd"/>
      <w:r w:rsidRPr="00873D54">
        <w:rPr>
          <w:rFonts w:ascii="Times New Roman" w:hAnsi="Times New Roman" w:cs="Times New Roman"/>
          <w:sz w:val="24"/>
        </w:rPr>
        <w:t>-Rovers, M. (2013), "Women on boards and firm performance", Journal of Management &amp; Governance, 17(2), 491-509, https://doi.org/10.1007/s10997-011-9186-1.</w:t>
      </w:r>
    </w:p>
    <w:p w:rsidR="00873D54" w:rsidRPr="00873D54" w:rsidRDefault="00873D54" w:rsidP="00873D54">
      <w:pPr>
        <w:pStyle w:val="ListParagraph"/>
        <w:numPr>
          <w:ilvl w:val="0"/>
          <w:numId w:val="32"/>
        </w:numPr>
        <w:rPr>
          <w:rFonts w:ascii="Times New Roman" w:hAnsi="Times New Roman" w:cs="Times New Roman"/>
          <w:sz w:val="24"/>
        </w:rPr>
      </w:pPr>
      <w:r w:rsidRPr="00873D54">
        <w:rPr>
          <w:rFonts w:ascii="Times New Roman" w:hAnsi="Times New Roman" w:cs="Times New Roman"/>
          <w:sz w:val="24"/>
        </w:rPr>
        <w:t>Malatesta, P. H. (1983), "The wealth effect of merger activity and the objective functions of merging firms", Journal of financial economics, 11(1-4), 155-181, https://doi.org/10.1016/0304-405X(83)90009-0.</w:t>
      </w:r>
    </w:p>
    <w:p w:rsidR="00873D54" w:rsidRPr="00873D54" w:rsidRDefault="00873D54" w:rsidP="00873D54">
      <w:pPr>
        <w:pStyle w:val="ListParagraph"/>
        <w:numPr>
          <w:ilvl w:val="0"/>
          <w:numId w:val="32"/>
        </w:numPr>
        <w:rPr>
          <w:rFonts w:ascii="Times New Roman" w:hAnsi="Times New Roman" w:cs="Times New Roman"/>
          <w:sz w:val="24"/>
        </w:rPr>
      </w:pPr>
      <w:proofErr w:type="spellStart"/>
      <w:r w:rsidRPr="00873D54">
        <w:rPr>
          <w:rFonts w:ascii="Times New Roman" w:hAnsi="Times New Roman" w:cs="Times New Roman"/>
          <w:sz w:val="24"/>
        </w:rPr>
        <w:t>Mallin</w:t>
      </w:r>
      <w:proofErr w:type="spellEnd"/>
      <w:r w:rsidRPr="00873D54">
        <w:rPr>
          <w:rFonts w:ascii="Times New Roman" w:hAnsi="Times New Roman" w:cs="Times New Roman"/>
          <w:sz w:val="24"/>
        </w:rPr>
        <w:t>, C. A. (2004), "Corporate Governance", Oxford University Press, Oxford, UK, 161-179.</w:t>
      </w:r>
    </w:p>
    <w:p w:rsidR="00873D54" w:rsidRPr="00873D54" w:rsidRDefault="00873D54" w:rsidP="00873D54">
      <w:pPr>
        <w:pStyle w:val="ListParagraph"/>
        <w:numPr>
          <w:ilvl w:val="0"/>
          <w:numId w:val="32"/>
        </w:numPr>
        <w:rPr>
          <w:rFonts w:ascii="Times New Roman" w:hAnsi="Times New Roman" w:cs="Times New Roman"/>
          <w:sz w:val="24"/>
        </w:rPr>
      </w:pPr>
      <w:proofErr w:type="spellStart"/>
      <w:r w:rsidRPr="00873D54">
        <w:rPr>
          <w:rFonts w:ascii="Times New Roman" w:hAnsi="Times New Roman" w:cs="Times New Roman"/>
          <w:sz w:val="24"/>
        </w:rPr>
        <w:t>Malmendier</w:t>
      </w:r>
      <w:proofErr w:type="spellEnd"/>
      <w:r w:rsidRPr="00873D54">
        <w:rPr>
          <w:rFonts w:ascii="Times New Roman" w:hAnsi="Times New Roman" w:cs="Times New Roman"/>
          <w:sz w:val="24"/>
        </w:rPr>
        <w:t>, U. and Tate, G. (2008), "Who makes acquisitions? CEO overconfidence and the market's reaction", Journal of financial Economics, 89(1), 20-43, https://doi.org/10.1016/j.jfineco.2007.07.002.</w:t>
      </w:r>
    </w:p>
    <w:p w:rsidR="00873D54" w:rsidRPr="00873D54" w:rsidRDefault="00873D54" w:rsidP="00873D54">
      <w:pPr>
        <w:pStyle w:val="ListParagraph"/>
        <w:numPr>
          <w:ilvl w:val="0"/>
          <w:numId w:val="32"/>
        </w:numPr>
        <w:rPr>
          <w:rFonts w:ascii="Times New Roman" w:hAnsi="Times New Roman" w:cs="Times New Roman"/>
          <w:sz w:val="24"/>
        </w:rPr>
      </w:pPr>
      <w:r w:rsidRPr="00873D54">
        <w:rPr>
          <w:rFonts w:ascii="Times New Roman" w:hAnsi="Times New Roman" w:cs="Times New Roman"/>
          <w:sz w:val="24"/>
        </w:rPr>
        <w:t>Maloney, M. T., McCormick, R. E. and Mitchell, M. L. (1993), "Managerial decision making and capital structure", Journal of Business, 189-217, https://doi.org/10.1086/296601.</w:t>
      </w:r>
    </w:p>
    <w:p w:rsidR="00873D54" w:rsidRPr="00873D54" w:rsidRDefault="00873D54" w:rsidP="00873D54">
      <w:pPr>
        <w:pStyle w:val="ListParagraph"/>
        <w:numPr>
          <w:ilvl w:val="0"/>
          <w:numId w:val="32"/>
        </w:numPr>
        <w:rPr>
          <w:rFonts w:ascii="Times New Roman" w:hAnsi="Times New Roman" w:cs="Times New Roman"/>
          <w:sz w:val="24"/>
        </w:rPr>
      </w:pPr>
      <w:proofErr w:type="spellStart"/>
      <w:r w:rsidRPr="00873D54">
        <w:rPr>
          <w:rFonts w:ascii="Times New Roman" w:hAnsi="Times New Roman" w:cs="Times New Roman"/>
          <w:sz w:val="24"/>
        </w:rPr>
        <w:t>Masulis</w:t>
      </w:r>
      <w:proofErr w:type="spellEnd"/>
      <w:r w:rsidRPr="00873D54">
        <w:rPr>
          <w:rFonts w:ascii="Times New Roman" w:hAnsi="Times New Roman" w:cs="Times New Roman"/>
          <w:sz w:val="24"/>
        </w:rPr>
        <w:t xml:space="preserve">, R. W., Wang, C., and </w:t>
      </w:r>
      <w:proofErr w:type="spellStart"/>
      <w:r w:rsidRPr="00873D54">
        <w:rPr>
          <w:rFonts w:ascii="Times New Roman" w:hAnsi="Times New Roman" w:cs="Times New Roman"/>
          <w:sz w:val="24"/>
        </w:rPr>
        <w:t>Xie</w:t>
      </w:r>
      <w:proofErr w:type="spellEnd"/>
      <w:r w:rsidRPr="00873D54">
        <w:rPr>
          <w:rFonts w:ascii="Times New Roman" w:hAnsi="Times New Roman" w:cs="Times New Roman"/>
          <w:sz w:val="24"/>
        </w:rPr>
        <w:t>, F. (2007), "Corporate governance and acquirer returns", The Journal of Finance, 62(4), 1851-1889, https://doi.org/10.1111/j.1540-6261.2007.01259.x.</w:t>
      </w:r>
    </w:p>
    <w:p w:rsidR="00873D54" w:rsidRPr="00873D54" w:rsidRDefault="00873D54" w:rsidP="00873D54">
      <w:pPr>
        <w:pStyle w:val="ListParagraph"/>
        <w:numPr>
          <w:ilvl w:val="0"/>
          <w:numId w:val="32"/>
        </w:numPr>
        <w:rPr>
          <w:rFonts w:ascii="Times New Roman" w:hAnsi="Times New Roman" w:cs="Times New Roman"/>
          <w:sz w:val="24"/>
        </w:rPr>
      </w:pPr>
      <w:proofErr w:type="spellStart"/>
      <w:r w:rsidRPr="00873D54">
        <w:rPr>
          <w:rFonts w:ascii="Times New Roman" w:hAnsi="Times New Roman" w:cs="Times New Roman"/>
          <w:sz w:val="24"/>
        </w:rPr>
        <w:t>Miletkov</w:t>
      </w:r>
      <w:proofErr w:type="spellEnd"/>
      <w:r w:rsidRPr="00873D54">
        <w:rPr>
          <w:rFonts w:ascii="Times New Roman" w:hAnsi="Times New Roman" w:cs="Times New Roman"/>
          <w:sz w:val="24"/>
        </w:rPr>
        <w:t xml:space="preserve">, M., </w:t>
      </w:r>
      <w:proofErr w:type="spellStart"/>
      <w:r w:rsidRPr="00873D54">
        <w:rPr>
          <w:rFonts w:ascii="Times New Roman" w:hAnsi="Times New Roman" w:cs="Times New Roman"/>
          <w:sz w:val="24"/>
        </w:rPr>
        <w:t>Moskalev</w:t>
      </w:r>
      <w:proofErr w:type="spellEnd"/>
      <w:r w:rsidRPr="00873D54">
        <w:rPr>
          <w:rFonts w:ascii="Times New Roman" w:hAnsi="Times New Roman" w:cs="Times New Roman"/>
          <w:sz w:val="24"/>
        </w:rPr>
        <w:t xml:space="preserve">, S. and </w:t>
      </w:r>
      <w:proofErr w:type="spellStart"/>
      <w:r w:rsidRPr="00873D54">
        <w:rPr>
          <w:rFonts w:ascii="Times New Roman" w:hAnsi="Times New Roman" w:cs="Times New Roman"/>
          <w:sz w:val="24"/>
        </w:rPr>
        <w:t>Wintoki</w:t>
      </w:r>
      <w:proofErr w:type="spellEnd"/>
      <w:r w:rsidRPr="00873D54">
        <w:rPr>
          <w:rFonts w:ascii="Times New Roman" w:hAnsi="Times New Roman" w:cs="Times New Roman"/>
          <w:sz w:val="24"/>
        </w:rPr>
        <w:t>, M. B. (2015), "Corporate boards and acquirer returns: international evidence", Managerial Finance, 41(3), 244-266, https://doi.org/10.1108/MF-03-2014-0063.</w:t>
      </w:r>
    </w:p>
    <w:p w:rsidR="00873D54" w:rsidRPr="00873D54" w:rsidRDefault="00873D54" w:rsidP="00873D54">
      <w:pPr>
        <w:pStyle w:val="ListParagraph"/>
        <w:numPr>
          <w:ilvl w:val="0"/>
          <w:numId w:val="32"/>
        </w:numPr>
        <w:rPr>
          <w:rFonts w:ascii="Times New Roman" w:hAnsi="Times New Roman" w:cs="Times New Roman"/>
          <w:sz w:val="24"/>
        </w:rPr>
      </w:pPr>
      <w:r w:rsidRPr="00873D54">
        <w:rPr>
          <w:rFonts w:ascii="Times New Roman" w:hAnsi="Times New Roman" w:cs="Times New Roman"/>
          <w:sz w:val="24"/>
        </w:rPr>
        <w:lastRenderedPageBreak/>
        <w:t xml:space="preserve">Moeller, S. B., </w:t>
      </w:r>
      <w:proofErr w:type="spellStart"/>
      <w:r w:rsidRPr="00873D54">
        <w:rPr>
          <w:rFonts w:ascii="Times New Roman" w:hAnsi="Times New Roman" w:cs="Times New Roman"/>
          <w:sz w:val="24"/>
        </w:rPr>
        <w:t>Schlingemann</w:t>
      </w:r>
      <w:proofErr w:type="spellEnd"/>
      <w:r w:rsidRPr="00873D54">
        <w:rPr>
          <w:rFonts w:ascii="Times New Roman" w:hAnsi="Times New Roman" w:cs="Times New Roman"/>
          <w:sz w:val="24"/>
        </w:rPr>
        <w:t xml:space="preserve">, F. P., and </w:t>
      </w:r>
      <w:proofErr w:type="spellStart"/>
      <w:r w:rsidRPr="00873D54">
        <w:rPr>
          <w:rFonts w:ascii="Times New Roman" w:hAnsi="Times New Roman" w:cs="Times New Roman"/>
          <w:sz w:val="24"/>
        </w:rPr>
        <w:t>Stulz</w:t>
      </w:r>
      <w:proofErr w:type="spellEnd"/>
      <w:r w:rsidRPr="00873D54">
        <w:rPr>
          <w:rFonts w:ascii="Times New Roman" w:hAnsi="Times New Roman" w:cs="Times New Roman"/>
          <w:sz w:val="24"/>
        </w:rPr>
        <w:t>, R. M. (2004), "Firm size and the gains from acquisitions", Journal of financial economics, 73(2), 201-228, https://doi.org/10.1016/j.jfineco.2003.07.002.</w:t>
      </w:r>
    </w:p>
    <w:p w:rsidR="00873D54" w:rsidRPr="00873D54" w:rsidRDefault="00873D54" w:rsidP="00873D54">
      <w:pPr>
        <w:pStyle w:val="ListParagraph"/>
        <w:numPr>
          <w:ilvl w:val="0"/>
          <w:numId w:val="32"/>
        </w:numPr>
        <w:rPr>
          <w:rFonts w:ascii="Times New Roman" w:hAnsi="Times New Roman" w:cs="Times New Roman"/>
          <w:sz w:val="24"/>
        </w:rPr>
      </w:pPr>
      <w:proofErr w:type="spellStart"/>
      <w:r w:rsidRPr="00873D54">
        <w:rPr>
          <w:rFonts w:ascii="Times New Roman" w:hAnsi="Times New Roman" w:cs="Times New Roman"/>
          <w:sz w:val="24"/>
        </w:rPr>
        <w:t>Morck</w:t>
      </w:r>
      <w:proofErr w:type="spellEnd"/>
      <w:r w:rsidRPr="00873D54">
        <w:rPr>
          <w:rFonts w:ascii="Times New Roman" w:hAnsi="Times New Roman" w:cs="Times New Roman"/>
          <w:sz w:val="24"/>
        </w:rPr>
        <w:t xml:space="preserve">, R., Shleifer, A., </w:t>
      </w:r>
      <w:proofErr w:type="spellStart"/>
      <w:r w:rsidRPr="00873D54">
        <w:rPr>
          <w:rFonts w:ascii="Times New Roman" w:hAnsi="Times New Roman" w:cs="Times New Roman"/>
          <w:sz w:val="24"/>
        </w:rPr>
        <w:t>Vishny</w:t>
      </w:r>
      <w:proofErr w:type="spellEnd"/>
      <w:r w:rsidRPr="00873D54">
        <w:rPr>
          <w:rFonts w:ascii="Times New Roman" w:hAnsi="Times New Roman" w:cs="Times New Roman"/>
          <w:sz w:val="24"/>
        </w:rPr>
        <w:t>, R.W., 1990, "Do managerial objectives drive bad acquisitions?", Journal of Finance 45, 31–48, https://doi.org/10.2307/2328808.</w:t>
      </w:r>
    </w:p>
    <w:p w:rsidR="00873D54" w:rsidRPr="00873D54" w:rsidRDefault="00873D54" w:rsidP="00873D54">
      <w:pPr>
        <w:pStyle w:val="ListParagraph"/>
        <w:numPr>
          <w:ilvl w:val="0"/>
          <w:numId w:val="32"/>
        </w:numPr>
        <w:rPr>
          <w:rFonts w:ascii="Times New Roman" w:hAnsi="Times New Roman" w:cs="Times New Roman"/>
          <w:sz w:val="24"/>
        </w:rPr>
      </w:pPr>
      <w:r w:rsidRPr="00873D54">
        <w:rPr>
          <w:rFonts w:ascii="Times New Roman" w:hAnsi="Times New Roman" w:cs="Times New Roman"/>
          <w:sz w:val="24"/>
        </w:rPr>
        <w:t>Officer, M. S. (2007), "The price of corporate liquidity: Acquisition discounts for unlisted targets", Journal of Financial Economics, 83(3), 571-598, https://doi.org/10.1016/j.jfineco.2006.01.004.</w:t>
      </w:r>
    </w:p>
    <w:p w:rsidR="00873D54" w:rsidRPr="00873D54" w:rsidRDefault="00873D54" w:rsidP="00873D54">
      <w:pPr>
        <w:pStyle w:val="ListParagraph"/>
        <w:numPr>
          <w:ilvl w:val="0"/>
          <w:numId w:val="32"/>
        </w:numPr>
        <w:rPr>
          <w:rFonts w:ascii="Times New Roman" w:hAnsi="Times New Roman" w:cs="Times New Roman"/>
          <w:sz w:val="24"/>
        </w:rPr>
      </w:pPr>
      <w:proofErr w:type="spellStart"/>
      <w:r w:rsidRPr="00873D54">
        <w:rPr>
          <w:rFonts w:ascii="Times New Roman" w:hAnsi="Times New Roman" w:cs="Times New Roman"/>
          <w:sz w:val="24"/>
        </w:rPr>
        <w:t>Rechner</w:t>
      </w:r>
      <w:proofErr w:type="spellEnd"/>
      <w:r w:rsidRPr="00873D54">
        <w:rPr>
          <w:rFonts w:ascii="Times New Roman" w:hAnsi="Times New Roman" w:cs="Times New Roman"/>
          <w:sz w:val="24"/>
        </w:rPr>
        <w:t>, P. L. and Dalton, D. R. (1991), "CEO duality and organizational performance: A longitudinal analysis", Strategic Management Journal, 12(2), 155-160, https://doi.org/10.1002/smj.4250120206.</w:t>
      </w:r>
    </w:p>
    <w:p w:rsidR="00873D54" w:rsidRPr="00873D54" w:rsidRDefault="00873D54" w:rsidP="00873D54">
      <w:pPr>
        <w:pStyle w:val="ListParagraph"/>
        <w:numPr>
          <w:ilvl w:val="0"/>
          <w:numId w:val="32"/>
        </w:numPr>
        <w:rPr>
          <w:rFonts w:ascii="Times New Roman" w:hAnsi="Times New Roman" w:cs="Times New Roman"/>
          <w:sz w:val="24"/>
        </w:rPr>
      </w:pPr>
      <w:r w:rsidRPr="00873D54">
        <w:rPr>
          <w:rFonts w:ascii="Times New Roman" w:hAnsi="Times New Roman" w:cs="Times New Roman"/>
          <w:sz w:val="24"/>
        </w:rPr>
        <w:t>Roll, R. (1986), "The hubris hypothesis of corporate takeovers", Journal of business, 197-216, https://doi.org/10.1086/296325.</w:t>
      </w:r>
    </w:p>
    <w:p w:rsidR="00873D54" w:rsidRPr="00873D54" w:rsidRDefault="00873D54" w:rsidP="00873D54">
      <w:pPr>
        <w:pStyle w:val="ListParagraph"/>
        <w:numPr>
          <w:ilvl w:val="0"/>
          <w:numId w:val="32"/>
        </w:numPr>
        <w:rPr>
          <w:rFonts w:ascii="Times New Roman" w:hAnsi="Times New Roman" w:cs="Times New Roman"/>
          <w:sz w:val="24"/>
        </w:rPr>
      </w:pPr>
      <w:r w:rsidRPr="00873D54">
        <w:rPr>
          <w:rFonts w:ascii="Times New Roman" w:hAnsi="Times New Roman" w:cs="Times New Roman"/>
          <w:sz w:val="24"/>
        </w:rPr>
        <w:t>Sabatier, M. (2015), "A women's boom in the boardroom: effects on performance?", Applied Economics, 47(26), 2717-2727, https://doi.org/10.1080/00036846.2015.1008774.</w:t>
      </w:r>
    </w:p>
    <w:p w:rsidR="00873D54" w:rsidRPr="00873D54" w:rsidRDefault="00873D54" w:rsidP="00873D54">
      <w:pPr>
        <w:pStyle w:val="ListParagraph"/>
        <w:numPr>
          <w:ilvl w:val="0"/>
          <w:numId w:val="32"/>
        </w:numPr>
        <w:rPr>
          <w:rFonts w:ascii="Times New Roman" w:hAnsi="Times New Roman" w:cs="Times New Roman"/>
          <w:sz w:val="24"/>
        </w:rPr>
      </w:pPr>
      <w:proofErr w:type="spellStart"/>
      <w:r w:rsidRPr="00873D54">
        <w:rPr>
          <w:rFonts w:ascii="Times New Roman" w:hAnsi="Times New Roman" w:cs="Times New Roman"/>
          <w:sz w:val="24"/>
        </w:rPr>
        <w:t>Servaes</w:t>
      </w:r>
      <w:proofErr w:type="spellEnd"/>
      <w:r w:rsidRPr="00873D54">
        <w:rPr>
          <w:rFonts w:ascii="Times New Roman" w:hAnsi="Times New Roman" w:cs="Times New Roman"/>
          <w:sz w:val="24"/>
        </w:rPr>
        <w:t>, H. (1991), "Tobin's Q and the Gains from Takeovers", The Journal of Finance, 46(1), 409-419, https://doi.org/10.1111/j.1540-6261.1991.tb03758.x.</w:t>
      </w:r>
    </w:p>
    <w:p w:rsidR="00873D54" w:rsidRPr="00873D54" w:rsidRDefault="00873D54" w:rsidP="00873D54">
      <w:pPr>
        <w:pStyle w:val="ListParagraph"/>
        <w:numPr>
          <w:ilvl w:val="0"/>
          <w:numId w:val="32"/>
        </w:numPr>
        <w:rPr>
          <w:rFonts w:ascii="Times New Roman" w:hAnsi="Times New Roman" w:cs="Times New Roman"/>
          <w:sz w:val="24"/>
        </w:rPr>
      </w:pPr>
      <w:proofErr w:type="spellStart"/>
      <w:r w:rsidRPr="00873D54">
        <w:rPr>
          <w:rFonts w:ascii="Times New Roman" w:hAnsi="Times New Roman" w:cs="Times New Roman"/>
          <w:sz w:val="24"/>
        </w:rPr>
        <w:t>Sevilir</w:t>
      </w:r>
      <w:proofErr w:type="spellEnd"/>
      <w:r w:rsidRPr="00873D54">
        <w:rPr>
          <w:rFonts w:ascii="Times New Roman" w:hAnsi="Times New Roman" w:cs="Times New Roman"/>
          <w:sz w:val="24"/>
        </w:rPr>
        <w:t>, M. and Tian, X. (2012), "Acquiring innovation", AFA 2012 Chicago Meetings Paper, 4-5, https://doi.org/10.2139/ssrn.1731722.</w:t>
      </w:r>
    </w:p>
    <w:p w:rsidR="00873D54" w:rsidRPr="00873D54" w:rsidRDefault="00873D54" w:rsidP="00873D54">
      <w:pPr>
        <w:pStyle w:val="ListParagraph"/>
        <w:numPr>
          <w:ilvl w:val="0"/>
          <w:numId w:val="32"/>
        </w:numPr>
        <w:rPr>
          <w:rFonts w:ascii="Times New Roman" w:hAnsi="Times New Roman" w:cs="Times New Roman"/>
          <w:sz w:val="24"/>
        </w:rPr>
      </w:pPr>
      <w:r w:rsidRPr="00873D54">
        <w:rPr>
          <w:rFonts w:ascii="Times New Roman" w:hAnsi="Times New Roman" w:cs="Times New Roman"/>
          <w:sz w:val="24"/>
        </w:rPr>
        <w:t>Shinn, E. W. (1999), "Returns to acquiring firms: The role of managerial ownership, managerial wealth, and outside owners", Journal of Economics and Finance, 23(1), 78-89, https://doi.org/10.1007/BF02752689.</w:t>
      </w:r>
    </w:p>
    <w:p w:rsidR="00873D54" w:rsidRPr="00873D54" w:rsidRDefault="00873D54" w:rsidP="00873D54">
      <w:pPr>
        <w:pStyle w:val="ListParagraph"/>
        <w:numPr>
          <w:ilvl w:val="0"/>
          <w:numId w:val="32"/>
        </w:numPr>
        <w:rPr>
          <w:rFonts w:ascii="Times New Roman" w:hAnsi="Times New Roman" w:cs="Times New Roman"/>
          <w:sz w:val="24"/>
        </w:rPr>
      </w:pPr>
      <w:proofErr w:type="spellStart"/>
      <w:r w:rsidRPr="00873D54">
        <w:rPr>
          <w:rFonts w:ascii="Times New Roman" w:hAnsi="Times New Roman" w:cs="Times New Roman"/>
          <w:sz w:val="24"/>
        </w:rPr>
        <w:t>Shivdasani</w:t>
      </w:r>
      <w:proofErr w:type="spellEnd"/>
      <w:r w:rsidRPr="00873D54">
        <w:rPr>
          <w:rFonts w:ascii="Times New Roman" w:hAnsi="Times New Roman" w:cs="Times New Roman"/>
          <w:sz w:val="24"/>
        </w:rPr>
        <w:t>, A. (1993), "Board composition, ownership structure, and hostile takeovers", Journal of accounting and economics, 16(1-3), 167-198, https://doi.org/10.1016/0165-4101(93)90009-5.</w:t>
      </w:r>
    </w:p>
    <w:p w:rsidR="00873D54" w:rsidRPr="00873D54" w:rsidRDefault="00873D54" w:rsidP="00873D54">
      <w:pPr>
        <w:pStyle w:val="ListParagraph"/>
        <w:numPr>
          <w:ilvl w:val="0"/>
          <w:numId w:val="32"/>
        </w:numPr>
        <w:rPr>
          <w:rFonts w:ascii="Times New Roman" w:hAnsi="Times New Roman" w:cs="Times New Roman"/>
          <w:sz w:val="24"/>
        </w:rPr>
      </w:pPr>
      <w:r w:rsidRPr="00873D54">
        <w:rPr>
          <w:rFonts w:ascii="Times New Roman" w:hAnsi="Times New Roman" w:cs="Times New Roman"/>
          <w:sz w:val="24"/>
        </w:rPr>
        <w:t>Stein, J. C. (1988), "Takeover threats and managerial myopia", Journal of political economy, 96(1), 61-80, https://doi.org/10.1086/261524.</w:t>
      </w:r>
    </w:p>
    <w:p w:rsidR="00873D54" w:rsidRPr="00873D54" w:rsidRDefault="00873D54" w:rsidP="00873D54">
      <w:pPr>
        <w:pStyle w:val="ListParagraph"/>
        <w:numPr>
          <w:ilvl w:val="0"/>
          <w:numId w:val="32"/>
        </w:numPr>
        <w:rPr>
          <w:rFonts w:ascii="Times New Roman" w:hAnsi="Times New Roman" w:cs="Times New Roman"/>
          <w:sz w:val="24"/>
        </w:rPr>
      </w:pPr>
      <w:proofErr w:type="spellStart"/>
      <w:r w:rsidRPr="00873D54">
        <w:rPr>
          <w:rFonts w:ascii="Times New Roman" w:hAnsi="Times New Roman" w:cs="Times New Roman"/>
          <w:sz w:val="24"/>
        </w:rPr>
        <w:t>Vancil</w:t>
      </w:r>
      <w:proofErr w:type="spellEnd"/>
      <w:r w:rsidRPr="00873D54">
        <w:rPr>
          <w:rFonts w:ascii="Times New Roman" w:hAnsi="Times New Roman" w:cs="Times New Roman"/>
          <w:sz w:val="24"/>
        </w:rPr>
        <w:t>, R. F. (1987), "Passing the baton: Managing the process of CEO succession", Harvard Business School Pr., https://doi.org/10.1002/hrm.3930270210.</w:t>
      </w:r>
    </w:p>
    <w:p w:rsidR="00873D54" w:rsidRPr="00873D54" w:rsidRDefault="00873D54" w:rsidP="00873D54">
      <w:pPr>
        <w:pStyle w:val="ListParagraph"/>
        <w:numPr>
          <w:ilvl w:val="0"/>
          <w:numId w:val="32"/>
        </w:numPr>
        <w:rPr>
          <w:rFonts w:ascii="Times New Roman" w:hAnsi="Times New Roman" w:cs="Times New Roman"/>
          <w:sz w:val="24"/>
        </w:rPr>
      </w:pPr>
      <w:r w:rsidRPr="00873D54">
        <w:rPr>
          <w:rFonts w:ascii="Times New Roman" w:hAnsi="Times New Roman" w:cs="Times New Roman"/>
          <w:sz w:val="24"/>
        </w:rPr>
        <w:t>Walters, B. A., Kroll, M. J., &amp; Wright, P. (2007), "CEO tenure, boards of directors, and acquisition performance", Journal of Business Research, 60(4), 331-338, https://doi.org/10.1016/j.jbusres.2006.12.001.</w:t>
      </w:r>
    </w:p>
    <w:p w:rsidR="00873D54" w:rsidRPr="00873D54" w:rsidRDefault="00873D54" w:rsidP="00873D54">
      <w:pPr>
        <w:pStyle w:val="ListParagraph"/>
        <w:numPr>
          <w:ilvl w:val="0"/>
          <w:numId w:val="32"/>
        </w:numPr>
        <w:rPr>
          <w:rFonts w:ascii="Times New Roman" w:hAnsi="Times New Roman" w:cs="Times New Roman"/>
          <w:sz w:val="24"/>
        </w:rPr>
      </w:pPr>
      <w:r w:rsidRPr="00873D54">
        <w:rPr>
          <w:rFonts w:ascii="Times New Roman" w:hAnsi="Times New Roman" w:cs="Times New Roman"/>
          <w:sz w:val="24"/>
        </w:rPr>
        <w:t>Weir, C., Laing, D. and McKnight, P. J. (2002), "Internal and external governance mechanisms: their impact on the performance of large UK public companies", Journal of Business Finance &amp; Accounting, 29(5‐6), 579-611, https://doi.org/10.1111/1468-5957.00444.</w:t>
      </w:r>
    </w:p>
    <w:p w:rsidR="00873D54" w:rsidRPr="00873D54" w:rsidRDefault="00873D54" w:rsidP="00873D54">
      <w:pPr>
        <w:pStyle w:val="ListParagraph"/>
        <w:numPr>
          <w:ilvl w:val="0"/>
          <w:numId w:val="32"/>
        </w:numPr>
        <w:rPr>
          <w:rFonts w:ascii="Times New Roman" w:hAnsi="Times New Roman" w:cs="Times New Roman"/>
          <w:sz w:val="24"/>
        </w:rPr>
      </w:pPr>
      <w:proofErr w:type="spellStart"/>
      <w:r w:rsidRPr="00873D54">
        <w:rPr>
          <w:rFonts w:ascii="Times New Roman" w:hAnsi="Times New Roman" w:cs="Times New Roman"/>
          <w:sz w:val="24"/>
        </w:rPr>
        <w:t>Yermack</w:t>
      </w:r>
      <w:proofErr w:type="spellEnd"/>
      <w:r w:rsidRPr="00873D54">
        <w:rPr>
          <w:rFonts w:ascii="Times New Roman" w:hAnsi="Times New Roman" w:cs="Times New Roman"/>
          <w:sz w:val="24"/>
        </w:rPr>
        <w:t>, D. (1996), "Higher market valuation of companies with a small board of directors", Journal of financial economics, 40(2), 185-211, https://doi.org/10.1016/0304-405X(95)00844-5.</w:t>
      </w:r>
    </w:p>
    <w:p w:rsidR="00873D54" w:rsidRPr="00873D54" w:rsidRDefault="00873D54" w:rsidP="00873D54">
      <w:pPr>
        <w:pStyle w:val="ListParagraph"/>
        <w:numPr>
          <w:ilvl w:val="0"/>
          <w:numId w:val="32"/>
        </w:numPr>
        <w:rPr>
          <w:rFonts w:ascii="Times New Roman" w:hAnsi="Times New Roman" w:cs="Times New Roman"/>
          <w:sz w:val="24"/>
        </w:rPr>
      </w:pPr>
      <w:proofErr w:type="spellStart"/>
      <w:r w:rsidRPr="00873D54">
        <w:rPr>
          <w:rFonts w:ascii="Times New Roman" w:hAnsi="Times New Roman" w:cs="Times New Roman"/>
          <w:sz w:val="24"/>
        </w:rPr>
        <w:t>Zollo</w:t>
      </w:r>
      <w:proofErr w:type="spellEnd"/>
      <w:r w:rsidRPr="00873D54">
        <w:rPr>
          <w:rFonts w:ascii="Times New Roman" w:hAnsi="Times New Roman" w:cs="Times New Roman"/>
          <w:sz w:val="24"/>
        </w:rPr>
        <w:t>, M., and Meier, D. (2008), "What is M&amp;A performance?", The Academy of Management Perspectives, 22(3), 55-77, https://doi.org/10.5465/amp.2008.34587995.</w:t>
      </w:r>
    </w:p>
    <w:sectPr w:rsidR="00873D54" w:rsidRPr="00873D54" w:rsidSect="00B12FB6">
      <w:type w:val="continuous"/>
      <w:pgSz w:w="12240" w:h="15840"/>
      <w:pgMar w:top="1418" w:right="1440"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07A3" w:rsidRDefault="009E07A3" w:rsidP="0050008B">
      <w:pPr>
        <w:spacing w:after="0" w:line="240" w:lineRule="auto"/>
      </w:pPr>
      <w:r>
        <w:separator/>
      </w:r>
    </w:p>
  </w:endnote>
  <w:endnote w:type="continuationSeparator" w:id="0">
    <w:p w:rsidR="009E07A3" w:rsidRDefault="009E07A3" w:rsidP="00500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0F9F" w:rsidRDefault="00060F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3456990"/>
      <w:docPartObj>
        <w:docPartGallery w:val="Page Numbers (Bottom of Page)"/>
        <w:docPartUnique/>
      </w:docPartObj>
    </w:sdtPr>
    <w:sdtContent>
      <w:p w:rsidR="00060F9F" w:rsidRDefault="00060F9F">
        <w:pPr>
          <w:pStyle w:val="Footer"/>
          <w:jc w:val="right"/>
        </w:pPr>
        <w:r>
          <w:fldChar w:fldCharType="begin"/>
        </w:r>
        <w:r>
          <w:instrText>PAGE   \* MERGEFORMAT</w:instrText>
        </w:r>
        <w:r>
          <w:fldChar w:fldCharType="separate"/>
        </w:r>
        <w:r w:rsidRPr="00E71A12">
          <w:rPr>
            <w:noProof/>
            <w:lang w:val="pl-PL"/>
          </w:rPr>
          <w:t>1</w:t>
        </w:r>
        <w:r w:rsidRPr="00E71A12">
          <w:rPr>
            <w:noProof/>
            <w:lang w:val="pl-PL"/>
          </w:rPr>
          <w:t>8</w:t>
        </w:r>
        <w:r>
          <w:fldChar w:fldCharType="end"/>
        </w:r>
      </w:p>
    </w:sdtContent>
  </w:sdt>
  <w:p w:rsidR="00060F9F" w:rsidRDefault="00060F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0F9F" w:rsidRDefault="00060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07A3" w:rsidRDefault="009E07A3" w:rsidP="0050008B">
      <w:pPr>
        <w:spacing w:after="0" w:line="240" w:lineRule="auto"/>
      </w:pPr>
      <w:r>
        <w:separator/>
      </w:r>
    </w:p>
  </w:footnote>
  <w:footnote w:type="continuationSeparator" w:id="0">
    <w:p w:rsidR="009E07A3" w:rsidRDefault="009E07A3" w:rsidP="005000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0F9F" w:rsidRDefault="00060F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0F9F" w:rsidRDefault="00060F9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60F9F" w:rsidRDefault="00060F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C2F69"/>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731064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5658A5"/>
    <w:multiLevelType w:val="multilevel"/>
    <w:tmpl w:val="01C40FB0"/>
    <w:lvl w:ilvl="0">
      <w:start w:val="2"/>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B0B2F3D"/>
    <w:multiLevelType w:val="multilevel"/>
    <w:tmpl w:val="4CA84C2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F6F107E"/>
    <w:multiLevelType w:val="multilevel"/>
    <w:tmpl w:val="F4CA70E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F9015F3"/>
    <w:multiLevelType w:val="multilevel"/>
    <w:tmpl w:val="01C40FB0"/>
    <w:lvl w:ilvl="0">
      <w:start w:val="2"/>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571167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5B8402A"/>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966728F"/>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98A47B7"/>
    <w:multiLevelType w:val="hybridMultilevel"/>
    <w:tmpl w:val="04D00D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A7A437A"/>
    <w:multiLevelType w:val="hybridMultilevel"/>
    <w:tmpl w:val="D0944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AB6407F"/>
    <w:multiLevelType w:val="hybridMultilevel"/>
    <w:tmpl w:val="4E7C7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AE3AFF"/>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E11FE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25C35BA"/>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5843419"/>
    <w:multiLevelType w:val="hybridMultilevel"/>
    <w:tmpl w:val="061A8D1C"/>
    <w:lvl w:ilvl="0" w:tplc="95100A86">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6" w15:restartNumberingAfterBreak="0">
    <w:nsid w:val="43AE2D29"/>
    <w:multiLevelType w:val="multilevel"/>
    <w:tmpl w:val="4CA84C2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45A6462"/>
    <w:multiLevelType w:val="hybridMultilevel"/>
    <w:tmpl w:val="9EE678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595168C"/>
    <w:multiLevelType w:val="hybridMultilevel"/>
    <w:tmpl w:val="515000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D33D80"/>
    <w:multiLevelType w:val="multilevel"/>
    <w:tmpl w:val="4CA84C2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A5733D5"/>
    <w:multiLevelType w:val="hybridMultilevel"/>
    <w:tmpl w:val="49C0A914"/>
    <w:lvl w:ilvl="0" w:tplc="B478D9AC">
      <w:start w:val="1"/>
      <w:numFmt w:val="lowerLetter"/>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1" w15:restartNumberingAfterBreak="0">
    <w:nsid w:val="584D3A7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D7B089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F6D1874"/>
    <w:multiLevelType w:val="multilevel"/>
    <w:tmpl w:val="947864A4"/>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2E95CB1"/>
    <w:multiLevelType w:val="multilevel"/>
    <w:tmpl w:val="4CA84C2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357492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65F664B6"/>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90835E8"/>
    <w:multiLevelType w:val="hybridMultilevel"/>
    <w:tmpl w:val="AC64F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0510F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2405054"/>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56A322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A7A69C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9"/>
  </w:num>
  <w:num w:numId="2">
    <w:abstractNumId w:val="14"/>
  </w:num>
  <w:num w:numId="3">
    <w:abstractNumId w:val="31"/>
  </w:num>
  <w:num w:numId="4">
    <w:abstractNumId w:val="28"/>
  </w:num>
  <w:num w:numId="5">
    <w:abstractNumId w:val="22"/>
  </w:num>
  <w:num w:numId="6">
    <w:abstractNumId w:val="1"/>
  </w:num>
  <w:num w:numId="7">
    <w:abstractNumId w:val="23"/>
  </w:num>
  <w:num w:numId="8">
    <w:abstractNumId w:val="10"/>
  </w:num>
  <w:num w:numId="9">
    <w:abstractNumId w:val="21"/>
  </w:num>
  <w:num w:numId="10">
    <w:abstractNumId w:val="30"/>
  </w:num>
  <w:num w:numId="11">
    <w:abstractNumId w:val="6"/>
  </w:num>
  <w:num w:numId="12">
    <w:abstractNumId w:val="25"/>
  </w:num>
  <w:num w:numId="13">
    <w:abstractNumId w:val="17"/>
  </w:num>
  <w:num w:numId="14">
    <w:abstractNumId w:val="26"/>
  </w:num>
  <w:num w:numId="15">
    <w:abstractNumId w:val="13"/>
  </w:num>
  <w:num w:numId="16">
    <w:abstractNumId w:val="18"/>
  </w:num>
  <w:num w:numId="17">
    <w:abstractNumId w:val="27"/>
  </w:num>
  <w:num w:numId="18">
    <w:abstractNumId w:val="4"/>
  </w:num>
  <w:num w:numId="19">
    <w:abstractNumId w:val="16"/>
  </w:num>
  <w:num w:numId="20">
    <w:abstractNumId w:val="3"/>
  </w:num>
  <w:num w:numId="21">
    <w:abstractNumId w:val="24"/>
  </w:num>
  <w:num w:numId="22">
    <w:abstractNumId w:val="2"/>
  </w:num>
  <w:num w:numId="23">
    <w:abstractNumId w:val="5"/>
  </w:num>
  <w:num w:numId="24">
    <w:abstractNumId w:val="20"/>
  </w:num>
  <w:num w:numId="25">
    <w:abstractNumId w:val="19"/>
  </w:num>
  <w:num w:numId="26">
    <w:abstractNumId w:val="12"/>
  </w:num>
  <w:num w:numId="27">
    <w:abstractNumId w:val="0"/>
  </w:num>
  <w:num w:numId="28">
    <w:abstractNumId w:val="8"/>
  </w:num>
  <w:num w:numId="29">
    <w:abstractNumId w:val="15"/>
  </w:num>
  <w:num w:numId="30">
    <w:abstractNumId w:val="7"/>
  </w:num>
  <w:num w:numId="31">
    <w:abstractNumId w:val="11"/>
  </w:num>
  <w:num w:numId="3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3"/>
  <w:proofState w:spelling="clean" w:grammar="clean"/>
  <w:documentProtection w:edit="readOnly" w:enforcement="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IztTQwNDIxNDM0NzBT0lEKTi0uzszPAykwqgUAj7GeViwAAAA="/>
  </w:docVars>
  <w:rsids>
    <w:rsidRoot w:val="00492D97"/>
    <w:rsid w:val="00001B96"/>
    <w:rsid w:val="00001E5B"/>
    <w:rsid w:val="000045D5"/>
    <w:rsid w:val="0000719B"/>
    <w:rsid w:val="000102F0"/>
    <w:rsid w:val="00011656"/>
    <w:rsid w:val="000127B3"/>
    <w:rsid w:val="0001603E"/>
    <w:rsid w:val="00016F78"/>
    <w:rsid w:val="000207AD"/>
    <w:rsid w:val="000209EA"/>
    <w:rsid w:val="000220BA"/>
    <w:rsid w:val="00022757"/>
    <w:rsid w:val="000243D7"/>
    <w:rsid w:val="0002529B"/>
    <w:rsid w:val="00025885"/>
    <w:rsid w:val="0003020D"/>
    <w:rsid w:val="00034CC1"/>
    <w:rsid w:val="00037253"/>
    <w:rsid w:val="00042D7B"/>
    <w:rsid w:val="00045EEC"/>
    <w:rsid w:val="00052308"/>
    <w:rsid w:val="00053D57"/>
    <w:rsid w:val="00055BA6"/>
    <w:rsid w:val="00056FEE"/>
    <w:rsid w:val="0005701E"/>
    <w:rsid w:val="00060D6A"/>
    <w:rsid w:val="00060F9F"/>
    <w:rsid w:val="0006141A"/>
    <w:rsid w:val="00061761"/>
    <w:rsid w:val="00061EDC"/>
    <w:rsid w:val="00065397"/>
    <w:rsid w:val="0007533D"/>
    <w:rsid w:val="00075357"/>
    <w:rsid w:val="00077BA7"/>
    <w:rsid w:val="00082261"/>
    <w:rsid w:val="0008393B"/>
    <w:rsid w:val="000846EA"/>
    <w:rsid w:val="0008504D"/>
    <w:rsid w:val="00085286"/>
    <w:rsid w:val="0008730C"/>
    <w:rsid w:val="00093917"/>
    <w:rsid w:val="00093F03"/>
    <w:rsid w:val="0009640B"/>
    <w:rsid w:val="000A0259"/>
    <w:rsid w:val="000A07B5"/>
    <w:rsid w:val="000A091E"/>
    <w:rsid w:val="000A09F7"/>
    <w:rsid w:val="000A1503"/>
    <w:rsid w:val="000A2590"/>
    <w:rsid w:val="000A569D"/>
    <w:rsid w:val="000A5A2E"/>
    <w:rsid w:val="000C1D89"/>
    <w:rsid w:val="000C3C7F"/>
    <w:rsid w:val="000C770D"/>
    <w:rsid w:val="000C7A45"/>
    <w:rsid w:val="000D12A3"/>
    <w:rsid w:val="000D2212"/>
    <w:rsid w:val="000D39EF"/>
    <w:rsid w:val="000D4CAD"/>
    <w:rsid w:val="000D552B"/>
    <w:rsid w:val="000E16F4"/>
    <w:rsid w:val="000E2BD2"/>
    <w:rsid w:val="000E33D0"/>
    <w:rsid w:val="000E3DD4"/>
    <w:rsid w:val="000E44E8"/>
    <w:rsid w:val="000E5A04"/>
    <w:rsid w:val="000E66E7"/>
    <w:rsid w:val="000E6F63"/>
    <w:rsid w:val="000E7AAB"/>
    <w:rsid w:val="000E7CE9"/>
    <w:rsid w:val="000F11F2"/>
    <w:rsid w:val="00100D96"/>
    <w:rsid w:val="00103621"/>
    <w:rsid w:val="001045A3"/>
    <w:rsid w:val="00105B03"/>
    <w:rsid w:val="00111376"/>
    <w:rsid w:val="001167FB"/>
    <w:rsid w:val="001175F9"/>
    <w:rsid w:val="001226D5"/>
    <w:rsid w:val="00123E93"/>
    <w:rsid w:val="001301DF"/>
    <w:rsid w:val="00134782"/>
    <w:rsid w:val="00137748"/>
    <w:rsid w:val="00140E5A"/>
    <w:rsid w:val="001437E8"/>
    <w:rsid w:val="00143C04"/>
    <w:rsid w:val="001452ED"/>
    <w:rsid w:val="00150396"/>
    <w:rsid w:val="0015300B"/>
    <w:rsid w:val="00156514"/>
    <w:rsid w:val="00161527"/>
    <w:rsid w:val="0016229B"/>
    <w:rsid w:val="00163330"/>
    <w:rsid w:val="0016770E"/>
    <w:rsid w:val="00167A74"/>
    <w:rsid w:val="00167F0B"/>
    <w:rsid w:val="001722D8"/>
    <w:rsid w:val="00174F24"/>
    <w:rsid w:val="00175F69"/>
    <w:rsid w:val="00177541"/>
    <w:rsid w:val="00181BB2"/>
    <w:rsid w:val="0018391D"/>
    <w:rsid w:val="00185C9A"/>
    <w:rsid w:val="0018613C"/>
    <w:rsid w:val="001877AA"/>
    <w:rsid w:val="00193CE8"/>
    <w:rsid w:val="001A3342"/>
    <w:rsid w:val="001A41D0"/>
    <w:rsid w:val="001A4C07"/>
    <w:rsid w:val="001A5F0C"/>
    <w:rsid w:val="001A762A"/>
    <w:rsid w:val="001B1413"/>
    <w:rsid w:val="001B1FAB"/>
    <w:rsid w:val="001B380A"/>
    <w:rsid w:val="001B5159"/>
    <w:rsid w:val="001B6343"/>
    <w:rsid w:val="001B65B6"/>
    <w:rsid w:val="001B6E0B"/>
    <w:rsid w:val="001B7592"/>
    <w:rsid w:val="001C30FD"/>
    <w:rsid w:val="001C3933"/>
    <w:rsid w:val="001C631F"/>
    <w:rsid w:val="001D31B7"/>
    <w:rsid w:val="001D324C"/>
    <w:rsid w:val="001D3B61"/>
    <w:rsid w:val="001D50E5"/>
    <w:rsid w:val="001E31A3"/>
    <w:rsid w:val="001E4D18"/>
    <w:rsid w:val="001E50D2"/>
    <w:rsid w:val="001F1352"/>
    <w:rsid w:val="001F1D0B"/>
    <w:rsid w:val="00200513"/>
    <w:rsid w:val="0020359A"/>
    <w:rsid w:val="00207DB7"/>
    <w:rsid w:val="00213AEF"/>
    <w:rsid w:val="00215812"/>
    <w:rsid w:val="00217330"/>
    <w:rsid w:val="002178C1"/>
    <w:rsid w:val="00226ADE"/>
    <w:rsid w:val="002317EA"/>
    <w:rsid w:val="0023244C"/>
    <w:rsid w:val="00233EDA"/>
    <w:rsid w:val="00235A2A"/>
    <w:rsid w:val="002361D2"/>
    <w:rsid w:val="00240C2A"/>
    <w:rsid w:val="00241D0E"/>
    <w:rsid w:val="002448F6"/>
    <w:rsid w:val="00245DF1"/>
    <w:rsid w:val="00250438"/>
    <w:rsid w:val="0025478F"/>
    <w:rsid w:val="00256BB0"/>
    <w:rsid w:val="00260204"/>
    <w:rsid w:val="002629D2"/>
    <w:rsid w:val="002649F7"/>
    <w:rsid w:val="00266D7A"/>
    <w:rsid w:val="00271AB3"/>
    <w:rsid w:val="0027217B"/>
    <w:rsid w:val="002737CE"/>
    <w:rsid w:val="002765CC"/>
    <w:rsid w:val="00281958"/>
    <w:rsid w:val="00284C3F"/>
    <w:rsid w:val="0029056B"/>
    <w:rsid w:val="002937F6"/>
    <w:rsid w:val="00294B44"/>
    <w:rsid w:val="002959E0"/>
    <w:rsid w:val="00296853"/>
    <w:rsid w:val="002977B4"/>
    <w:rsid w:val="002A06B4"/>
    <w:rsid w:val="002A3518"/>
    <w:rsid w:val="002A5034"/>
    <w:rsid w:val="002A53F3"/>
    <w:rsid w:val="002A65E1"/>
    <w:rsid w:val="002A7AC7"/>
    <w:rsid w:val="002B0099"/>
    <w:rsid w:val="002B14DA"/>
    <w:rsid w:val="002B36FA"/>
    <w:rsid w:val="002B480B"/>
    <w:rsid w:val="002B7D2B"/>
    <w:rsid w:val="002B7D47"/>
    <w:rsid w:val="002C1046"/>
    <w:rsid w:val="002C7B38"/>
    <w:rsid w:val="002D388C"/>
    <w:rsid w:val="002E04BE"/>
    <w:rsid w:val="002E1183"/>
    <w:rsid w:val="002E4517"/>
    <w:rsid w:val="002F0D60"/>
    <w:rsid w:val="002F0E4C"/>
    <w:rsid w:val="002F15E0"/>
    <w:rsid w:val="002F2301"/>
    <w:rsid w:val="002F3F53"/>
    <w:rsid w:val="002F64EC"/>
    <w:rsid w:val="002F730A"/>
    <w:rsid w:val="003004E4"/>
    <w:rsid w:val="00301234"/>
    <w:rsid w:val="003014E4"/>
    <w:rsid w:val="00301EE6"/>
    <w:rsid w:val="0030261A"/>
    <w:rsid w:val="0030531F"/>
    <w:rsid w:val="00305A1F"/>
    <w:rsid w:val="00312E73"/>
    <w:rsid w:val="00313B14"/>
    <w:rsid w:val="0031526D"/>
    <w:rsid w:val="00317191"/>
    <w:rsid w:val="00317C83"/>
    <w:rsid w:val="0032133E"/>
    <w:rsid w:val="0032259A"/>
    <w:rsid w:val="0032568D"/>
    <w:rsid w:val="003304E2"/>
    <w:rsid w:val="003317D5"/>
    <w:rsid w:val="0033494C"/>
    <w:rsid w:val="00334C4E"/>
    <w:rsid w:val="00341974"/>
    <w:rsid w:val="003434AA"/>
    <w:rsid w:val="003435B3"/>
    <w:rsid w:val="00343990"/>
    <w:rsid w:val="00350345"/>
    <w:rsid w:val="003522DB"/>
    <w:rsid w:val="0035544A"/>
    <w:rsid w:val="00355F52"/>
    <w:rsid w:val="003579B5"/>
    <w:rsid w:val="00360DD8"/>
    <w:rsid w:val="00361818"/>
    <w:rsid w:val="00361D08"/>
    <w:rsid w:val="00362F32"/>
    <w:rsid w:val="003641C0"/>
    <w:rsid w:val="003648CF"/>
    <w:rsid w:val="003674DE"/>
    <w:rsid w:val="00367743"/>
    <w:rsid w:val="00367D2E"/>
    <w:rsid w:val="003713DA"/>
    <w:rsid w:val="00372DD1"/>
    <w:rsid w:val="003735B7"/>
    <w:rsid w:val="00373A5D"/>
    <w:rsid w:val="00376340"/>
    <w:rsid w:val="00376995"/>
    <w:rsid w:val="003826A9"/>
    <w:rsid w:val="00382D8A"/>
    <w:rsid w:val="00383664"/>
    <w:rsid w:val="00383E60"/>
    <w:rsid w:val="00394D6E"/>
    <w:rsid w:val="00395A1F"/>
    <w:rsid w:val="003965D4"/>
    <w:rsid w:val="00397DC3"/>
    <w:rsid w:val="003A099D"/>
    <w:rsid w:val="003A24EE"/>
    <w:rsid w:val="003A2EBD"/>
    <w:rsid w:val="003C3232"/>
    <w:rsid w:val="003C661F"/>
    <w:rsid w:val="003C72D9"/>
    <w:rsid w:val="003D1140"/>
    <w:rsid w:val="003D1FBD"/>
    <w:rsid w:val="003D2D9B"/>
    <w:rsid w:val="003D5A84"/>
    <w:rsid w:val="003D653A"/>
    <w:rsid w:val="003E146C"/>
    <w:rsid w:val="003E33C8"/>
    <w:rsid w:val="003E5E9F"/>
    <w:rsid w:val="003E5F7D"/>
    <w:rsid w:val="003E6D4A"/>
    <w:rsid w:val="003F06CB"/>
    <w:rsid w:val="003F2961"/>
    <w:rsid w:val="003F2E64"/>
    <w:rsid w:val="003F3F3F"/>
    <w:rsid w:val="003F6E35"/>
    <w:rsid w:val="0040042D"/>
    <w:rsid w:val="004015D7"/>
    <w:rsid w:val="00401F6E"/>
    <w:rsid w:val="00407C1C"/>
    <w:rsid w:val="004142BC"/>
    <w:rsid w:val="0041547E"/>
    <w:rsid w:val="004159DF"/>
    <w:rsid w:val="00417D14"/>
    <w:rsid w:val="0042047B"/>
    <w:rsid w:val="00421156"/>
    <w:rsid w:val="00422819"/>
    <w:rsid w:val="004232B5"/>
    <w:rsid w:val="004304E3"/>
    <w:rsid w:val="00432035"/>
    <w:rsid w:val="0043549C"/>
    <w:rsid w:val="004403B2"/>
    <w:rsid w:val="00441A3B"/>
    <w:rsid w:val="00442233"/>
    <w:rsid w:val="00442C65"/>
    <w:rsid w:val="004434D7"/>
    <w:rsid w:val="00444F8F"/>
    <w:rsid w:val="0044716A"/>
    <w:rsid w:val="0045408B"/>
    <w:rsid w:val="0045429F"/>
    <w:rsid w:val="00456403"/>
    <w:rsid w:val="00456621"/>
    <w:rsid w:val="004570E5"/>
    <w:rsid w:val="00460846"/>
    <w:rsid w:val="00462E0E"/>
    <w:rsid w:val="00465112"/>
    <w:rsid w:val="00467832"/>
    <w:rsid w:val="00471B89"/>
    <w:rsid w:val="0047555F"/>
    <w:rsid w:val="00476AE6"/>
    <w:rsid w:val="004774A2"/>
    <w:rsid w:val="00480959"/>
    <w:rsid w:val="00482456"/>
    <w:rsid w:val="0048445A"/>
    <w:rsid w:val="004848AD"/>
    <w:rsid w:val="00485F19"/>
    <w:rsid w:val="00490C11"/>
    <w:rsid w:val="00490F0B"/>
    <w:rsid w:val="00492D97"/>
    <w:rsid w:val="00493170"/>
    <w:rsid w:val="004A0352"/>
    <w:rsid w:val="004A2749"/>
    <w:rsid w:val="004A2783"/>
    <w:rsid w:val="004A2AAF"/>
    <w:rsid w:val="004A3D20"/>
    <w:rsid w:val="004A4492"/>
    <w:rsid w:val="004B1677"/>
    <w:rsid w:val="004C1242"/>
    <w:rsid w:val="004D41B6"/>
    <w:rsid w:val="004D555D"/>
    <w:rsid w:val="004D6504"/>
    <w:rsid w:val="004E10A1"/>
    <w:rsid w:val="004E492A"/>
    <w:rsid w:val="004E5AD7"/>
    <w:rsid w:val="004F2A25"/>
    <w:rsid w:val="004F2C00"/>
    <w:rsid w:val="004F4A75"/>
    <w:rsid w:val="004F4DFD"/>
    <w:rsid w:val="004F681C"/>
    <w:rsid w:val="004F7C9F"/>
    <w:rsid w:val="0050008B"/>
    <w:rsid w:val="005035EE"/>
    <w:rsid w:val="00507140"/>
    <w:rsid w:val="00511050"/>
    <w:rsid w:val="005131CC"/>
    <w:rsid w:val="0051402E"/>
    <w:rsid w:val="0051422C"/>
    <w:rsid w:val="0051596E"/>
    <w:rsid w:val="005163CB"/>
    <w:rsid w:val="00516A61"/>
    <w:rsid w:val="00523454"/>
    <w:rsid w:val="00524312"/>
    <w:rsid w:val="00526FD5"/>
    <w:rsid w:val="005312ED"/>
    <w:rsid w:val="00533851"/>
    <w:rsid w:val="00533957"/>
    <w:rsid w:val="005347A4"/>
    <w:rsid w:val="00536906"/>
    <w:rsid w:val="0054330E"/>
    <w:rsid w:val="00544479"/>
    <w:rsid w:val="005461ED"/>
    <w:rsid w:val="00546273"/>
    <w:rsid w:val="00546768"/>
    <w:rsid w:val="0054774A"/>
    <w:rsid w:val="00550C74"/>
    <w:rsid w:val="00550FBC"/>
    <w:rsid w:val="005541BC"/>
    <w:rsid w:val="00556187"/>
    <w:rsid w:val="005570D4"/>
    <w:rsid w:val="005576DF"/>
    <w:rsid w:val="005576FF"/>
    <w:rsid w:val="00557B15"/>
    <w:rsid w:val="0056434D"/>
    <w:rsid w:val="005657BA"/>
    <w:rsid w:val="0056644B"/>
    <w:rsid w:val="0056757E"/>
    <w:rsid w:val="00567C31"/>
    <w:rsid w:val="00567D76"/>
    <w:rsid w:val="005713FD"/>
    <w:rsid w:val="00572140"/>
    <w:rsid w:val="00573FAA"/>
    <w:rsid w:val="005747A7"/>
    <w:rsid w:val="00574B76"/>
    <w:rsid w:val="00576D76"/>
    <w:rsid w:val="00582684"/>
    <w:rsid w:val="00590043"/>
    <w:rsid w:val="00590C22"/>
    <w:rsid w:val="005918FD"/>
    <w:rsid w:val="00592D26"/>
    <w:rsid w:val="00594E9F"/>
    <w:rsid w:val="00596740"/>
    <w:rsid w:val="005A0848"/>
    <w:rsid w:val="005A1284"/>
    <w:rsid w:val="005A17A3"/>
    <w:rsid w:val="005A297C"/>
    <w:rsid w:val="005A4CEB"/>
    <w:rsid w:val="005A5D30"/>
    <w:rsid w:val="005B17AE"/>
    <w:rsid w:val="005B1B25"/>
    <w:rsid w:val="005B43CF"/>
    <w:rsid w:val="005B541D"/>
    <w:rsid w:val="005B5F3A"/>
    <w:rsid w:val="005B6223"/>
    <w:rsid w:val="005B6807"/>
    <w:rsid w:val="005B7562"/>
    <w:rsid w:val="005D2FFB"/>
    <w:rsid w:val="005E0995"/>
    <w:rsid w:val="005E19FF"/>
    <w:rsid w:val="005E2AD9"/>
    <w:rsid w:val="005E40C0"/>
    <w:rsid w:val="005E52A6"/>
    <w:rsid w:val="005E763E"/>
    <w:rsid w:val="005F0F5A"/>
    <w:rsid w:val="005F2CC8"/>
    <w:rsid w:val="005F3BB0"/>
    <w:rsid w:val="005F6414"/>
    <w:rsid w:val="005F7D51"/>
    <w:rsid w:val="00600475"/>
    <w:rsid w:val="00606C82"/>
    <w:rsid w:val="00607DD4"/>
    <w:rsid w:val="00611768"/>
    <w:rsid w:val="00612D47"/>
    <w:rsid w:val="006143F7"/>
    <w:rsid w:val="00615565"/>
    <w:rsid w:val="006176EE"/>
    <w:rsid w:val="00621A09"/>
    <w:rsid w:val="0062519C"/>
    <w:rsid w:val="006268A6"/>
    <w:rsid w:val="00626CDD"/>
    <w:rsid w:val="0062796E"/>
    <w:rsid w:val="00635E2E"/>
    <w:rsid w:val="006375D6"/>
    <w:rsid w:val="006378BE"/>
    <w:rsid w:val="00640585"/>
    <w:rsid w:val="00643554"/>
    <w:rsid w:val="00645C76"/>
    <w:rsid w:val="00647953"/>
    <w:rsid w:val="00656A3F"/>
    <w:rsid w:val="00657203"/>
    <w:rsid w:val="00657987"/>
    <w:rsid w:val="00661A5F"/>
    <w:rsid w:val="00664236"/>
    <w:rsid w:val="006658AA"/>
    <w:rsid w:val="00666167"/>
    <w:rsid w:val="00666532"/>
    <w:rsid w:val="006731B1"/>
    <w:rsid w:val="006734A8"/>
    <w:rsid w:val="006737C3"/>
    <w:rsid w:val="0067462F"/>
    <w:rsid w:val="006750AD"/>
    <w:rsid w:val="00682290"/>
    <w:rsid w:val="00683252"/>
    <w:rsid w:val="00684267"/>
    <w:rsid w:val="0069042D"/>
    <w:rsid w:val="0069096A"/>
    <w:rsid w:val="0069464F"/>
    <w:rsid w:val="0069559B"/>
    <w:rsid w:val="00695A40"/>
    <w:rsid w:val="006A03D4"/>
    <w:rsid w:val="006A5612"/>
    <w:rsid w:val="006A7EC0"/>
    <w:rsid w:val="006B1290"/>
    <w:rsid w:val="006B339A"/>
    <w:rsid w:val="006B4C6A"/>
    <w:rsid w:val="006C043C"/>
    <w:rsid w:val="006C05C2"/>
    <w:rsid w:val="006C0AD9"/>
    <w:rsid w:val="006C166B"/>
    <w:rsid w:val="006C3455"/>
    <w:rsid w:val="006C399F"/>
    <w:rsid w:val="006D2529"/>
    <w:rsid w:val="006D481A"/>
    <w:rsid w:val="006D5151"/>
    <w:rsid w:val="006D6DA1"/>
    <w:rsid w:val="006E0F2B"/>
    <w:rsid w:val="006E4BFD"/>
    <w:rsid w:val="006F1622"/>
    <w:rsid w:val="00700F44"/>
    <w:rsid w:val="007025D2"/>
    <w:rsid w:val="0070390A"/>
    <w:rsid w:val="00704482"/>
    <w:rsid w:val="00705FDF"/>
    <w:rsid w:val="00706A2D"/>
    <w:rsid w:val="00707066"/>
    <w:rsid w:val="007075C6"/>
    <w:rsid w:val="00710676"/>
    <w:rsid w:val="00712AD6"/>
    <w:rsid w:val="00712D22"/>
    <w:rsid w:val="00714FF9"/>
    <w:rsid w:val="00715AFD"/>
    <w:rsid w:val="00721002"/>
    <w:rsid w:val="0072247F"/>
    <w:rsid w:val="007229AD"/>
    <w:rsid w:val="007247D7"/>
    <w:rsid w:val="00724E93"/>
    <w:rsid w:val="00737CDF"/>
    <w:rsid w:val="00740643"/>
    <w:rsid w:val="00744F9F"/>
    <w:rsid w:val="00750661"/>
    <w:rsid w:val="00751ECF"/>
    <w:rsid w:val="00752734"/>
    <w:rsid w:val="0075294B"/>
    <w:rsid w:val="00753BD1"/>
    <w:rsid w:val="00755044"/>
    <w:rsid w:val="00755F7E"/>
    <w:rsid w:val="007576CD"/>
    <w:rsid w:val="00763C62"/>
    <w:rsid w:val="0076467A"/>
    <w:rsid w:val="007666C1"/>
    <w:rsid w:val="00775BCE"/>
    <w:rsid w:val="00780256"/>
    <w:rsid w:val="00782334"/>
    <w:rsid w:val="00782749"/>
    <w:rsid w:val="0078585D"/>
    <w:rsid w:val="007A0D70"/>
    <w:rsid w:val="007A319D"/>
    <w:rsid w:val="007B06EB"/>
    <w:rsid w:val="007B0AEA"/>
    <w:rsid w:val="007B410E"/>
    <w:rsid w:val="007B64CD"/>
    <w:rsid w:val="007B6C7B"/>
    <w:rsid w:val="007B6DDA"/>
    <w:rsid w:val="007C01FD"/>
    <w:rsid w:val="007C0C83"/>
    <w:rsid w:val="007C1B27"/>
    <w:rsid w:val="007C58B8"/>
    <w:rsid w:val="007C664F"/>
    <w:rsid w:val="007C7150"/>
    <w:rsid w:val="007C7927"/>
    <w:rsid w:val="007D14F3"/>
    <w:rsid w:val="007D2F6C"/>
    <w:rsid w:val="007D4EF0"/>
    <w:rsid w:val="007D6609"/>
    <w:rsid w:val="007D6B74"/>
    <w:rsid w:val="007D7040"/>
    <w:rsid w:val="007D7946"/>
    <w:rsid w:val="007E27F4"/>
    <w:rsid w:val="007E2CF7"/>
    <w:rsid w:val="007E4339"/>
    <w:rsid w:val="007E44DD"/>
    <w:rsid w:val="007E5F7C"/>
    <w:rsid w:val="007F1857"/>
    <w:rsid w:val="007F3464"/>
    <w:rsid w:val="007F3B8F"/>
    <w:rsid w:val="007F57FD"/>
    <w:rsid w:val="00800722"/>
    <w:rsid w:val="00800A6A"/>
    <w:rsid w:val="008012AA"/>
    <w:rsid w:val="00804E65"/>
    <w:rsid w:val="00806F3D"/>
    <w:rsid w:val="00807081"/>
    <w:rsid w:val="00807863"/>
    <w:rsid w:val="008126F3"/>
    <w:rsid w:val="0081677E"/>
    <w:rsid w:val="0081720A"/>
    <w:rsid w:val="00825C56"/>
    <w:rsid w:val="00826EE0"/>
    <w:rsid w:val="008304D9"/>
    <w:rsid w:val="00834D92"/>
    <w:rsid w:val="008379B9"/>
    <w:rsid w:val="00844427"/>
    <w:rsid w:val="008454C7"/>
    <w:rsid w:val="00846E80"/>
    <w:rsid w:val="00851BF1"/>
    <w:rsid w:val="00853723"/>
    <w:rsid w:val="00854461"/>
    <w:rsid w:val="00856281"/>
    <w:rsid w:val="0085736A"/>
    <w:rsid w:val="00860B24"/>
    <w:rsid w:val="00865AC9"/>
    <w:rsid w:val="00865FF1"/>
    <w:rsid w:val="00866B1C"/>
    <w:rsid w:val="00873D54"/>
    <w:rsid w:val="0087463A"/>
    <w:rsid w:val="0087667A"/>
    <w:rsid w:val="00876F1D"/>
    <w:rsid w:val="00885F19"/>
    <w:rsid w:val="00892F2D"/>
    <w:rsid w:val="00893EDF"/>
    <w:rsid w:val="0089455E"/>
    <w:rsid w:val="008960A0"/>
    <w:rsid w:val="00896F77"/>
    <w:rsid w:val="00897750"/>
    <w:rsid w:val="008A4B79"/>
    <w:rsid w:val="008A63B5"/>
    <w:rsid w:val="008A77CE"/>
    <w:rsid w:val="008A7C98"/>
    <w:rsid w:val="008B0AE0"/>
    <w:rsid w:val="008B1C9E"/>
    <w:rsid w:val="008B257D"/>
    <w:rsid w:val="008B3AE8"/>
    <w:rsid w:val="008B4705"/>
    <w:rsid w:val="008C072C"/>
    <w:rsid w:val="008C7A13"/>
    <w:rsid w:val="008D04EA"/>
    <w:rsid w:val="008D1254"/>
    <w:rsid w:val="008D3230"/>
    <w:rsid w:val="008D4747"/>
    <w:rsid w:val="008D5A7A"/>
    <w:rsid w:val="008D5A98"/>
    <w:rsid w:val="008D5AB8"/>
    <w:rsid w:val="008D664B"/>
    <w:rsid w:val="008D7709"/>
    <w:rsid w:val="008D770F"/>
    <w:rsid w:val="008E460A"/>
    <w:rsid w:val="008E4EC1"/>
    <w:rsid w:val="008E5A79"/>
    <w:rsid w:val="008E62A8"/>
    <w:rsid w:val="008E7E97"/>
    <w:rsid w:val="008F1F94"/>
    <w:rsid w:val="008F3B5C"/>
    <w:rsid w:val="008F4323"/>
    <w:rsid w:val="008F7DFC"/>
    <w:rsid w:val="009047A4"/>
    <w:rsid w:val="00904F7D"/>
    <w:rsid w:val="00911AFA"/>
    <w:rsid w:val="00911E30"/>
    <w:rsid w:val="00912C48"/>
    <w:rsid w:val="0091428E"/>
    <w:rsid w:val="00914E53"/>
    <w:rsid w:val="00915158"/>
    <w:rsid w:val="00921A44"/>
    <w:rsid w:val="00923141"/>
    <w:rsid w:val="0092340F"/>
    <w:rsid w:val="009307F0"/>
    <w:rsid w:val="00931516"/>
    <w:rsid w:val="00931854"/>
    <w:rsid w:val="00935B3D"/>
    <w:rsid w:val="00936B49"/>
    <w:rsid w:val="009451FC"/>
    <w:rsid w:val="009453E7"/>
    <w:rsid w:val="00947C9B"/>
    <w:rsid w:val="00950A1D"/>
    <w:rsid w:val="00950B0A"/>
    <w:rsid w:val="00955FDC"/>
    <w:rsid w:val="009564E2"/>
    <w:rsid w:val="009578AD"/>
    <w:rsid w:val="00957EC1"/>
    <w:rsid w:val="009615EC"/>
    <w:rsid w:val="00962FA1"/>
    <w:rsid w:val="00966BAA"/>
    <w:rsid w:val="009675D9"/>
    <w:rsid w:val="00970A9E"/>
    <w:rsid w:val="009714DC"/>
    <w:rsid w:val="00972828"/>
    <w:rsid w:val="00972CF5"/>
    <w:rsid w:val="009742EB"/>
    <w:rsid w:val="0097799B"/>
    <w:rsid w:val="00980280"/>
    <w:rsid w:val="0098046B"/>
    <w:rsid w:val="00980C7E"/>
    <w:rsid w:val="00981FCC"/>
    <w:rsid w:val="00982516"/>
    <w:rsid w:val="009851A0"/>
    <w:rsid w:val="00986EA7"/>
    <w:rsid w:val="0099032C"/>
    <w:rsid w:val="00991358"/>
    <w:rsid w:val="009A239B"/>
    <w:rsid w:val="009A36F8"/>
    <w:rsid w:val="009A4174"/>
    <w:rsid w:val="009B1E95"/>
    <w:rsid w:val="009B2381"/>
    <w:rsid w:val="009B2445"/>
    <w:rsid w:val="009B284F"/>
    <w:rsid w:val="009B37FE"/>
    <w:rsid w:val="009B52CD"/>
    <w:rsid w:val="009B79C6"/>
    <w:rsid w:val="009C0AA6"/>
    <w:rsid w:val="009C1986"/>
    <w:rsid w:val="009C1CA5"/>
    <w:rsid w:val="009C3E5F"/>
    <w:rsid w:val="009C476F"/>
    <w:rsid w:val="009C6501"/>
    <w:rsid w:val="009C66B3"/>
    <w:rsid w:val="009C66F8"/>
    <w:rsid w:val="009C7202"/>
    <w:rsid w:val="009C79D7"/>
    <w:rsid w:val="009D1A4A"/>
    <w:rsid w:val="009D1B6D"/>
    <w:rsid w:val="009D1D66"/>
    <w:rsid w:val="009D4002"/>
    <w:rsid w:val="009D52A0"/>
    <w:rsid w:val="009D7FD5"/>
    <w:rsid w:val="009E07A3"/>
    <w:rsid w:val="009E156C"/>
    <w:rsid w:val="009E4A87"/>
    <w:rsid w:val="009E62E8"/>
    <w:rsid w:val="009E6484"/>
    <w:rsid w:val="009E6A51"/>
    <w:rsid w:val="009F2860"/>
    <w:rsid w:val="009F290C"/>
    <w:rsid w:val="009F457A"/>
    <w:rsid w:val="009F7271"/>
    <w:rsid w:val="009F733B"/>
    <w:rsid w:val="009F7E3F"/>
    <w:rsid w:val="00A01C3A"/>
    <w:rsid w:val="00A03BF2"/>
    <w:rsid w:val="00A07A95"/>
    <w:rsid w:val="00A10E6B"/>
    <w:rsid w:val="00A10FBB"/>
    <w:rsid w:val="00A118C6"/>
    <w:rsid w:val="00A160C7"/>
    <w:rsid w:val="00A23D91"/>
    <w:rsid w:val="00A25759"/>
    <w:rsid w:val="00A25E22"/>
    <w:rsid w:val="00A26445"/>
    <w:rsid w:val="00A27164"/>
    <w:rsid w:val="00A30FCE"/>
    <w:rsid w:val="00A33B20"/>
    <w:rsid w:val="00A34351"/>
    <w:rsid w:val="00A375E0"/>
    <w:rsid w:val="00A40B79"/>
    <w:rsid w:val="00A46DC6"/>
    <w:rsid w:val="00A50C95"/>
    <w:rsid w:val="00A53012"/>
    <w:rsid w:val="00A532E8"/>
    <w:rsid w:val="00A53BCC"/>
    <w:rsid w:val="00A552B0"/>
    <w:rsid w:val="00A613AA"/>
    <w:rsid w:val="00A63FE1"/>
    <w:rsid w:val="00A664BD"/>
    <w:rsid w:val="00A70998"/>
    <w:rsid w:val="00A70B81"/>
    <w:rsid w:val="00A717F6"/>
    <w:rsid w:val="00A7380D"/>
    <w:rsid w:val="00A73811"/>
    <w:rsid w:val="00A7432F"/>
    <w:rsid w:val="00A82836"/>
    <w:rsid w:val="00A83786"/>
    <w:rsid w:val="00A8447F"/>
    <w:rsid w:val="00A85918"/>
    <w:rsid w:val="00A8727D"/>
    <w:rsid w:val="00A9571D"/>
    <w:rsid w:val="00A9617F"/>
    <w:rsid w:val="00AA25E9"/>
    <w:rsid w:val="00AA5AA7"/>
    <w:rsid w:val="00AA6FDC"/>
    <w:rsid w:val="00AB2162"/>
    <w:rsid w:val="00AB4FAB"/>
    <w:rsid w:val="00AB58D4"/>
    <w:rsid w:val="00AB5FC9"/>
    <w:rsid w:val="00AC3557"/>
    <w:rsid w:val="00AC3ED0"/>
    <w:rsid w:val="00AC65AA"/>
    <w:rsid w:val="00AC6AD1"/>
    <w:rsid w:val="00AD0773"/>
    <w:rsid w:val="00AD2F73"/>
    <w:rsid w:val="00AD68C7"/>
    <w:rsid w:val="00AE16BA"/>
    <w:rsid w:val="00AE283B"/>
    <w:rsid w:val="00AE34C7"/>
    <w:rsid w:val="00AF0930"/>
    <w:rsid w:val="00AF531B"/>
    <w:rsid w:val="00AF66EF"/>
    <w:rsid w:val="00B0074C"/>
    <w:rsid w:val="00B05582"/>
    <w:rsid w:val="00B0591F"/>
    <w:rsid w:val="00B07EE9"/>
    <w:rsid w:val="00B10476"/>
    <w:rsid w:val="00B12FB6"/>
    <w:rsid w:val="00B1629D"/>
    <w:rsid w:val="00B16364"/>
    <w:rsid w:val="00B17A45"/>
    <w:rsid w:val="00B17DEA"/>
    <w:rsid w:val="00B213DB"/>
    <w:rsid w:val="00B22A51"/>
    <w:rsid w:val="00B233CC"/>
    <w:rsid w:val="00B23D6C"/>
    <w:rsid w:val="00B243CF"/>
    <w:rsid w:val="00B26437"/>
    <w:rsid w:val="00B27BEE"/>
    <w:rsid w:val="00B27C74"/>
    <w:rsid w:val="00B30398"/>
    <w:rsid w:val="00B31BF0"/>
    <w:rsid w:val="00B355A4"/>
    <w:rsid w:val="00B36312"/>
    <w:rsid w:val="00B423D6"/>
    <w:rsid w:val="00B43C72"/>
    <w:rsid w:val="00B46753"/>
    <w:rsid w:val="00B46C29"/>
    <w:rsid w:val="00B534A4"/>
    <w:rsid w:val="00B55B29"/>
    <w:rsid w:val="00B575EF"/>
    <w:rsid w:val="00B60016"/>
    <w:rsid w:val="00B734F9"/>
    <w:rsid w:val="00B7578E"/>
    <w:rsid w:val="00B820E6"/>
    <w:rsid w:val="00B82646"/>
    <w:rsid w:val="00B83589"/>
    <w:rsid w:val="00B836BA"/>
    <w:rsid w:val="00B853EF"/>
    <w:rsid w:val="00B87549"/>
    <w:rsid w:val="00B93A29"/>
    <w:rsid w:val="00B93ADC"/>
    <w:rsid w:val="00B968D8"/>
    <w:rsid w:val="00B972C1"/>
    <w:rsid w:val="00B977A6"/>
    <w:rsid w:val="00BA025B"/>
    <w:rsid w:val="00BA1F7F"/>
    <w:rsid w:val="00BA25E0"/>
    <w:rsid w:val="00BA4D35"/>
    <w:rsid w:val="00BA6271"/>
    <w:rsid w:val="00BA6A0E"/>
    <w:rsid w:val="00BB035E"/>
    <w:rsid w:val="00BB2508"/>
    <w:rsid w:val="00BB2633"/>
    <w:rsid w:val="00BB27D2"/>
    <w:rsid w:val="00BB6EC7"/>
    <w:rsid w:val="00BC0494"/>
    <w:rsid w:val="00BC0FA8"/>
    <w:rsid w:val="00BC2631"/>
    <w:rsid w:val="00BC3384"/>
    <w:rsid w:val="00BC4D00"/>
    <w:rsid w:val="00BC50E6"/>
    <w:rsid w:val="00BD0BD6"/>
    <w:rsid w:val="00BD1394"/>
    <w:rsid w:val="00BD2CB0"/>
    <w:rsid w:val="00BD43C5"/>
    <w:rsid w:val="00BD50DB"/>
    <w:rsid w:val="00BE260E"/>
    <w:rsid w:val="00BE2B6E"/>
    <w:rsid w:val="00BE3658"/>
    <w:rsid w:val="00BE4A3C"/>
    <w:rsid w:val="00BE729F"/>
    <w:rsid w:val="00BF1C1A"/>
    <w:rsid w:val="00BF3D01"/>
    <w:rsid w:val="00BF6A0D"/>
    <w:rsid w:val="00BF7AE5"/>
    <w:rsid w:val="00C00256"/>
    <w:rsid w:val="00C00C46"/>
    <w:rsid w:val="00C013B2"/>
    <w:rsid w:val="00C064E6"/>
    <w:rsid w:val="00C064F9"/>
    <w:rsid w:val="00C07BD6"/>
    <w:rsid w:val="00C10BE0"/>
    <w:rsid w:val="00C11809"/>
    <w:rsid w:val="00C13156"/>
    <w:rsid w:val="00C13385"/>
    <w:rsid w:val="00C1480A"/>
    <w:rsid w:val="00C21563"/>
    <w:rsid w:val="00C23FF8"/>
    <w:rsid w:val="00C32AB2"/>
    <w:rsid w:val="00C32E03"/>
    <w:rsid w:val="00C439FB"/>
    <w:rsid w:val="00C440AE"/>
    <w:rsid w:val="00C50951"/>
    <w:rsid w:val="00C51AFE"/>
    <w:rsid w:val="00C5206E"/>
    <w:rsid w:val="00C533F2"/>
    <w:rsid w:val="00C53494"/>
    <w:rsid w:val="00C54217"/>
    <w:rsid w:val="00C549FE"/>
    <w:rsid w:val="00C552AB"/>
    <w:rsid w:val="00C605B7"/>
    <w:rsid w:val="00C6100E"/>
    <w:rsid w:val="00C6182A"/>
    <w:rsid w:val="00C70425"/>
    <w:rsid w:val="00C725BD"/>
    <w:rsid w:val="00C75F17"/>
    <w:rsid w:val="00C76B0D"/>
    <w:rsid w:val="00C77D94"/>
    <w:rsid w:val="00C82BFE"/>
    <w:rsid w:val="00C85C58"/>
    <w:rsid w:val="00C90630"/>
    <w:rsid w:val="00C90813"/>
    <w:rsid w:val="00C90849"/>
    <w:rsid w:val="00C929D1"/>
    <w:rsid w:val="00C96245"/>
    <w:rsid w:val="00CA2AF3"/>
    <w:rsid w:val="00CA43BD"/>
    <w:rsid w:val="00CA4427"/>
    <w:rsid w:val="00CA67C1"/>
    <w:rsid w:val="00CB04DD"/>
    <w:rsid w:val="00CB6225"/>
    <w:rsid w:val="00CB7001"/>
    <w:rsid w:val="00CB7ACC"/>
    <w:rsid w:val="00CC338B"/>
    <w:rsid w:val="00CC3848"/>
    <w:rsid w:val="00CC4265"/>
    <w:rsid w:val="00CC73F1"/>
    <w:rsid w:val="00CD197F"/>
    <w:rsid w:val="00CD41FE"/>
    <w:rsid w:val="00CD56AF"/>
    <w:rsid w:val="00CD7088"/>
    <w:rsid w:val="00CE15BF"/>
    <w:rsid w:val="00CE15FB"/>
    <w:rsid w:val="00CE1CA5"/>
    <w:rsid w:val="00CE2D77"/>
    <w:rsid w:val="00CF14C9"/>
    <w:rsid w:val="00CF3197"/>
    <w:rsid w:val="00CF4E10"/>
    <w:rsid w:val="00CF70EB"/>
    <w:rsid w:val="00D0042E"/>
    <w:rsid w:val="00D0115D"/>
    <w:rsid w:val="00D03047"/>
    <w:rsid w:val="00D047A4"/>
    <w:rsid w:val="00D064D9"/>
    <w:rsid w:val="00D07E72"/>
    <w:rsid w:val="00D11128"/>
    <w:rsid w:val="00D12974"/>
    <w:rsid w:val="00D162EB"/>
    <w:rsid w:val="00D2309A"/>
    <w:rsid w:val="00D240A5"/>
    <w:rsid w:val="00D26904"/>
    <w:rsid w:val="00D3260E"/>
    <w:rsid w:val="00D33101"/>
    <w:rsid w:val="00D331B9"/>
    <w:rsid w:val="00D33755"/>
    <w:rsid w:val="00D344E1"/>
    <w:rsid w:val="00D35FE4"/>
    <w:rsid w:val="00D36A1A"/>
    <w:rsid w:val="00D422BC"/>
    <w:rsid w:val="00D479DA"/>
    <w:rsid w:val="00D539B7"/>
    <w:rsid w:val="00D5458B"/>
    <w:rsid w:val="00D549FF"/>
    <w:rsid w:val="00D6008D"/>
    <w:rsid w:val="00D61D2C"/>
    <w:rsid w:val="00D6239C"/>
    <w:rsid w:val="00D6455A"/>
    <w:rsid w:val="00D6487B"/>
    <w:rsid w:val="00D70E17"/>
    <w:rsid w:val="00D72AD6"/>
    <w:rsid w:val="00D73370"/>
    <w:rsid w:val="00D76B01"/>
    <w:rsid w:val="00D77616"/>
    <w:rsid w:val="00D81177"/>
    <w:rsid w:val="00D822B9"/>
    <w:rsid w:val="00D823A2"/>
    <w:rsid w:val="00D8297B"/>
    <w:rsid w:val="00D914AD"/>
    <w:rsid w:val="00D91ABA"/>
    <w:rsid w:val="00D934C4"/>
    <w:rsid w:val="00D935AD"/>
    <w:rsid w:val="00D9497F"/>
    <w:rsid w:val="00D95873"/>
    <w:rsid w:val="00D95ACE"/>
    <w:rsid w:val="00D97601"/>
    <w:rsid w:val="00DA011C"/>
    <w:rsid w:val="00DA3568"/>
    <w:rsid w:val="00DA41CA"/>
    <w:rsid w:val="00DA4D9A"/>
    <w:rsid w:val="00DA50D7"/>
    <w:rsid w:val="00DB0862"/>
    <w:rsid w:val="00DB140F"/>
    <w:rsid w:val="00DB2AA5"/>
    <w:rsid w:val="00DB3612"/>
    <w:rsid w:val="00DB40F7"/>
    <w:rsid w:val="00DB471A"/>
    <w:rsid w:val="00DC3985"/>
    <w:rsid w:val="00DC756F"/>
    <w:rsid w:val="00DC77BB"/>
    <w:rsid w:val="00DD279E"/>
    <w:rsid w:val="00DD28CA"/>
    <w:rsid w:val="00DD7C72"/>
    <w:rsid w:val="00DE0084"/>
    <w:rsid w:val="00DE0797"/>
    <w:rsid w:val="00DE1B7E"/>
    <w:rsid w:val="00DE3862"/>
    <w:rsid w:val="00DE7AEB"/>
    <w:rsid w:val="00DF0908"/>
    <w:rsid w:val="00DF28BB"/>
    <w:rsid w:val="00DF2CE2"/>
    <w:rsid w:val="00E00398"/>
    <w:rsid w:val="00E01F75"/>
    <w:rsid w:val="00E033FC"/>
    <w:rsid w:val="00E07618"/>
    <w:rsid w:val="00E11DBB"/>
    <w:rsid w:val="00E15D71"/>
    <w:rsid w:val="00E16196"/>
    <w:rsid w:val="00E162F1"/>
    <w:rsid w:val="00E16DBA"/>
    <w:rsid w:val="00E17EF9"/>
    <w:rsid w:val="00E17FFC"/>
    <w:rsid w:val="00E20A86"/>
    <w:rsid w:val="00E21355"/>
    <w:rsid w:val="00E21C93"/>
    <w:rsid w:val="00E2207A"/>
    <w:rsid w:val="00E22B8E"/>
    <w:rsid w:val="00E22BD8"/>
    <w:rsid w:val="00E23713"/>
    <w:rsid w:val="00E24A13"/>
    <w:rsid w:val="00E24FF1"/>
    <w:rsid w:val="00E258C4"/>
    <w:rsid w:val="00E26CED"/>
    <w:rsid w:val="00E303C3"/>
    <w:rsid w:val="00E306A0"/>
    <w:rsid w:val="00E339D4"/>
    <w:rsid w:val="00E359AF"/>
    <w:rsid w:val="00E36061"/>
    <w:rsid w:val="00E37014"/>
    <w:rsid w:val="00E3715C"/>
    <w:rsid w:val="00E37B88"/>
    <w:rsid w:val="00E4110D"/>
    <w:rsid w:val="00E41E40"/>
    <w:rsid w:val="00E42CAD"/>
    <w:rsid w:val="00E42D04"/>
    <w:rsid w:val="00E43B07"/>
    <w:rsid w:val="00E4598F"/>
    <w:rsid w:val="00E45D4B"/>
    <w:rsid w:val="00E462E3"/>
    <w:rsid w:val="00E5040E"/>
    <w:rsid w:val="00E5457B"/>
    <w:rsid w:val="00E6205B"/>
    <w:rsid w:val="00E620CF"/>
    <w:rsid w:val="00E62ACE"/>
    <w:rsid w:val="00E6374C"/>
    <w:rsid w:val="00E64A0F"/>
    <w:rsid w:val="00E678C8"/>
    <w:rsid w:val="00E71A12"/>
    <w:rsid w:val="00E751A7"/>
    <w:rsid w:val="00E76881"/>
    <w:rsid w:val="00E84A38"/>
    <w:rsid w:val="00E850FF"/>
    <w:rsid w:val="00E85D1F"/>
    <w:rsid w:val="00E9148A"/>
    <w:rsid w:val="00E94204"/>
    <w:rsid w:val="00E94814"/>
    <w:rsid w:val="00E954DC"/>
    <w:rsid w:val="00EA083D"/>
    <w:rsid w:val="00EA0AAA"/>
    <w:rsid w:val="00EA1519"/>
    <w:rsid w:val="00EA2DF8"/>
    <w:rsid w:val="00EA7C39"/>
    <w:rsid w:val="00EA7F0E"/>
    <w:rsid w:val="00EB280E"/>
    <w:rsid w:val="00EB316E"/>
    <w:rsid w:val="00EB6095"/>
    <w:rsid w:val="00EB7C52"/>
    <w:rsid w:val="00EC0B64"/>
    <w:rsid w:val="00EC12DC"/>
    <w:rsid w:val="00EC2F95"/>
    <w:rsid w:val="00ED1148"/>
    <w:rsid w:val="00ED47EA"/>
    <w:rsid w:val="00ED4A9B"/>
    <w:rsid w:val="00ED5F6D"/>
    <w:rsid w:val="00ED6343"/>
    <w:rsid w:val="00EE12EF"/>
    <w:rsid w:val="00EE29D3"/>
    <w:rsid w:val="00EE2F55"/>
    <w:rsid w:val="00EE7471"/>
    <w:rsid w:val="00EF1655"/>
    <w:rsid w:val="00EF367A"/>
    <w:rsid w:val="00EF3AAB"/>
    <w:rsid w:val="00EF6458"/>
    <w:rsid w:val="00EF73F0"/>
    <w:rsid w:val="00F02B32"/>
    <w:rsid w:val="00F06063"/>
    <w:rsid w:val="00F07152"/>
    <w:rsid w:val="00F1031F"/>
    <w:rsid w:val="00F10AAF"/>
    <w:rsid w:val="00F1129E"/>
    <w:rsid w:val="00F15318"/>
    <w:rsid w:val="00F1585E"/>
    <w:rsid w:val="00F16287"/>
    <w:rsid w:val="00F212A7"/>
    <w:rsid w:val="00F21D86"/>
    <w:rsid w:val="00F23AC9"/>
    <w:rsid w:val="00F24239"/>
    <w:rsid w:val="00F33B7C"/>
    <w:rsid w:val="00F33F7B"/>
    <w:rsid w:val="00F34B60"/>
    <w:rsid w:val="00F37274"/>
    <w:rsid w:val="00F37F06"/>
    <w:rsid w:val="00F41453"/>
    <w:rsid w:val="00F44C34"/>
    <w:rsid w:val="00F454FC"/>
    <w:rsid w:val="00F45793"/>
    <w:rsid w:val="00F458B0"/>
    <w:rsid w:val="00F464C2"/>
    <w:rsid w:val="00F47EE4"/>
    <w:rsid w:val="00F47FE9"/>
    <w:rsid w:val="00F500F3"/>
    <w:rsid w:val="00F52BD7"/>
    <w:rsid w:val="00F54D59"/>
    <w:rsid w:val="00F5586D"/>
    <w:rsid w:val="00F5603F"/>
    <w:rsid w:val="00F561D3"/>
    <w:rsid w:val="00F626B0"/>
    <w:rsid w:val="00F63C30"/>
    <w:rsid w:val="00F63FAB"/>
    <w:rsid w:val="00F642E8"/>
    <w:rsid w:val="00F64931"/>
    <w:rsid w:val="00F64D6B"/>
    <w:rsid w:val="00F665C9"/>
    <w:rsid w:val="00F667B4"/>
    <w:rsid w:val="00F70CF8"/>
    <w:rsid w:val="00F71C77"/>
    <w:rsid w:val="00F72387"/>
    <w:rsid w:val="00F730FF"/>
    <w:rsid w:val="00F75FC5"/>
    <w:rsid w:val="00F83B1A"/>
    <w:rsid w:val="00F84F9D"/>
    <w:rsid w:val="00F86229"/>
    <w:rsid w:val="00F90DEB"/>
    <w:rsid w:val="00F9218A"/>
    <w:rsid w:val="00F93A19"/>
    <w:rsid w:val="00F9421B"/>
    <w:rsid w:val="00F95FA0"/>
    <w:rsid w:val="00F97DCF"/>
    <w:rsid w:val="00FA0C43"/>
    <w:rsid w:val="00FA3DEB"/>
    <w:rsid w:val="00FB071B"/>
    <w:rsid w:val="00FB2260"/>
    <w:rsid w:val="00FB468B"/>
    <w:rsid w:val="00FB5ABC"/>
    <w:rsid w:val="00FC419F"/>
    <w:rsid w:val="00FC60DA"/>
    <w:rsid w:val="00FD00CB"/>
    <w:rsid w:val="00FD40C0"/>
    <w:rsid w:val="00FD4AB7"/>
    <w:rsid w:val="00FD7CD3"/>
    <w:rsid w:val="00FE1DAE"/>
    <w:rsid w:val="00FE53C6"/>
    <w:rsid w:val="00FE5720"/>
    <w:rsid w:val="00FE6E5E"/>
    <w:rsid w:val="00FF08A0"/>
    <w:rsid w:val="00FF0C96"/>
    <w:rsid w:val="00FF6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28A43B"/>
  <w15:chartTrackingRefBased/>
  <w15:docId w15:val="{99D7C16A-E9B8-4146-B1BD-2236B85D9F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552B"/>
  </w:style>
  <w:style w:type="paragraph" w:styleId="Heading1">
    <w:name w:val="heading 1"/>
    <w:basedOn w:val="Normal"/>
    <w:next w:val="Normal"/>
    <w:link w:val="Heading1Char"/>
    <w:uiPriority w:val="9"/>
    <w:qFormat/>
    <w:rsid w:val="00260204"/>
    <w:pPr>
      <w:keepNext/>
      <w:keepLines/>
      <w:spacing w:before="120" w:after="120" w:line="240" w:lineRule="auto"/>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C1480A"/>
    <w:pPr>
      <w:keepNext/>
      <w:keepLines/>
      <w:spacing w:before="360" w:after="240" w:line="360" w:lineRule="auto"/>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uiPriority w:val="9"/>
    <w:unhideWhenUsed/>
    <w:qFormat/>
    <w:rsid w:val="009E156C"/>
    <w:pPr>
      <w:keepNext/>
      <w:keepLines/>
      <w:spacing w:before="40" w:after="240"/>
      <w:outlineLvl w:val="2"/>
    </w:pPr>
    <w:rPr>
      <w:rFonts w:ascii="Times New Roman" w:eastAsiaTheme="majorEastAsia" w:hAnsi="Times New Roman"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17754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77541"/>
    <w:rPr>
      <w:rFonts w:eastAsiaTheme="minorEastAsia"/>
      <w:color w:val="5A5A5A" w:themeColor="text1" w:themeTint="A5"/>
      <w:spacing w:val="15"/>
    </w:rPr>
  </w:style>
  <w:style w:type="paragraph" w:customStyle="1" w:styleId="Sekcje">
    <w:name w:val="Sekcje"/>
    <w:basedOn w:val="Heading1"/>
    <w:next w:val="Heading1"/>
    <w:qFormat/>
    <w:rsid w:val="00177541"/>
    <w:rPr>
      <w:b w:val="0"/>
    </w:rPr>
  </w:style>
  <w:style w:type="character" w:customStyle="1" w:styleId="Heading1Char">
    <w:name w:val="Heading 1 Char"/>
    <w:basedOn w:val="DefaultParagraphFont"/>
    <w:link w:val="Heading1"/>
    <w:uiPriority w:val="9"/>
    <w:rsid w:val="00260204"/>
    <w:rPr>
      <w:rFonts w:ascii="Times New Roman" w:eastAsiaTheme="majorEastAsia" w:hAnsi="Times New Roman" w:cstheme="majorBidi"/>
      <w:b/>
      <w:sz w:val="28"/>
      <w:szCs w:val="32"/>
    </w:rPr>
  </w:style>
  <w:style w:type="paragraph" w:styleId="TOCHeading">
    <w:name w:val="TOC Heading"/>
    <w:basedOn w:val="Heading1"/>
    <w:next w:val="Normal"/>
    <w:uiPriority w:val="39"/>
    <w:unhideWhenUsed/>
    <w:qFormat/>
    <w:rsid w:val="00177541"/>
    <w:pPr>
      <w:outlineLvl w:val="9"/>
    </w:pPr>
  </w:style>
  <w:style w:type="paragraph" w:styleId="TOC2">
    <w:name w:val="toc 2"/>
    <w:basedOn w:val="Normal"/>
    <w:next w:val="Normal"/>
    <w:autoRedefine/>
    <w:uiPriority w:val="39"/>
    <w:unhideWhenUsed/>
    <w:rsid w:val="00177541"/>
    <w:pPr>
      <w:spacing w:after="100"/>
      <w:ind w:left="220"/>
    </w:pPr>
    <w:rPr>
      <w:rFonts w:eastAsiaTheme="minorEastAsia" w:cs="Times New Roman"/>
    </w:rPr>
  </w:style>
  <w:style w:type="paragraph" w:styleId="TOC1">
    <w:name w:val="toc 1"/>
    <w:basedOn w:val="Normal"/>
    <w:next w:val="Normal"/>
    <w:autoRedefine/>
    <w:uiPriority w:val="39"/>
    <w:unhideWhenUsed/>
    <w:rsid w:val="007576CD"/>
    <w:pPr>
      <w:tabs>
        <w:tab w:val="right" w:leader="dot" w:pos="9372"/>
      </w:tabs>
      <w:spacing w:after="100"/>
    </w:pPr>
    <w:rPr>
      <w:rFonts w:eastAsiaTheme="minorEastAsia" w:cs="Times New Roman"/>
    </w:rPr>
  </w:style>
  <w:style w:type="paragraph" w:styleId="TOC3">
    <w:name w:val="toc 3"/>
    <w:basedOn w:val="Normal"/>
    <w:next w:val="Normal"/>
    <w:autoRedefine/>
    <w:uiPriority w:val="39"/>
    <w:unhideWhenUsed/>
    <w:rsid w:val="00177541"/>
    <w:pPr>
      <w:spacing w:after="100"/>
      <w:ind w:left="440"/>
    </w:pPr>
    <w:rPr>
      <w:rFonts w:eastAsiaTheme="minorEastAsia" w:cs="Times New Roman"/>
    </w:rPr>
  </w:style>
  <w:style w:type="character" w:styleId="Hyperlink">
    <w:name w:val="Hyperlink"/>
    <w:basedOn w:val="DefaultParagraphFont"/>
    <w:uiPriority w:val="99"/>
    <w:unhideWhenUsed/>
    <w:rsid w:val="00167F0B"/>
    <w:rPr>
      <w:color w:val="0563C1" w:themeColor="hyperlink"/>
      <w:u w:val="single"/>
    </w:rPr>
  </w:style>
  <w:style w:type="character" w:customStyle="1" w:styleId="Heading2Char">
    <w:name w:val="Heading 2 Char"/>
    <w:basedOn w:val="DefaultParagraphFont"/>
    <w:link w:val="Heading2"/>
    <w:uiPriority w:val="9"/>
    <w:rsid w:val="00C1480A"/>
    <w:rPr>
      <w:rFonts w:ascii="Times New Roman" w:eastAsiaTheme="majorEastAsia" w:hAnsi="Times New Roman" w:cstheme="majorBidi"/>
      <w:b/>
      <w:sz w:val="24"/>
      <w:szCs w:val="26"/>
    </w:rPr>
  </w:style>
  <w:style w:type="paragraph" w:styleId="Header">
    <w:name w:val="header"/>
    <w:basedOn w:val="Normal"/>
    <w:link w:val="HeaderChar"/>
    <w:uiPriority w:val="99"/>
    <w:unhideWhenUsed/>
    <w:rsid w:val="0050008B"/>
    <w:pPr>
      <w:tabs>
        <w:tab w:val="center" w:pos="4536"/>
        <w:tab w:val="right" w:pos="9072"/>
      </w:tabs>
      <w:spacing w:after="0" w:line="240" w:lineRule="auto"/>
    </w:pPr>
  </w:style>
  <w:style w:type="character" w:customStyle="1" w:styleId="HeaderChar">
    <w:name w:val="Header Char"/>
    <w:basedOn w:val="DefaultParagraphFont"/>
    <w:link w:val="Header"/>
    <w:uiPriority w:val="99"/>
    <w:rsid w:val="0050008B"/>
  </w:style>
  <w:style w:type="paragraph" w:styleId="Footer">
    <w:name w:val="footer"/>
    <w:basedOn w:val="Normal"/>
    <w:link w:val="FooterChar"/>
    <w:uiPriority w:val="99"/>
    <w:unhideWhenUsed/>
    <w:rsid w:val="0050008B"/>
    <w:pPr>
      <w:tabs>
        <w:tab w:val="center" w:pos="4536"/>
        <w:tab w:val="right" w:pos="9072"/>
      </w:tabs>
      <w:spacing w:after="0" w:line="240" w:lineRule="auto"/>
    </w:pPr>
  </w:style>
  <w:style w:type="character" w:customStyle="1" w:styleId="FooterChar">
    <w:name w:val="Footer Char"/>
    <w:basedOn w:val="DefaultParagraphFont"/>
    <w:link w:val="Footer"/>
    <w:uiPriority w:val="99"/>
    <w:rsid w:val="0050008B"/>
  </w:style>
  <w:style w:type="paragraph" w:styleId="ListParagraph">
    <w:name w:val="List Paragraph"/>
    <w:basedOn w:val="Normal"/>
    <w:uiPriority w:val="34"/>
    <w:qFormat/>
    <w:rsid w:val="00260204"/>
    <w:pPr>
      <w:spacing w:after="120" w:line="240" w:lineRule="auto"/>
      <w:ind w:left="720"/>
      <w:contextualSpacing/>
    </w:pPr>
  </w:style>
  <w:style w:type="paragraph" w:styleId="Caption">
    <w:name w:val="caption"/>
    <w:basedOn w:val="Normal"/>
    <w:next w:val="Normal"/>
    <w:uiPriority w:val="35"/>
    <w:unhideWhenUsed/>
    <w:qFormat/>
    <w:rsid w:val="00D162EB"/>
    <w:pPr>
      <w:spacing w:after="200" w:line="240" w:lineRule="auto"/>
    </w:pPr>
    <w:rPr>
      <w:rFonts w:ascii="Times New Roman" w:eastAsia="Times New Roman" w:hAnsi="Times New Roman" w:cs="Times New Roman"/>
      <w:i/>
      <w:iCs/>
      <w:szCs w:val="18"/>
      <w:lang w:val="pl-PL"/>
    </w:rPr>
  </w:style>
  <w:style w:type="character" w:customStyle="1" w:styleId="Heading3Char">
    <w:name w:val="Heading 3 Char"/>
    <w:basedOn w:val="DefaultParagraphFont"/>
    <w:link w:val="Heading3"/>
    <w:uiPriority w:val="9"/>
    <w:rsid w:val="009E156C"/>
    <w:rPr>
      <w:rFonts w:ascii="Times New Roman" w:eastAsiaTheme="majorEastAsia" w:hAnsi="Times New Roman" w:cstheme="majorBidi"/>
      <w:sz w:val="24"/>
      <w:szCs w:val="24"/>
    </w:rPr>
  </w:style>
  <w:style w:type="character" w:styleId="CommentReference">
    <w:name w:val="annotation reference"/>
    <w:basedOn w:val="DefaultParagraphFont"/>
    <w:uiPriority w:val="99"/>
    <w:semiHidden/>
    <w:unhideWhenUsed/>
    <w:rsid w:val="006737C3"/>
    <w:rPr>
      <w:sz w:val="16"/>
      <w:szCs w:val="16"/>
    </w:rPr>
  </w:style>
  <w:style w:type="paragraph" w:styleId="CommentText">
    <w:name w:val="annotation text"/>
    <w:basedOn w:val="Normal"/>
    <w:link w:val="CommentTextChar"/>
    <w:uiPriority w:val="99"/>
    <w:semiHidden/>
    <w:unhideWhenUsed/>
    <w:rsid w:val="006737C3"/>
    <w:pPr>
      <w:spacing w:line="240" w:lineRule="auto"/>
    </w:pPr>
    <w:rPr>
      <w:sz w:val="20"/>
      <w:szCs w:val="20"/>
    </w:rPr>
  </w:style>
  <w:style w:type="character" w:customStyle="1" w:styleId="CommentTextChar">
    <w:name w:val="Comment Text Char"/>
    <w:basedOn w:val="DefaultParagraphFont"/>
    <w:link w:val="CommentText"/>
    <w:uiPriority w:val="99"/>
    <w:semiHidden/>
    <w:rsid w:val="006737C3"/>
    <w:rPr>
      <w:sz w:val="20"/>
      <w:szCs w:val="20"/>
    </w:rPr>
  </w:style>
  <w:style w:type="paragraph" w:styleId="CommentSubject">
    <w:name w:val="annotation subject"/>
    <w:basedOn w:val="CommentText"/>
    <w:next w:val="CommentText"/>
    <w:link w:val="CommentSubjectChar"/>
    <w:uiPriority w:val="99"/>
    <w:semiHidden/>
    <w:unhideWhenUsed/>
    <w:rsid w:val="006737C3"/>
    <w:rPr>
      <w:b/>
      <w:bCs/>
    </w:rPr>
  </w:style>
  <w:style w:type="character" w:customStyle="1" w:styleId="CommentSubjectChar">
    <w:name w:val="Comment Subject Char"/>
    <w:basedOn w:val="CommentTextChar"/>
    <w:link w:val="CommentSubject"/>
    <w:uiPriority w:val="99"/>
    <w:semiHidden/>
    <w:rsid w:val="006737C3"/>
    <w:rPr>
      <w:b/>
      <w:bCs/>
      <w:sz w:val="20"/>
      <w:szCs w:val="20"/>
    </w:rPr>
  </w:style>
  <w:style w:type="paragraph" w:styleId="BalloonText">
    <w:name w:val="Balloon Text"/>
    <w:basedOn w:val="Normal"/>
    <w:link w:val="BalloonTextChar"/>
    <w:uiPriority w:val="99"/>
    <w:semiHidden/>
    <w:unhideWhenUsed/>
    <w:rsid w:val="006737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37C3"/>
    <w:rPr>
      <w:rFonts w:ascii="Segoe UI" w:hAnsi="Segoe UI" w:cs="Segoe UI"/>
      <w:sz w:val="18"/>
      <w:szCs w:val="18"/>
    </w:rPr>
  </w:style>
  <w:style w:type="table" w:styleId="TableGrid">
    <w:name w:val="Table Grid"/>
    <w:basedOn w:val="TableNormal"/>
    <w:uiPriority w:val="39"/>
    <w:rsid w:val="000D12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0D12A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D12A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D12A3"/>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3">
    <w:name w:val="Plain Table 3"/>
    <w:basedOn w:val="TableNormal"/>
    <w:uiPriority w:val="43"/>
    <w:rsid w:val="0032259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32259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PlaceholderText">
    <w:name w:val="Placeholder Text"/>
    <w:basedOn w:val="DefaultParagraphFont"/>
    <w:uiPriority w:val="99"/>
    <w:semiHidden/>
    <w:rsid w:val="00111376"/>
    <w:rPr>
      <w:color w:val="808080"/>
    </w:rPr>
  </w:style>
  <w:style w:type="paragraph" w:styleId="NormalWeb">
    <w:name w:val="Normal (Web)"/>
    <w:basedOn w:val="Normal"/>
    <w:uiPriority w:val="99"/>
    <w:semiHidden/>
    <w:unhideWhenUsed/>
    <w:rsid w:val="00AF531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1">
    <w:name w:val="Unresolved Mention1"/>
    <w:basedOn w:val="DefaultParagraphFont"/>
    <w:uiPriority w:val="99"/>
    <w:semiHidden/>
    <w:unhideWhenUsed/>
    <w:rsid w:val="00B968D8"/>
    <w:rPr>
      <w:color w:val="808080"/>
      <w:shd w:val="clear" w:color="auto" w:fill="E6E6E6"/>
    </w:rPr>
  </w:style>
  <w:style w:type="table" w:styleId="TableGridLight">
    <w:name w:val="Grid Table Light"/>
    <w:basedOn w:val="TableNormal"/>
    <w:uiPriority w:val="40"/>
    <w:rsid w:val="009C198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5A4CEB"/>
    <w:pPr>
      <w:spacing w:after="0" w:line="240" w:lineRule="auto"/>
    </w:pPr>
  </w:style>
  <w:style w:type="character" w:styleId="UnresolvedMention">
    <w:name w:val="Unresolved Mention"/>
    <w:basedOn w:val="DefaultParagraphFont"/>
    <w:uiPriority w:val="99"/>
    <w:semiHidden/>
    <w:unhideWhenUsed/>
    <w:rsid w:val="00FD4AB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462492">
      <w:bodyDiv w:val="1"/>
      <w:marLeft w:val="0"/>
      <w:marRight w:val="0"/>
      <w:marTop w:val="0"/>
      <w:marBottom w:val="0"/>
      <w:divBdr>
        <w:top w:val="none" w:sz="0" w:space="0" w:color="auto"/>
        <w:left w:val="none" w:sz="0" w:space="0" w:color="auto"/>
        <w:bottom w:val="none" w:sz="0" w:space="0" w:color="auto"/>
        <w:right w:val="none" w:sz="0" w:space="0" w:color="auto"/>
      </w:divBdr>
    </w:div>
    <w:div w:id="249698875">
      <w:bodyDiv w:val="1"/>
      <w:marLeft w:val="0"/>
      <w:marRight w:val="0"/>
      <w:marTop w:val="0"/>
      <w:marBottom w:val="0"/>
      <w:divBdr>
        <w:top w:val="none" w:sz="0" w:space="0" w:color="auto"/>
        <w:left w:val="none" w:sz="0" w:space="0" w:color="auto"/>
        <w:bottom w:val="none" w:sz="0" w:space="0" w:color="auto"/>
        <w:right w:val="none" w:sz="0" w:space="0" w:color="auto"/>
      </w:divBdr>
    </w:div>
    <w:div w:id="455025069">
      <w:bodyDiv w:val="1"/>
      <w:marLeft w:val="0"/>
      <w:marRight w:val="0"/>
      <w:marTop w:val="0"/>
      <w:marBottom w:val="0"/>
      <w:divBdr>
        <w:top w:val="none" w:sz="0" w:space="0" w:color="auto"/>
        <w:left w:val="none" w:sz="0" w:space="0" w:color="auto"/>
        <w:bottom w:val="none" w:sz="0" w:space="0" w:color="auto"/>
        <w:right w:val="none" w:sz="0" w:space="0" w:color="auto"/>
      </w:divBdr>
    </w:div>
    <w:div w:id="598756921">
      <w:bodyDiv w:val="1"/>
      <w:marLeft w:val="0"/>
      <w:marRight w:val="0"/>
      <w:marTop w:val="0"/>
      <w:marBottom w:val="0"/>
      <w:divBdr>
        <w:top w:val="none" w:sz="0" w:space="0" w:color="auto"/>
        <w:left w:val="none" w:sz="0" w:space="0" w:color="auto"/>
        <w:bottom w:val="none" w:sz="0" w:space="0" w:color="auto"/>
        <w:right w:val="none" w:sz="0" w:space="0" w:color="auto"/>
      </w:divBdr>
    </w:div>
    <w:div w:id="693658290">
      <w:bodyDiv w:val="1"/>
      <w:marLeft w:val="0"/>
      <w:marRight w:val="0"/>
      <w:marTop w:val="0"/>
      <w:marBottom w:val="0"/>
      <w:divBdr>
        <w:top w:val="none" w:sz="0" w:space="0" w:color="auto"/>
        <w:left w:val="none" w:sz="0" w:space="0" w:color="auto"/>
        <w:bottom w:val="none" w:sz="0" w:space="0" w:color="auto"/>
        <w:right w:val="none" w:sz="0" w:space="0" w:color="auto"/>
      </w:divBdr>
    </w:div>
    <w:div w:id="924612064">
      <w:bodyDiv w:val="1"/>
      <w:marLeft w:val="0"/>
      <w:marRight w:val="0"/>
      <w:marTop w:val="0"/>
      <w:marBottom w:val="0"/>
      <w:divBdr>
        <w:top w:val="none" w:sz="0" w:space="0" w:color="auto"/>
        <w:left w:val="none" w:sz="0" w:space="0" w:color="auto"/>
        <w:bottom w:val="none" w:sz="0" w:space="0" w:color="auto"/>
        <w:right w:val="none" w:sz="0" w:space="0" w:color="auto"/>
      </w:divBdr>
    </w:div>
    <w:div w:id="1044714643">
      <w:bodyDiv w:val="1"/>
      <w:marLeft w:val="0"/>
      <w:marRight w:val="0"/>
      <w:marTop w:val="0"/>
      <w:marBottom w:val="0"/>
      <w:divBdr>
        <w:top w:val="none" w:sz="0" w:space="0" w:color="auto"/>
        <w:left w:val="none" w:sz="0" w:space="0" w:color="auto"/>
        <w:bottom w:val="none" w:sz="0" w:space="0" w:color="auto"/>
        <w:right w:val="none" w:sz="0" w:space="0" w:color="auto"/>
      </w:divBdr>
      <w:divsChild>
        <w:div w:id="447506057">
          <w:marLeft w:val="0"/>
          <w:marRight w:val="0"/>
          <w:marTop w:val="0"/>
          <w:marBottom w:val="0"/>
          <w:divBdr>
            <w:top w:val="none" w:sz="0" w:space="0" w:color="auto"/>
            <w:left w:val="none" w:sz="0" w:space="0" w:color="auto"/>
            <w:bottom w:val="none" w:sz="0" w:space="0" w:color="auto"/>
            <w:right w:val="none" w:sz="0" w:space="0" w:color="auto"/>
          </w:divBdr>
        </w:div>
        <w:div w:id="516047641">
          <w:marLeft w:val="0"/>
          <w:marRight w:val="0"/>
          <w:marTop w:val="0"/>
          <w:marBottom w:val="0"/>
          <w:divBdr>
            <w:top w:val="none" w:sz="0" w:space="0" w:color="auto"/>
            <w:left w:val="none" w:sz="0" w:space="0" w:color="auto"/>
            <w:bottom w:val="none" w:sz="0" w:space="0" w:color="auto"/>
            <w:right w:val="none" w:sz="0" w:space="0" w:color="auto"/>
          </w:divBdr>
        </w:div>
        <w:div w:id="526989037">
          <w:marLeft w:val="0"/>
          <w:marRight w:val="0"/>
          <w:marTop w:val="0"/>
          <w:marBottom w:val="0"/>
          <w:divBdr>
            <w:top w:val="none" w:sz="0" w:space="0" w:color="auto"/>
            <w:left w:val="none" w:sz="0" w:space="0" w:color="auto"/>
            <w:bottom w:val="none" w:sz="0" w:space="0" w:color="auto"/>
            <w:right w:val="none" w:sz="0" w:space="0" w:color="auto"/>
          </w:divBdr>
        </w:div>
        <w:div w:id="575744774">
          <w:marLeft w:val="0"/>
          <w:marRight w:val="0"/>
          <w:marTop w:val="0"/>
          <w:marBottom w:val="0"/>
          <w:divBdr>
            <w:top w:val="none" w:sz="0" w:space="0" w:color="auto"/>
            <w:left w:val="none" w:sz="0" w:space="0" w:color="auto"/>
            <w:bottom w:val="none" w:sz="0" w:space="0" w:color="auto"/>
            <w:right w:val="none" w:sz="0" w:space="0" w:color="auto"/>
          </w:divBdr>
        </w:div>
        <w:div w:id="767891572">
          <w:marLeft w:val="0"/>
          <w:marRight w:val="0"/>
          <w:marTop w:val="0"/>
          <w:marBottom w:val="0"/>
          <w:divBdr>
            <w:top w:val="none" w:sz="0" w:space="0" w:color="auto"/>
            <w:left w:val="none" w:sz="0" w:space="0" w:color="auto"/>
            <w:bottom w:val="none" w:sz="0" w:space="0" w:color="auto"/>
            <w:right w:val="none" w:sz="0" w:space="0" w:color="auto"/>
          </w:divBdr>
        </w:div>
      </w:divsChild>
    </w:div>
    <w:div w:id="1061290681">
      <w:bodyDiv w:val="1"/>
      <w:marLeft w:val="0"/>
      <w:marRight w:val="0"/>
      <w:marTop w:val="0"/>
      <w:marBottom w:val="0"/>
      <w:divBdr>
        <w:top w:val="none" w:sz="0" w:space="0" w:color="auto"/>
        <w:left w:val="none" w:sz="0" w:space="0" w:color="auto"/>
        <w:bottom w:val="none" w:sz="0" w:space="0" w:color="auto"/>
        <w:right w:val="none" w:sz="0" w:space="0" w:color="auto"/>
      </w:divBdr>
    </w:div>
    <w:div w:id="1066611723">
      <w:bodyDiv w:val="1"/>
      <w:marLeft w:val="0"/>
      <w:marRight w:val="0"/>
      <w:marTop w:val="0"/>
      <w:marBottom w:val="0"/>
      <w:divBdr>
        <w:top w:val="none" w:sz="0" w:space="0" w:color="auto"/>
        <w:left w:val="none" w:sz="0" w:space="0" w:color="auto"/>
        <w:bottom w:val="none" w:sz="0" w:space="0" w:color="auto"/>
        <w:right w:val="none" w:sz="0" w:space="0" w:color="auto"/>
      </w:divBdr>
    </w:div>
    <w:div w:id="1204098621">
      <w:bodyDiv w:val="1"/>
      <w:marLeft w:val="0"/>
      <w:marRight w:val="0"/>
      <w:marTop w:val="0"/>
      <w:marBottom w:val="0"/>
      <w:divBdr>
        <w:top w:val="none" w:sz="0" w:space="0" w:color="auto"/>
        <w:left w:val="none" w:sz="0" w:space="0" w:color="auto"/>
        <w:bottom w:val="none" w:sz="0" w:space="0" w:color="auto"/>
        <w:right w:val="none" w:sz="0" w:space="0" w:color="auto"/>
      </w:divBdr>
    </w:div>
    <w:div w:id="1285308001">
      <w:bodyDiv w:val="1"/>
      <w:marLeft w:val="0"/>
      <w:marRight w:val="0"/>
      <w:marTop w:val="0"/>
      <w:marBottom w:val="0"/>
      <w:divBdr>
        <w:top w:val="none" w:sz="0" w:space="0" w:color="auto"/>
        <w:left w:val="none" w:sz="0" w:space="0" w:color="auto"/>
        <w:bottom w:val="none" w:sz="0" w:space="0" w:color="auto"/>
        <w:right w:val="none" w:sz="0" w:space="0" w:color="auto"/>
      </w:divBdr>
      <w:divsChild>
        <w:div w:id="1854296859">
          <w:marLeft w:val="0"/>
          <w:marRight w:val="0"/>
          <w:marTop w:val="0"/>
          <w:marBottom w:val="0"/>
          <w:divBdr>
            <w:top w:val="none" w:sz="0" w:space="0" w:color="auto"/>
            <w:left w:val="none" w:sz="0" w:space="0" w:color="auto"/>
            <w:bottom w:val="none" w:sz="0" w:space="0" w:color="auto"/>
            <w:right w:val="none" w:sz="0" w:space="0" w:color="auto"/>
          </w:divBdr>
        </w:div>
      </w:divsChild>
    </w:div>
    <w:div w:id="1298872222">
      <w:bodyDiv w:val="1"/>
      <w:marLeft w:val="0"/>
      <w:marRight w:val="0"/>
      <w:marTop w:val="0"/>
      <w:marBottom w:val="0"/>
      <w:divBdr>
        <w:top w:val="none" w:sz="0" w:space="0" w:color="auto"/>
        <w:left w:val="none" w:sz="0" w:space="0" w:color="auto"/>
        <w:bottom w:val="none" w:sz="0" w:space="0" w:color="auto"/>
        <w:right w:val="none" w:sz="0" w:space="0" w:color="auto"/>
      </w:divBdr>
    </w:div>
    <w:div w:id="1608155031">
      <w:bodyDiv w:val="1"/>
      <w:marLeft w:val="0"/>
      <w:marRight w:val="0"/>
      <w:marTop w:val="0"/>
      <w:marBottom w:val="0"/>
      <w:divBdr>
        <w:top w:val="none" w:sz="0" w:space="0" w:color="auto"/>
        <w:left w:val="none" w:sz="0" w:space="0" w:color="auto"/>
        <w:bottom w:val="none" w:sz="0" w:space="0" w:color="auto"/>
        <w:right w:val="none" w:sz="0" w:space="0" w:color="auto"/>
      </w:divBdr>
    </w:div>
    <w:div w:id="1621453842">
      <w:bodyDiv w:val="1"/>
      <w:marLeft w:val="0"/>
      <w:marRight w:val="0"/>
      <w:marTop w:val="0"/>
      <w:marBottom w:val="0"/>
      <w:divBdr>
        <w:top w:val="none" w:sz="0" w:space="0" w:color="auto"/>
        <w:left w:val="none" w:sz="0" w:space="0" w:color="auto"/>
        <w:bottom w:val="none" w:sz="0" w:space="0" w:color="auto"/>
        <w:right w:val="none" w:sz="0" w:space="0" w:color="auto"/>
      </w:divBdr>
    </w:div>
    <w:div w:id="1707096448">
      <w:bodyDiv w:val="1"/>
      <w:marLeft w:val="0"/>
      <w:marRight w:val="0"/>
      <w:marTop w:val="0"/>
      <w:marBottom w:val="0"/>
      <w:divBdr>
        <w:top w:val="none" w:sz="0" w:space="0" w:color="auto"/>
        <w:left w:val="none" w:sz="0" w:space="0" w:color="auto"/>
        <w:bottom w:val="none" w:sz="0" w:space="0" w:color="auto"/>
        <w:right w:val="none" w:sz="0" w:space="0" w:color="auto"/>
      </w:divBdr>
    </w:div>
    <w:div w:id="1764835263">
      <w:bodyDiv w:val="1"/>
      <w:marLeft w:val="0"/>
      <w:marRight w:val="0"/>
      <w:marTop w:val="0"/>
      <w:marBottom w:val="0"/>
      <w:divBdr>
        <w:top w:val="none" w:sz="0" w:space="0" w:color="auto"/>
        <w:left w:val="none" w:sz="0" w:space="0" w:color="auto"/>
        <w:bottom w:val="none" w:sz="0" w:space="0" w:color="auto"/>
        <w:right w:val="none" w:sz="0" w:space="0" w:color="auto"/>
      </w:divBdr>
    </w:div>
    <w:div w:id="1811825377">
      <w:bodyDiv w:val="1"/>
      <w:marLeft w:val="0"/>
      <w:marRight w:val="0"/>
      <w:marTop w:val="0"/>
      <w:marBottom w:val="0"/>
      <w:divBdr>
        <w:top w:val="none" w:sz="0" w:space="0" w:color="auto"/>
        <w:left w:val="none" w:sz="0" w:space="0" w:color="auto"/>
        <w:bottom w:val="none" w:sz="0" w:space="0" w:color="auto"/>
        <w:right w:val="none" w:sz="0" w:space="0" w:color="auto"/>
      </w:divBdr>
    </w:div>
    <w:div w:id="1972445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3386/w10587"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93/oxfordjournals.jleo.a036883" TargetMode="External"/><Relationship Id="rId2" Type="http://schemas.openxmlformats.org/officeDocument/2006/relationships/numbering" Target="numbering.xml"/><Relationship Id="rId16" Type="http://schemas.openxmlformats.org/officeDocument/2006/relationships/hyperlink" Target="https://doi.org/10.1016/j.jfineco.2007.03.007"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doi.org/10.1002/cjas.223" TargetMode="External"/><Relationship Id="rId10" Type="http://schemas.openxmlformats.org/officeDocument/2006/relationships/footer" Target="footer1.xml"/><Relationship Id="rId19" Type="http://schemas.openxmlformats.org/officeDocument/2006/relationships/hyperlink" Target="https://doi.org/10.1023/A:1008295500105"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doi.org/10.1093/qje/qjr0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6BBE84-5170-4091-88A8-4BC133473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703</TotalTime>
  <Pages>18</Pages>
  <Words>7434</Words>
  <Characters>42377</Characters>
  <Application>Microsoft Office Word</Application>
  <DocSecurity>0</DocSecurity>
  <Lines>353</Lines>
  <Paragraphs>99</Paragraphs>
  <ScaleCrop>false</ScaleCrop>
  <HeadingPairs>
    <vt:vector size="6" baseType="variant">
      <vt:variant>
        <vt:lpstr>Title</vt:lpstr>
      </vt:variant>
      <vt:variant>
        <vt:i4>1</vt:i4>
      </vt:variant>
      <vt:variant>
        <vt:lpstr>Tytuł</vt:lpstr>
      </vt:variant>
      <vt:variant>
        <vt:i4>1</vt:i4>
      </vt:variant>
      <vt:variant>
        <vt:lpstr>Titel</vt:lpstr>
      </vt:variant>
      <vt:variant>
        <vt:i4>1</vt:i4>
      </vt:variant>
    </vt:vector>
  </HeadingPairs>
  <TitlesOfParts>
    <vt:vector size="3" baseType="lpstr">
      <vt:lpstr/>
      <vt:lpstr/>
      <vt:lpstr/>
    </vt:vector>
  </TitlesOfParts>
  <Company>EUR</Company>
  <LinksUpToDate>false</LinksUpToDate>
  <CharactersWithSpaces>49712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Chadam</dc:creator>
  <cp:keywords/>
  <dc:description/>
  <cp:lastModifiedBy>Chadam, Aleksandra</cp:lastModifiedBy>
  <cp:revision>3</cp:revision>
  <cp:lastPrinted>2018-11-12T14:28:00Z</cp:lastPrinted>
  <dcterms:created xsi:type="dcterms:W3CDTF">2018-11-18T20:28:00Z</dcterms:created>
  <dcterms:modified xsi:type="dcterms:W3CDTF">2018-11-19T10:46:00Z</dcterms:modified>
</cp:coreProperties>
</file>