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8F8F" w14:textId="4EE385E9" w:rsidR="00E17C47" w:rsidRDefault="00E17C47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5829D91" w14:textId="77777777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C6CB33" w14:textId="77777777" w:rsidR="008E191B" w:rsidRDefault="008B50E5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 w:rsidRPr="008B50E5">
        <w:rPr>
          <w:rFonts w:ascii="Times" w:hAnsi="Times"/>
          <w:b/>
          <w:bCs/>
          <w:color w:val="C00000"/>
          <w:sz w:val="20"/>
          <w:szCs w:val="20"/>
          <w:lang w:val="en-US"/>
        </w:rPr>
        <w:t>The author and reviewers shall not know the identities of one another (double-blind review process).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</w:t>
      </w:r>
      <w:r w:rsidR="00C448FF" w:rsidRPr="00C448FF">
        <w:rPr>
          <w:rFonts w:ascii="Times" w:hAnsi="Times"/>
          <w:b/>
          <w:bCs/>
          <w:color w:val="C00000"/>
          <w:sz w:val="20"/>
          <w:szCs w:val="20"/>
          <w:lang w:val="en-US"/>
        </w:rPr>
        <w:t>Before sending the text to be peer-reviewed, the Editorial Board removes all the data that would make it possible to identify the author of the manuscript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. </w:t>
      </w:r>
    </w:p>
    <w:p w14:paraId="40081E9B" w14:textId="77777777" w:rsidR="00DC7018" w:rsidRDefault="00DC7018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</w:p>
    <w:p w14:paraId="6013A789" w14:textId="2A8EB6D0" w:rsidR="008B50E5" w:rsidRPr="008B50E5" w:rsidRDefault="00DB55B6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 w:rsidRPr="00DB55B6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The commentaries (glosses) shall be published in </w:t>
      </w:r>
      <w:r w:rsid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English</w:t>
      </w:r>
      <w:r w:rsidRPr="00DB55B6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or in </w:t>
      </w:r>
      <w:r w:rsid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Polish (a</w:t>
      </w:r>
      <w:r w:rsidR="000D4279" w:rsidRP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s a rule</w:t>
      </w:r>
      <w:r w:rsid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),</w:t>
      </w: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</w:t>
      </w:r>
      <w:r w:rsidR="000D4279" w:rsidRP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due to the practical nature of this form of publication and the specificity of the Polish legal language, and thus the possibility to pursue a regular dialogue between the courts and legal scholars.</w:t>
      </w:r>
    </w:p>
    <w:p w14:paraId="0AACBC1B" w14:textId="77777777" w:rsidR="008B50E5" w:rsidRDefault="008B50E5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AC23FE" w14:textId="3AB69CDE" w:rsidR="000238B6" w:rsidRPr="00EA1110" w:rsidRDefault="000238B6" w:rsidP="000238B6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en-US"/>
        </w:rPr>
      </w:pPr>
      <w:r w:rsidRPr="00907AAC">
        <w:rPr>
          <w:rFonts w:ascii="Times New Roman" w:hAnsi="Times New Roman"/>
          <w:sz w:val="24"/>
          <w:szCs w:val="24"/>
          <w:lang w:val="en-US"/>
        </w:rPr>
        <w:t xml:space="preserve">John </w:t>
      </w:r>
      <w:r w:rsidR="00907AAC" w:rsidRPr="00907AAC">
        <w:rPr>
          <w:rFonts w:ascii="Times New Roman" w:hAnsi="Times New Roman"/>
          <w:sz w:val="24"/>
          <w:szCs w:val="24"/>
          <w:lang w:val="en-US"/>
        </w:rPr>
        <w:t>S</w:t>
      </w:r>
      <w:r w:rsidR="00907AAC">
        <w:rPr>
          <w:rFonts w:ascii="Times New Roman" w:hAnsi="Times New Roman"/>
          <w:sz w:val="24"/>
          <w:szCs w:val="24"/>
          <w:lang w:val="en-US"/>
        </w:rPr>
        <w:t xml:space="preserve">mith </w:t>
      </w:r>
      <w:r w:rsidR="00EA1110" w:rsidRPr="00EA1110">
        <w:rPr>
          <w:rFonts w:ascii="Times" w:hAnsi="Times"/>
          <w:color w:val="808080"/>
          <w:sz w:val="24"/>
          <w:szCs w:val="24"/>
        </w:rPr>
        <w:t>(</w:t>
      </w:r>
      <w:r w:rsidR="00E05FCE" w:rsidRPr="00E05FCE">
        <w:rPr>
          <w:rFonts w:ascii="Times" w:hAnsi="Times"/>
          <w:color w:val="808080"/>
          <w:sz w:val="24"/>
          <w:szCs w:val="24"/>
        </w:rPr>
        <w:t xml:space="preserve">Name Surname </w:t>
      </w:r>
      <w:r w:rsidR="00E05FCE">
        <w:rPr>
          <w:rFonts w:ascii="Times" w:hAnsi="Times"/>
          <w:color w:val="808080"/>
          <w:sz w:val="24"/>
          <w:szCs w:val="24"/>
        </w:rPr>
        <w:t xml:space="preserve">- </w:t>
      </w:r>
      <w:r w:rsidR="00EA1110" w:rsidRPr="00EA1110">
        <w:rPr>
          <w:rFonts w:ascii="Times" w:hAnsi="Times"/>
          <w:color w:val="808080"/>
          <w:sz w:val="24"/>
          <w:szCs w:val="24"/>
        </w:rPr>
        <w:t>Times New Roman, 1</w:t>
      </w:r>
      <w:r w:rsidR="00EA1110">
        <w:rPr>
          <w:rFonts w:ascii="Times" w:hAnsi="Times"/>
          <w:color w:val="808080"/>
          <w:sz w:val="24"/>
          <w:szCs w:val="24"/>
        </w:rPr>
        <w:t>2</w:t>
      </w:r>
      <w:r w:rsidR="00EA1110" w:rsidRPr="00EA1110">
        <w:rPr>
          <w:rFonts w:ascii="Times" w:hAnsi="Times"/>
          <w:color w:val="808080"/>
          <w:sz w:val="24"/>
          <w:szCs w:val="24"/>
        </w:rPr>
        <w:t xml:space="preserve"> </w:t>
      </w:r>
      <w:proofErr w:type="spellStart"/>
      <w:r w:rsidR="00EA1110" w:rsidRPr="00EA1110">
        <w:rPr>
          <w:rFonts w:ascii="Times" w:hAnsi="Times"/>
          <w:color w:val="808080"/>
          <w:sz w:val="24"/>
          <w:szCs w:val="24"/>
        </w:rPr>
        <w:t>pt</w:t>
      </w:r>
      <w:proofErr w:type="spellEnd"/>
      <w:r w:rsidR="00EA1110" w:rsidRPr="00EA1110">
        <w:rPr>
          <w:rFonts w:ascii="Times" w:hAnsi="Times"/>
          <w:color w:val="808080"/>
          <w:sz w:val="24"/>
          <w:szCs w:val="24"/>
        </w:rPr>
        <w:t>)</w:t>
      </w:r>
    </w:p>
    <w:p w14:paraId="7EEDC706" w14:textId="113B3C8E" w:rsidR="000238B6" w:rsidRPr="00EA1110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</w:pPr>
      <w:r w:rsidRPr="00907AAC">
        <w:rPr>
          <w:rFonts w:ascii="Times New Roman" w:hAnsi="Times New Roman"/>
          <w:sz w:val="20"/>
          <w:szCs w:val="20"/>
          <w:lang w:val="en-US"/>
        </w:rPr>
        <w:t>Maria Curie-</w:t>
      </w:r>
      <w:proofErr w:type="spellStart"/>
      <w:r w:rsidRPr="00907AAC">
        <w:rPr>
          <w:rFonts w:ascii="Times New Roman" w:hAnsi="Times New Roman"/>
          <w:sz w:val="20"/>
          <w:szCs w:val="20"/>
          <w:lang w:val="en-US"/>
        </w:rPr>
        <w:t>Skłodowska</w:t>
      </w:r>
      <w:proofErr w:type="spellEnd"/>
      <w:r w:rsidRPr="00907AAC">
        <w:rPr>
          <w:rFonts w:ascii="Times New Roman" w:hAnsi="Times New Roman"/>
          <w:sz w:val="20"/>
          <w:szCs w:val="20"/>
          <w:lang w:val="en-US"/>
        </w:rPr>
        <w:t xml:space="preserve"> University, Poland</w:t>
      </w:r>
      <w:r w:rsidR="00EA111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(</w:t>
      </w:r>
      <w:r w:rsidR="00E232C0" w:rsidRP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affiliation</w:t>
      </w:r>
      <w:r w:rsid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 xml:space="preserve"> -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 xml:space="preserve">Times New Roman, 10 </w:t>
      </w:r>
      <w:proofErr w:type="spellStart"/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pt</w:t>
      </w:r>
      <w:proofErr w:type="spellEnd"/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)</w:t>
      </w:r>
    </w:p>
    <w:p w14:paraId="02F925D9" w14:textId="766CE612" w:rsidR="000238B6" w:rsidRPr="003C697D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>000</w:t>
      </w:r>
      <w:r w:rsidR="00EA1110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2B2DA244" w14:textId="1A36AF98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 w:rsidR="0027727E">
        <w:rPr>
          <w:rFonts w:ascii="Times New Roman" w:hAnsi="Times New Roman"/>
          <w:sz w:val="20"/>
          <w:szCs w:val="20"/>
        </w:rPr>
        <w:t>smith</w:t>
      </w:r>
      <w:r w:rsidRPr="00A567D8">
        <w:rPr>
          <w:rFonts w:ascii="Times New Roman" w:hAnsi="Times New Roman"/>
          <w:sz w:val="20"/>
          <w:szCs w:val="20"/>
        </w:rPr>
        <w:t>@umcs.pl</w:t>
      </w:r>
      <w:r w:rsidR="003C697D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="005C1D02"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 w:rsid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Times New Roman, 10 </w:t>
      </w:r>
      <w:proofErr w:type="spellStart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3238F01E" w14:textId="05D500A3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7862C61" w14:textId="516163CC" w:rsidR="00914ADF" w:rsidRDefault="00914ADF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64AE319" w14:textId="77777777" w:rsidR="00A9614A" w:rsidRPr="00A9614A" w:rsidRDefault="00914ADF" w:rsidP="00914AD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614A">
        <w:rPr>
          <w:rFonts w:ascii="Times New Roman" w:hAnsi="Times New Roman"/>
          <w:sz w:val="24"/>
          <w:szCs w:val="24"/>
        </w:rPr>
        <w:t xml:space="preserve">Title of </w:t>
      </w:r>
      <w:r w:rsidR="00112A35" w:rsidRPr="00A9614A">
        <w:rPr>
          <w:rFonts w:ascii="Times New Roman" w:hAnsi="Times New Roman"/>
          <w:sz w:val="24"/>
          <w:szCs w:val="24"/>
        </w:rPr>
        <w:t>the commentary on a judicial decision (gloss)</w:t>
      </w:r>
      <w:r w:rsidR="00A9614A" w:rsidRPr="00A9614A">
        <w:rPr>
          <w:rFonts w:ascii="Times New Roman" w:hAnsi="Times New Roman"/>
          <w:sz w:val="24"/>
          <w:szCs w:val="24"/>
        </w:rPr>
        <w:t xml:space="preserve"> </w:t>
      </w:r>
    </w:p>
    <w:p w14:paraId="0BB7A363" w14:textId="6B040DD9" w:rsidR="00914ADF" w:rsidRDefault="00546B35" w:rsidP="00914AD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46B35">
        <w:rPr>
          <w:rFonts w:ascii="Times New Roman" w:hAnsi="Times New Roman"/>
          <w:sz w:val="24"/>
          <w:szCs w:val="24"/>
        </w:rPr>
        <w:t>Example:</w:t>
      </w:r>
      <w:r w:rsidR="00A961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614A" w:rsidRPr="00A9614A">
        <w:rPr>
          <w:rFonts w:ascii="Times New Roman" w:hAnsi="Times New Roman"/>
          <w:b/>
          <w:bCs/>
          <w:sz w:val="24"/>
          <w:szCs w:val="24"/>
        </w:rPr>
        <w:t>The Mining Support May Be Classified as a Separate to Post-Mining Pit Retaining Structure and is Subjected to the Property Tax: The Approving Gloss to the Judgement of the Supreme Administrative Court of 10 January 2020 (II FSK 532/18 LEX no. 2777589)</w:t>
      </w:r>
    </w:p>
    <w:p w14:paraId="203E6BCB" w14:textId="2CCFBBEE" w:rsidR="00914ADF" w:rsidRPr="00E500F9" w:rsidRDefault="00914ADF" w:rsidP="00914AD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(Times New Roman, 12 </w:t>
      </w:r>
      <w:proofErr w:type="spellStart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pt</w:t>
      </w:r>
      <w:proofErr w:type="spellEnd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, </w:t>
      </w:r>
      <w:r w:rsidR="00111FB0"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B</w:t>
      </w: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old)</w:t>
      </w:r>
    </w:p>
    <w:p w14:paraId="098A81EF" w14:textId="77777777" w:rsidR="000238B6" w:rsidRPr="00A567D8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78F3C3" w14:textId="4A421034" w:rsidR="00F54E59" w:rsidRDefault="00E500F9" w:rsidP="00E500F9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ABSTRACT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E500F9">
        <w:rPr>
          <w:rFonts w:ascii="Times" w:hAnsi="Times"/>
          <w:color w:val="808080" w:themeColor="background1" w:themeShade="80"/>
          <w:sz w:val="20"/>
          <w:szCs w:val="20"/>
        </w:rPr>
        <w:t>pt</w:t>
      </w:r>
      <w:proofErr w:type="spellEnd"/>
      <w:r w:rsidR="006D3F42">
        <w:rPr>
          <w:rFonts w:ascii="Times" w:hAnsi="Times"/>
          <w:color w:val="808080" w:themeColor="background1" w:themeShade="80"/>
          <w:sz w:val="20"/>
          <w:szCs w:val="20"/>
        </w:rPr>
        <w:t>, 100-250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4E57F60D" w14:textId="233E5ECD" w:rsidR="00A511C4" w:rsidRDefault="00F67B79" w:rsidP="00157DAB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808080" w:themeColor="background1" w:themeShade="80"/>
          <w:sz w:val="20"/>
          <w:szCs w:val="20"/>
        </w:rPr>
        <w:t>T</w:t>
      </w:r>
      <w:r w:rsidRPr="00F67B79">
        <w:rPr>
          <w:rFonts w:ascii="Times" w:hAnsi="Times"/>
          <w:color w:val="000000" w:themeColor="text1"/>
          <w:sz w:val="20"/>
          <w:szCs w:val="20"/>
        </w:rPr>
        <w:t>he abstract should have 100 to 250 words.</w:t>
      </w:r>
      <w:r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A511C4" w:rsidRPr="00A511C4">
        <w:rPr>
          <w:rFonts w:ascii="Times" w:hAnsi="Times"/>
          <w:color w:val="000000" w:themeColor="text1"/>
          <w:sz w:val="20"/>
          <w:szCs w:val="20"/>
        </w:rPr>
        <w:t>The author shall attach to the commentary (gloss) an abstract in English and Polish.</w:t>
      </w:r>
      <w:r w:rsidR="00A511C4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A511C4" w:rsidRPr="00A511C4">
        <w:rPr>
          <w:rFonts w:ascii="Times" w:hAnsi="Times"/>
          <w:color w:val="000000" w:themeColor="text1"/>
          <w:sz w:val="20"/>
          <w:szCs w:val="20"/>
        </w:rPr>
        <w:t xml:space="preserve">The foreign author shall attach to the commentary (gloss) an abstract in English. In this case the translation into Polish shall be provided by the Editorial Board. </w:t>
      </w:r>
      <w:r w:rsidR="001D0C65">
        <w:rPr>
          <w:rFonts w:ascii="Times" w:hAnsi="Times"/>
          <w:color w:val="000000" w:themeColor="text1"/>
          <w:sz w:val="20"/>
          <w:szCs w:val="20"/>
        </w:rPr>
        <w:t>T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he abstract should specify: the nature of the commentary</w:t>
      </w:r>
      <w:r w:rsidR="00762A45">
        <w:rPr>
          <w:rFonts w:ascii="Times" w:hAnsi="Times"/>
          <w:color w:val="000000" w:themeColor="text1"/>
          <w:sz w:val="20"/>
          <w:szCs w:val="20"/>
        </w:rPr>
        <w:t xml:space="preserve"> -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62A45">
        <w:rPr>
          <w:rFonts w:ascii="Times" w:hAnsi="Times"/>
          <w:color w:val="000000" w:themeColor="text1"/>
          <w:sz w:val="20"/>
          <w:szCs w:val="20"/>
        </w:rPr>
        <w:t xml:space="preserve">a)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disapproving</w:t>
      </w:r>
      <w:r w:rsidR="00762A45">
        <w:rPr>
          <w:rFonts w:ascii="Times" w:hAnsi="Times"/>
          <w:color w:val="000000" w:themeColor="text1"/>
          <w:sz w:val="20"/>
          <w:szCs w:val="20"/>
        </w:rPr>
        <w:t>,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62A45">
        <w:rPr>
          <w:rFonts w:ascii="Times" w:hAnsi="Times"/>
          <w:color w:val="000000" w:themeColor="text1"/>
          <w:sz w:val="20"/>
          <w:szCs w:val="20"/>
        </w:rPr>
        <w:t>b)</w:t>
      </w:r>
      <w:r w:rsidR="00F33929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partially approving (substantially disapproving, with elements of approval)</w:t>
      </w:r>
      <w:r w:rsidR="00762A45">
        <w:rPr>
          <w:rFonts w:ascii="Times" w:hAnsi="Times"/>
          <w:color w:val="000000" w:themeColor="text1"/>
          <w:sz w:val="20"/>
          <w:szCs w:val="20"/>
        </w:rPr>
        <w:t>,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62A45">
        <w:rPr>
          <w:rFonts w:ascii="Times" w:hAnsi="Times"/>
          <w:color w:val="000000" w:themeColor="text1"/>
          <w:sz w:val="20"/>
          <w:szCs w:val="20"/>
        </w:rPr>
        <w:t>c)</w:t>
      </w:r>
      <w:r w:rsidR="00F33929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partially disapproving (substantially approving with elements of criticism)</w:t>
      </w:r>
      <w:r w:rsidR="00762A45">
        <w:rPr>
          <w:rFonts w:ascii="Times" w:hAnsi="Times"/>
          <w:color w:val="000000" w:themeColor="text1"/>
          <w:sz w:val="20"/>
          <w:szCs w:val="20"/>
        </w:rPr>
        <w:t>,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62A45">
        <w:rPr>
          <w:rFonts w:ascii="Times" w:hAnsi="Times"/>
          <w:color w:val="000000" w:themeColor="text1"/>
          <w:sz w:val="20"/>
          <w:szCs w:val="20"/>
        </w:rPr>
        <w:t>d)</w:t>
      </w:r>
      <w:r w:rsidR="00F33929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approving;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the research problem with a synthesis of the factual and legal status;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main theses;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originality of the results; cognitive value for science or practice.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56ADF518" w14:textId="32D640FB" w:rsidR="002822C0" w:rsidRDefault="002822C0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 w:rsidRPr="002822C0">
        <w:rPr>
          <w:rFonts w:ascii="Times" w:hAnsi="Times"/>
          <w:b/>
          <w:bCs/>
          <w:color w:val="000000" w:themeColor="text1"/>
          <w:sz w:val="20"/>
          <w:szCs w:val="20"/>
        </w:rPr>
        <w:t>Keywords:</w:t>
      </w:r>
      <w:r w:rsidRPr="002822C0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(Times New Roman, 10 </w:t>
      </w:r>
      <w:proofErr w:type="spellStart"/>
      <w:r w:rsidRPr="002822C0">
        <w:rPr>
          <w:rFonts w:ascii="Times" w:hAnsi="Times"/>
          <w:color w:val="44546A" w:themeColor="text2"/>
          <w:sz w:val="20"/>
          <w:szCs w:val="20"/>
        </w:rPr>
        <w:t>pt</w:t>
      </w:r>
      <w:proofErr w:type="spellEnd"/>
      <w:r w:rsidRPr="002822C0">
        <w:rPr>
          <w:rFonts w:ascii="Times" w:hAnsi="Times"/>
          <w:color w:val="44546A" w:themeColor="text2"/>
          <w:sz w:val="20"/>
          <w:szCs w:val="20"/>
        </w:rPr>
        <w:t xml:space="preserve">, </w:t>
      </w:r>
      <w:r>
        <w:rPr>
          <w:rFonts w:ascii="Times" w:hAnsi="Times"/>
          <w:color w:val="44546A" w:themeColor="text2"/>
          <w:sz w:val="20"/>
          <w:szCs w:val="20"/>
        </w:rPr>
        <w:t>3-6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 words)</w:t>
      </w:r>
      <w:r>
        <w:rPr>
          <w:rFonts w:ascii="Times" w:hAnsi="Times"/>
          <w:color w:val="44546A" w:themeColor="text2"/>
          <w:sz w:val="20"/>
          <w:szCs w:val="20"/>
        </w:rPr>
        <w:t xml:space="preserve"> </w:t>
      </w:r>
      <w:r w:rsidR="008D6706">
        <w:rPr>
          <w:rFonts w:ascii="Times" w:hAnsi="Times"/>
          <w:color w:val="000000" w:themeColor="text1"/>
          <w:sz w:val="20"/>
          <w:szCs w:val="20"/>
        </w:rPr>
        <w:t>a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>uthor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should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specify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387BCA">
        <w:rPr>
          <w:rFonts w:ascii="Times" w:hAnsi="Times"/>
          <w:color w:val="000000" w:themeColor="text1"/>
          <w:sz w:val="20"/>
          <w:szCs w:val="20"/>
        </w:rPr>
        <w:t>three;</w:t>
      </w:r>
      <w:r w:rsid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to </w:t>
      </w:r>
      <w:r w:rsidR="008D6706">
        <w:rPr>
          <w:rFonts w:ascii="Times" w:hAnsi="Times"/>
          <w:color w:val="000000" w:themeColor="text1"/>
          <w:sz w:val="20"/>
          <w:szCs w:val="20"/>
        </w:rPr>
        <w:t>six;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keywords</w:t>
      </w:r>
    </w:p>
    <w:p w14:paraId="6087B719" w14:textId="518812B9" w:rsidR="00E62C3E" w:rsidRDefault="00E62C3E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6C431879" w14:textId="64F3349C" w:rsidR="00E62C3E" w:rsidRDefault="00E62C3E" w:rsidP="00E62C3E">
      <w:pPr>
        <w:spacing w:line="240" w:lineRule="auto"/>
        <w:ind w:firstLine="708"/>
        <w:jc w:val="center"/>
        <w:rPr>
          <w:rFonts w:ascii="Times" w:hAnsi="Times"/>
          <w:color w:val="44546A" w:themeColor="text2"/>
          <w:sz w:val="24"/>
          <w:szCs w:val="24"/>
        </w:rPr>
      </w:pPr>
      <w:r w:rsidRPr="00E62C3E">
        <w:rPr>
          <w:rFonts w:ascii="Times" w:hAnsi="Times"/>
          <w:color w:val="44546A" w:themeColor="text2"/>
          <w:sz w:val="24"/>
          <w:szCs w:val="24"/>
        </w:rPr>
        <w:t xml:space="preserve">(Times New Roman, 12 </w:t>
      </w:r>
      <w:proofErr w:type="spellStart"/>
      <w:r w:rsidRPr="00E62C3E">
        <w:rPr>
          <w:rFonts w:ascii="Times" w:hAnsi="Times"/>
          <w:color w:val="44546A" w:themeColor="text2"/>
          <w:sz w:val="24"/>
          <w:szCs w:val="24"/>
        </w:rPr>
        <w:t>pt</w:t>
      </w:r>
      <w:proofErr w:type="spellEnd"/>
      <w:r w:rsidRPr="00E62C3E">
        <w:rPr>
          <w:rFonts w:ascii="Times" w:hAnsi="Times"/>
          <w:color w:val="44546A" w:themeColor="text2"/>
          <w:sz w:val="24"/>
          <w:szCs w:val="24"/>
        </w:rPr>
        <w:t>)</w:t>
      </w:r>
    </w:p>
    <w:p w14:paraId="6F5E7F41" w14:textId="0EB6FA85" w:rsidR="00E62C3E" w:rsidRPr="00790EBD" w:rsidRDefault="00951544" w:rsidP="00894B71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</w:rPr>
      </w:pPr>
      <w:r w:rsidRPr="00951544">
        <w:rPr>
          <w:rFonts w:ascii="Times" w:hAnsi="Times"/>
          <w:color w:val="000000" w:themeColor="text1"/>
          <w:sz w:val="24"/>
          <w:szCs w:val="24"/>
        </w:rPr>
        <w:t>The commentary on a judicial decision (gloss) shall constitute a scientific commentary on a specific ruling.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>The commentary (gloss) should concern</w:t>
      </w:r>
      <w:proofErr w:type="gramStart"/>
      <w:r w:rsidRPr="00951544">
        <w:rPr>
          <w:rFonts w:ascii="Times" w:hAnsi="Times"/>
          <w:color w:val="000000" w:themeColor="text1"/>
          <w:sz w:val="24"/>
          <w:szCs w:val="24"/>
        </w:rPr>
        <w:t>, in particular, judgements</w:t>
      </w:r>
      <w:proofErr w:type="gramEnd"/>
      <w:r w:rsidRPr="00951544">
        <w:rPr>
          <w:rFonts w:ascii="Times" w:hAnsi="Times"/>
          <w:color w:val="000000" w:themeColor="text1"/>
          <w:sz w:val="24"/>
          <w:szCs w:val="24"/>
        </w:rPr>
        <w:t xml:space="preserve"> that address controversial, ground-breaking problems, relevant for the development of judicial practice.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>The commentary (gloss) shall include: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>1) a brief description of the legal problem addressed in the ruling, and its practical and theoretical significance;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 xml:space="preserve">2) a critical analysis of the </w:t>
      </w:r>
      <w:r w:rsidRPr="00951544">
        <w:rPr>
          <w:rFonts w:ascii="Times" w:hAnsi="Times"/>
          <w:color w:val="000000" w:themeColor="text1"/>
          <w:sz w:val="24"/>
          <w:szCs w:val="24"/>
        </w:rPr>
        <w:lastRenderedPageBreak/>
        <w:t>court's reasoning;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>3) a conclusion of theoretical and/or practical importance</w:t>
      </w:r>
      <w:r w:rsidR="00BA407C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1"/>
      </w:r>
      <w:r w:rsidR="00E6441A" w:rsidRPr="00E6441A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6A1B6C" w:rsidRPr="006A1B6C">
        <w:rPr>
          <w:rFonts w:ascii="Times" w:hAnsi="Times"/>
          <w:color w:val="000000" w:themeColor="text1"/>
          <w:sz w:val="24"/>
          <w:szCs w:val="24"/>
        </w:rPr>
        <w:t>The commentary may contain a brief description of the course of the proceedings, but only to the extent as necessary to demonstrate the legal problem</w:t>
      </w:r>
      <w:r w:rsidR="0056712E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2"/>
      </w:r>
      <w:r w:rsidR="00E6441A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E6225D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628E89D0" w14:textId="1149D27F" w:rsidR="00E62C3E" w:rsidRDefault="00E62C3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6EC02EEF" w14:textId="59A3C8EE" w:rsidR="00E62C3E" w:rsidRPr="00A567D8" w:rsidRDefault="00E62C3E" w:rsidP="00E62C3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A567D8">
        <w:rPr>
          <w:rFonts w:ascii="Times New Roman" w:eastAsia="Times New Roman" w:hAnsi="Times New Roman"/>
          <w:sz w:val="20"/>
          <w:szCs w:val="20"/>
        </w:rPr>
        <w:t>REFERENCES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 xml:space="preserve">(Times New Roman, 10 </w:t>
      </w:r>
      <w:proofErr w:type="spellStart"/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pt</w:t>
      </w:r>
      <w:proofErr w:type="spellEnd"/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)</w:t>
      </w:r>
    </w:p>
    <w:p w14:paraId="5DD57D82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3361E599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r w:rsidRPr="00A567D8">
        <w:rPr>
          <w:rFonts w:ascii="Times New Roman" w:hAnsi="Times New Roman"/>
          <w:smallCaps/>
          <w:sz w:val="20"/>
          <w:szCs w:val="20"/>
        </w:rPr>
        <w:t>Literature</w:t>
      </w:r>
    </w:p>
    <w:p w14:paraId="4DB1FA38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04E6FA94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Ausems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2C27C3BA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0C8C86BF" w14:textId="0A610B49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47FA9E93" w14:textId="1F6C32FC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41AD4D65" w14:textId="58C61FDF" w:rsidR="00FE19C7" w:rsidRPr="00C448FF" w:rsidRDefault="00FE19C7" w:rsidP="00FE19C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A616AC">
        <w:rPr>
          <w:rFonts w:ascii="Times New Roman" w:hAnsi="Times New Roman"/>
          <w:sz w:val="20"/>
          <w:szCs w:val="20"/>
        </w:rPr>
        <w:t>Gárdos-Orosz</w:t>
      </w:r>
      <w:proofErr w:type="spellEnd"/>
      <w:r w:rsidRPr="00A616AC">
        <w:rPr>
          <w:rFonts w:ascii="Times New Roman" w:hAnsi="Times New Roman"/>
          <w:sz w:val="20"/>
          <w:szCs w:val="20"/>
        </w:rPr>
        <w:t xml:space="preserve"> F., </w:t>
      </w:r>
      <w:r w:rsidRPr="00A616AC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 xml:space="preserve">, [in:]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 xml:space="preserve">J.M.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Serna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de la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Garza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, Ciudad de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México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2020.</w:t>
      </w:r>
    </w:p>
    <w:p w14:paraId="13C05B82" w14:textId="77777777" w:rsidR="00FE19C7" w:rsidRDefault="00FE19C7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8512DAA" w14:textId="307F03C5" w:rsidR="00C7707C" w:rsidRPr="00A567D8" w:rsidRDefault="00C7707C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Iuridica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Lublinensia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hyperlink r:id="rId7" w:tgtFrame="_blank" w:history="1">
        <w:r w:rsidRPr="00A567D8">
          <w:rPr>
            <w:rFonts w:ascii="Times New Roman" w:hAnsi="Times New Roman"/>
            <w:b/>
            <w:sz w:val="20"/>
            <w:szCs w:val="20"/>
            <w:lang w:val="pl-PL"/>
          </w:rPr>
          <w:t>https://doi.org/10.17951/sil.2017.26.1.287</w:t>
        </w:r>
      </w:hyperlink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14ECB7BB" w14:textId="77777777" w:rsidR="00C7707C" w:rsidRPr="00C7707C" w:rsidRDefault="00C7707C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49F6EC39" w14:textId="77777777" w:rsidR="004F2CB9" w:rsidRPr="00A616AC" w:rsidRDefault="004F2CB9" w:rsidP="004F2CB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</w:t>
      </w:r>
      <w:proofErr w:type="spellStart"/>
      <w:r w:rsidRPr="00A616AC">
        <w:rPr>
          <w:rFonts w:ascii="Times New Roman" w:hAnsi="Times New Roman"/>
          <w:iCs/>
          <w:sz w:val="20"/>
          <w:szCs w:val="20"/>
        </w:rPr>
        <w:t>Localis</w:t>
      </w:r>
      <w:proofErr w:type="spellEnd"/>
      <w:r w:rsidRPr="00A616AC">
        <w:rPr>
          <w:rFonts w:ascii="Times New Roman" w:hAnsi="Times New Roman"/>
          <w:iCs/>
          <w:sz w:val="20"/>
          <w:szCs w:val="20"/>
        </w:rPr>
        <w:t xml:space="preserve">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8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1B0204AC" w14:textId="2ED4AB7F" w:rsidR="00E62C3E" w:rsidRPr="004F2CB9" w:rsidRDefault="00E62C3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0618ADC7" w14:textId="77777777" w:rsidR="00BB7C84" w:rsidRPr="006C39AB" w:rsidRDefault="00BB7C84" w:rsidP="00BB7C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mallCaps/>
          <w:color w:val="auto"/>
          <w:sz w:val="20"/>
          <w:szCs w:val="20"/>
          <w:lang w:val="en-GB"/>
        </w:rPr>
      </w:pPr>
      <w:r w:rsidRPr="006C39AB">
        <w:rPr>
          <w:rFonts w:ascii="Times New Roman" w:hAnsi="Times New Roman"/>
          <w:smallCaps/>
          <w:color w:val="auto"/>
          <w:sz w:val="20"/>
          <w:szCs w:val="20"/>
          <w:lang w:val="en-GB"/>
        </w:rPr>
        <w:t>Legal acts</w:t>
      </w:r>
    </w:p>
    <w:p w14:paraId="7BCF66EF" w14:textId="77777777" w:rsidR="00BB7C84" w:rsidRPr="006C39AB" w:rsidRDefault="00BB7C84" w:rsidP="00BB7C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E0D4F01" w14:textId="5B626EBD" w:rsidR="00F44307" w:rsidRDefault="00BB7C84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9AB">
        <w:rPr>
          <w:rFonts w:ascii="Times New Roman" w:hAnsi="Times New Roman"/>
          <w:sz w:val="20"/>
          <w:szCs w:val="20"/>
        </w:rPr>
        <w:t>Act of 26 June 1976 – Labour Code (consolidated text Journal of Laws 2019, item 1040 as amended).</w:t>
      </w:r>
    </w:p>
    <w:p w14:paraId="6A3F3D19" w14:textId="1717CC44" w:rsidR="00F44307" w:rsidRDefault="00F44307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984C3C" w14:textId="39884A53" w:rsidR="00FF457A" w:rsidRDefault="00FF457A" w:rsidP="00E2270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Act of 21 August 1997 on Animal Protection (consolidated text Journal of Laws 2020, item 638).</w:t>
      </w:r>
    </w:p>
    <w:p w14:paraId="3C9820FA" w14:textId="77777777" w:rsidR="00E2270F" w:rsidRDefault="00E2270F" w:rsidP="00E2270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864FB0D" w14:textId="77777777" w:rsidR="00E2270F" w:rsidRPr="00A567D8" w:rsidRDefault="00E2270F" w:rsidP="00E2270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Communication from the Commission to the European Parliament and the Council on a Community Action Plan on the Protection and Welfare of Animals 2006–2010 (COM/2006/0013).</w:t>
      </w:r>
    </w:p>
    <w:p w14:paraId="00D27351" w14:textId="77777777" w:rsidR="00935D82" w:rsidRDefault="00935D82" w:rsidP="00935D8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70FC5F6" w14:textId="69DA8FFB" w:rsidR="00935D82" w:rsidRPr="00A567D8" w:rsidRDefault="00935D82" w:rsidP="00935D8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Consolidated version of the Treaty on the Functioning of the European Union (OJ C 326, 26.10.2012, pp. 1–390).</w:t>
      </w:r>
    </w:p>
    <w:p w14:paraId="2B4CB268" w14:textId="77777777" w:rsidR="00E2270F" w:rsidRDefault="00E2270F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7F4D5D" w14:textId="738408A6" w:rsidR="00FF457A" w:rsidRDefault="00F44307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9AB">
        <w:rPr>
          <w:rFonts w:ascii="Times New Roman" w:hAnsi="Times New Roman"/>
          <w:sz w:val="20"/>
          <w:szCs w:val="20"/>
        </w:rPr>
        <w:t>Constitution of the Republic of Poland of 2 April 1997 (Journal of Laws 1997, no. 78, item 483 as amended).</w:t>
      </w:r>
    </w:p>
    <w:p w14:paraId="0604FE51" w14:textId="75E58406" w:rsidR="00E2270F" w:rsidRDefault="00E2270F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026D58B" w14:textId="77777777" w:rsidR="00935D82" w:rsidRPr="00A567D8" w:rsidRDefault="00935D82" w:rsidP="00935D8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Declaration of the European Parliament of 13 October 2011 on dog population management in the European Union (P7_</w:t>
      </w:r>
      <w:proofErr w:type="gramStart"/>
      <w:r w:rsidRPr="00A567D8">
        <w:rPr>
          <w:rFonts w:ascii="Times New Roman" w:hAnsi="Times New Roman"/>
          <w:sz w:val="20"/>
          <w:szCs w:val="20"/>
        </w:rPr>
        <w:t>TA(</w:t>
      </w:r>
      <w:proofErr w:type="gramEnd"/>
      <w:r w:rsidRPr="00A567D8">
        <w:rPr>
          <w:rFonts w:ascii="Times New Roman" w:hAnsi="Times New Roman"/>
          <w:sz w:val="20"/>
          <w:szCs w:val="20"/>
        </w:rPr>
        <w:t>2011)0444) (OJ 2013/C 94 E/05).</w:t>
      </w:r>
    </w:p>
    <w:p w14:paraId="0106E25E" w14:textId="77777777" w:rsidR="00935D82" w:rsidRDefault="00935D82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F9F7388" w14:textId="5675F356" w:rsidR="00FF457A" w:rsidRPr="00A567D8" w:rsidRDefault="00FF457A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European Parliament resolution of 26 November 2015 on a new animal welfare strategy for 2016–2020 (2015/2957(RSP)) (OJ C 366, 27.10.2017).</w:t>
      </w:r>
    </w:p>
    <w:p w14:paraId="23202EE8" w14:textId="77777777" w:rsidR="00FF457A" w:rsidRPr="00A567D8" w:rsidRDefault="00FF457A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4B42F8F" w14:textId="77777777" w:rsidR="00FF457A" w:rsidRPr="00A567D8" w:rsidRDefault="00FF457A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European Parliament resolution of 25 February 2016 on the introduction of compatible systems for the registration of pet animals across Member States (2016/2540(RSP)) (OJ 2018/C 035/24).</w:t>
      </w:r>
    </w:p>
    <w:p w14:paraId="79E27495" w14:textId="77777777" w:rsidR="00FF457A" w:rsidRDefault="00FF457A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08FC95" w14:textId="464255CD" w:rsidR="00F44307" w:rsidRPr="006C39AB" w:rsidRDefault="00F44307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9AB">
        <w:rPr>
          <w:rFonts w:ascii="Times New Roman" w:hAnsi="Times New Roman"/>
          <w:sz w:val="20"/>
          <w:szCs w:val="20"/>
        </w:rPr>
        <w:lastRenderedPageBreak/>
        <w:t xml:space="preserve">Regulation of the Health </w:t>
      </w:r>
      <w:proofErr w:type="spellStart"/>
      <w:r w:rsidRPr="006C39AB">
        <w:rPr>
          <w:rFonts w:ascii="Times New Roman" w:hAnsi="Times New Roman"/>
          <w:sz w:val="20"/>
          <w:szCs w:val="20"/>
        </w:rPr>
        <w:t>Minister’s</w:t>
      </w:r>
      <w:proofErr w:type="spellEnd"/>
      <w:r w:rsidRPr="006C39AB">
        <w:rPr>
          <w:rFonts w:ascii="Times New Roman" w:hAnsi="Times New Roman"/>
          <w:sz w:val="20"/>
          <w:szCs w:val="20"/>
        </w:rPr>
        <w:t xml:space="preserve"> of 13 March 2020 on announcement of the epidemic risk in the Republic of Poland (Journal of Laws 2020, item 4233).</w:t>
      </w:r>
    </w:p>
    <w:p w14:paraId="4CCEA19E" w14:textId="77777777" w:rsidR="00F44307" w:rsidRPr="006C39AB" w:rsidRDefault="00F44307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C8807A2" w14:textId="77777777" w:rsidR="006A0B62" w:rsidRPr="006C39AB" w:rsidRDefault="006A0B62" w:rsidP="006A0B62">
      <w:pPr>
        <w:spacing w:after="0"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6C39AB">
        <w:rPr>
          <w:rFonts w:ascii="Times New Roman" w:hAnsi="Times New Roman"/>
          <w:smallCaps/>
          <w:sz w:val="20"/>
          <w:szCs w:val="20"/>
        </w:rPr>
        <w:t>Case law</w:t>
      </w:r>
    </w:p>
    <w:p w14:paraId="0999C612" w14:textId="77777777" w:rsidR="006A0B62" w:rsidRPr="006C39AB" w:rsidRDefault="006A0B62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B504986" w14:textId="77777777" w:rsidR="006A0B62" w:rsidRPr="006C39AB" w:rsidRDefault="006A0B62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C39AB">
        <w:rPr>
          <w:rFonts w:ascii="Times New Roman" w:hAnsi="Times New Roman"/>
          <w:sz w:val="20"/>
          <w:szCs w:val="20"/>
          <w:lang w:val="en-US"/>
        </w:rPr>
        <w:t xml:space="preserve">Judgement of the Administrative Court in </w:t>
      </w:r>
      <w:proofErr w:type="spellStart"/>
      <w:r w:rsidRPr="006C39AB">
        <w:rPr>
          <w:rFonts w:ascii="Times New Roman" w:hAnsi="Times New Roman"/>
          <w:sz w:val="20"/>
          <w:szCs w:val="20"/>
          <w:lang w:val="en-US"/>
        </w:rPr>
        <w:t>Gdańsk</w:t>
      </w:r>
      <w:proofErr w:type="spellEnd"/>
      <w:r w:rsidRPr="006C39AB">
        <w:rPr>
          <w:rFonts w:ascii="Times New Roman" w:hAnsi="Times New Roman"/>
          <w:sz w:val="20"/>
          <w:szCs w:val="20"/>
          <w:lang w:val="en-US"/>
        </w:rPr>
        <w:t xml:space="preserve"> of 21 December 2016, III Au/12/9316, LEX 2191588.</w:t>
      </w:r>
    </w:p>
    <w:p w14:paraId="0221813C" w14:textId="77777777" w:rsidR="006A0B62" w:rsidRPr="006C39AB" w:rsidRDefault="006A0B62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A678F78" w14:textId="17A26A96" w:rsidR="006A0B62" w:rsidRDefault="006A0B62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C39AB">
        <w:rPr>
          <w:rFonts w:ascii="Times New Roman" w:hAnsi="Times New Roman"/>
          <w:sz w:val="20"/>
          <w:szCs w:val="20"/>
          <w:lang w:val="en-US"/>
        </w:rPr>
        <w:t>Judgement of the Constitutional Tribunal of 13 March 2000, K 1/99, OTK 2000, no. 2, item 59.</w:t>
      </w:r>
    </w:p>
    <w:p w14:paraId="4CDFB5D0" w14:textId="3D4EC4AE" w:rsidR="00CD4CAD" w:rsidRDefault="00CD4CAD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2ADDB43" w14:textId="77777777" w:rsidR="00CD4CAD" w:rsidRPr="006C39AB" w:rsidRDefault="00CD4CAD" w:rsidP="00CD4C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C39AB">
        <w:rPr>
          <w:rFonts w:ascii="Times New Roman" w:hAnsi="Times New Roman"/>
          <w:sz w:val="20"/>
          <w:szCs w:val="20"/>
          <w:lang w:val="en-US"/>
        </w:rPr>
        <w:t>Judgement of the Supreme Court of 19 April 2019, II PK 310/09, LEX no. 602698.</w:t>
      </w:r>
    </w:p>
    <w:p w14:paraId="11DC1211" w14:textId="78CF4382" w:rsidR="00CD4CAD" w:rsidRDefault="00CD4CAD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25DD4D4" w14:textId="77777777" w:rsidR="00CD4CAD" w:rsidRPr="006C39AB" w:rsidRDefault="00CD4CAD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AB72EB1" w14:textId="308703DC" w:rsidR="00A915BE" w:rsidRDefault="00A915BE" w:rsidP="00E50832">
      <w:pPr>
        <w:pStyle w:val="Bezodstpw"/>
        <w:jc w:val="both"/>
        <w:rPr>
          <w:rFonts w:ascii="Times" w:hAnsi="Times"/>
          <w:color w:val="C00000"/>
          <w:sz w:val="20"/>
          <w:szCs w:val="20"/>
          <w:lang w:val="en-US"/>
        </w:rPr>
      </w:pPr>
    </w:p>
    <w:p w14:paraId="6D3CA453" w14:textId="4A78FBD0" w:rsidR="00A915BE" w:rsidRDefault="00A915BE" w:rsidP="00E50832">
      <w:pPr>
        <w:pStyle w:val="Bezodstpw"/>
        <w:jc w:val="both"/>
        <w:rPr>
          <w:rFonts w:ascii="Times" w:hAnsi="Times"/>
          <w:color w:val="C00000"/>
          <w:sz w:val="20"/>
          <w:szCs w:val="20"/>
          <w:lang w:val="en-US"/>
        </w:rPr>
      </w:pPr>
    </w:p>
    <w:p w14:paraId="1E61378D" w14:textId="77777777" w:rsidR="00A915BE" w:rsidRPr="00A915BE" w:rsidRDefault="00A915BE" w:rsidP="00E50832">
      <w:pPr>
        <w:pStyle w:val="Bezodstpw"/>
        <w:jc w:val="both"/>
        <w:rPr>
          <w:rFonts w:ascii="Times" w:hAnsi="Times"/>
          <w:color w:val="C00000"/>
          <w:sz w:val="20"/>
          <w:szCs w:val="20"/>
          <w:lang w:val="en-US"/>
        </w:rPr>
      </w:pPr>
    </w:p>
    <w:p w14:paraId="21CA6494" w14:textId="31F3759E" w:rsidR="00CA0F46" w:rsidRDefault="00380CF5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 w:rsidRPr="00380CF5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Glosy są publikowane w języku </w:t>
      </w:r>
      <w:r w:rsidR="00655341">
        <w:rPr>
          <w:rFonts w:ascii="Times" w:hAnsi="Times"/>
          <w:b/>
          <w:bCs/>
          <w:color w:val="7030A0"/>
          <w:sz w:val="20"/>
          <w:szCs w:val="20"/>
          <w:lang w:val="pl-PL"/>
        </w:rPr>
        <w:t>angielskim</w:t>
      </w:r>
      <w:r w:rsidRPr="00380CF5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albo w języku</w:t>
      </w:r>
      <w:r w:rsidR="00655341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polskim,</w:t>
      </w:r>
      <w:r w:rsidR="00CA0F46" w:rsidRPr="00CA0F46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co </w:t>
      </w:r>
      <w:r w:rsidR="00655341">
        <w:rPr>
          <w:rFonts w:ascii="Times" w:hAnsi="Times"/>
          <w:b/>
          <w:bCs/>
          <w:color w:val="7030A0"/>
          <w:sz w:val="20"/>
          <w:szCs w:val="20"/>
          <w:lang w:val="pl-PL"/>
        </w:rPr>
        <w:t>jest</w:t>
      </w:r>
      <w:r w:rsidR="00CA0F46" w:rsidRPr="00CA0F46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zasad</w:t>
      </w:r>
      <w:r w:rsidR="00655341">
        <w:rPr>
          <w:rFonts w:ascii="Times" w:hAnsi="Times"/>
          <w:b/>
          <w:bCs/>
          <w:color w:val="7030A0"/>
          <w:sz w:val="20"/>
          <w:szCs w:val="20"/>
          <w:lang w:val="pl-PL"/>
        </w:rPr>
        <w:t>ą</w:t>
      </w:r>
      <w:r w:rsidR="00CA0F46" w:rsidRPr="00CA0F46">
        <w:rPr>
          <w:rFonts w:ascii="Times" w:hAnsi="Times"/>
          <w:b/>
          <w:bCs/>
          <w:color w:val="7030A0"/>
          <w:sz w:val="20"/>
          <w:szCs w:val="20"/>
          <w:lang w:val="pl-PL"/>
        </w:rPr>
        <w:t>, ze względu na praktyczny wymiar tej formy publikacji oraz specyfikę polskiego języka prawnego, a tym samym możliwość prowadzenia stałego dialogu między sądami i doktryną prawa.</w:t>
      </w:r>
    </w:p>
    <w:p w14:paraId="3828AC0D" w14:textId="77777777" w:rsidR="00CA0F46" w:rsidRPr="009F1515" w:rsidRDefault="00CA0F46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5BA46721" w14:textId="5D54D612" w:rsidR="00A42C34" w:rsidRPr="009F1515" w:rsidRDefault="00DF55B9" w:rsidP="00BA5B2B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Autor i recenzenci nie znają swojej tożsamości. Redakcja przed wysłaniem tekstu do recenzji usuwa wsz</w:t>
      </w:r>
      <w:r w:rsidR="00897464"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yst</w:t>
      </w: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kie dane, które mogłyby pozwolić na ustalenie tożsamości autora manuskryptu. </w:t>
      </w:r>
    </w:p>
    <w:p w14:paraId="44FD59A9" w14:textId="2D156EBB" w:rsidR="00B74E93" w:rsidRDefault="00B74E93" w:rsidP="00A42C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A45C750" w14:textId="77777777" w:rsidR="00E340C5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3CD6A0F" w14:textId="799E6535" w:rsidR="00A42C34" w:rsidRPr="00A42C34" w:rsidRDefault="00A42C34" w:rsidP="00A42C34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pl-PL"/>
        </w:rPr>
      </w:pPr>
      <w:r w:rsidRPr="00A42C34">
        <w:rPr>
          <w:rFonts w:ascii="Times New Roman" w:hAnsi="Times New Roman"/>
          <w:sz w:val="24"/>
          <w:szCs w:val="24"/>
          <w:lang w:val="pl-PL"/>
        </w:rPr>
        <w:t xml:space="preserve">Jan Kowalski </w:t>
      </w:r>
      <w:r w:rsidRPr="00A42C34">
        <w:rPr>
          <w:rFonts w:ascii="Times" w:hAnsi="Times"/>
          <w:color w:val="808080"/>
          <w:sz w:val="24"/>
          <w:szCs w:val="24"/>
          <w:lang w:val="pl-PL"/>
        </w:rPr>
        <w:t xml:space="preserve">(imię i nazwisko - Times New Roman, 12 </w:t>
      </w:r>
      <w:proofErr w:type="spellStart"/>
      <w:r w:rsidRPr="00A42C34">
        <w:rPr>
          <w:rFonts w:ascii="Times" w:hAnsi="Times"/>
          <w:color w:val="808080"/>
          <w:sz w:val="24"/>
          <w:szCs w:val="24"/>
          <w:lang w:val="pl-PL"/>
        </w:rPr>
        <w:t>pt</w:t>
      </w:r>
      <w:proofErr w:type="spellEnd"/>
      <w:r w:rsidRPr="00A42C34">
        <w:rPr>
          <w:rFonts w:ascii="Times" w:hAnsi="Times"/>
          <w:color w:val="808080"/>
          <w:sz w:val="24"/>
          <w:szCs w:val="24"/>
          <w:lang w:val="pl-PL"/>
        </w:rPr>
        <w:t>)</w:t>
      </w:r>
    </w:p>
    <w:p w14:paraId="3A6A87BC" w14:textId="4F707CC0" w:rsidR="00A42C34" w:rsidRP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</w:pPr>
      <w:r w:rsidRPr="00A42C34">
        <w:rPr>
          <w:rFonts w:ascii="Times New Roman" w:hAnsi="Times New Roman"/>
          <w:sz w:val="20"/>
          <w:szCs w:val="20"/>
          <w:lang w:val="pl-PL"/>
        </w:rPr>
        <w:t>Uniwersytet Marii Curie-Skłodowskiej w Lublinie, Pol</w:t>
      </w:r>
      <w:r>
        <w:rPr>
          <w:rFonts w:ascii="Times New Roman" w:hAnsi="Times New Roman"/>
          <w:sz w:val="20"/>
          <w:szCs w:val="20"/>
          <w:lang w:val="pl-PL"/>
        </w:rPr>
        <w:t>ska</w:t>
      </w:r>
      <w:r w:rsidRPr="00A42C34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(af</w:t>
      </w:r>
      <w:r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iliacja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 xml:space="preserve"> - Times New Roman, 10 </w:t>
      </w:r>
      <w:proofErr w:type="spellStart"/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pt</w:t>
      </w:r>
      <w:proofErr w:type="spellEnd"/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)</w:t>
      </w:r>
    </w:p>
    <w:p w14:paraId="23E5F950" w14:textId="77777777" w:rsidR="00A42C34" w:rsidRPr="003C697D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 xml:space="preserve">000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489A2683" w14:textId="7B3E3884" w:rsid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kowalski</w:t>
      </w:r>
      <w:r w:rsidRPr="00A567D8">
        <w:rPr>
          <w:rFonts w:ascii="Times New Roman" w:hAnsi="Times New Roman"/>
          <w:sz w:val="20"/>
          <w:szCs w:val="20"/>
        </w:rPr>
        <w:t>@umcs.pl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Times New Roman, 10 </w:t>
      </w:r>
      <w:proofErr w:type="spellStart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721C48CD" w14:textId="102D9C44" w:rsid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0D09101" w14:textId="77777777" w:rsidR="00E340C5" w:rsidRPr="00C448FF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6E80779" w14:textId="77777777" w:rsidR="00CE4FE0" w:rsidRPr="00CE4FE0" w:rsidRDefault="00A42C34" w:rsidP="00A42C3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 w:rsidRPr="00CE4FE0">
        <w:rPr>
          <w:rFonts w:ascii="Times New Roman" w:hAnsi="Times New Roman"/>
          <w:sz w:val="24"/>
          <w:szCs w:val="24"/>
          <w:lang w:val="pl-PL"/>
        </w:rPr>
        <w:t xml:space="preserve">Tytuł </w:t>
      </w:r>
      <w:r w:rsidR="00DC258D" w:rsidRPr="00CE4FE0">
        <w:rPr>
          <w:rFonts w:ascii="Times New Roman" w:hAnsi="Times New Roman"/>
          <w:sz w:val="24"/>
          <w:szCs w:val="24"/>
          <w:lang w:val="pl-PL"/>
        </w:rPr>
        <w:t>glosy</w:t>
      </w:r>
      <w:r w:rsidRPr="00CE4FE0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221D9EE" w14:textId="245FA521" w:rsidR="00A42C34" w:rsidRPr="00CE4FE0" w:rsidRDefault="00CE4FE0" w:rsidP="00A42C3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Przykład: </w:t>
      </w:r>
      <w:r w:rsidRPr="00CE4FE0">
        <w:rPr>
          <w:rFonts w:ascii="Times New Roman" w:hAnsi="Times New Roman"/>
          <w:b/>
          <w:bCs/>
          <w:sz w:val="24"/>
          <w:szCs w:val="24"/>
          <w:lang w:val="pl-PL"/>
        </w:rPr>
        <w:t>Obudowa górnicza jako odrębny od wyrobiska obiekt – konstrukcja oporowa, podlega opodatkowaniu podatkiem od nieruchomości. Glosa aprobująca do wyroku Naczelnego Sądu Administracyjnego z dnia 10 stycznia 2020 r. (II FSK 532/18, LEX nr 2777589)</w:t>
      </w:r>
    </w:p>
    <w:p w14:paraId="40F35264" w14:textId="7404012F" w:rsidR="00950334" w:rsidRDefault="00A42C34" w:rsidP="004109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E17C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(Times New Roman, 12 </w:t>
      </w:r>
      <w:proofErr w:type="spellStart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pt</w:t>
      </w:r>
      <w:proofErr w:type="spellEnd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, Bold)</w:t>
      </w:r>
    </w:p>
    <w:p w14:paraId="63A0E4C9" w14:textId="77777777" w:rsidR="00950334" w:rsidRDefault="00950334" w:rsidP="0041092B">
      <w:pPr>
        <w:spacing w:after="0" w:line="360" w:lineRule="auto"/>
        <w:contextualSpacing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9503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7C5DF" w14:textId="55402A4C" w:rsidR="00BA5B2B" w:rsidRDefault="00BA5B2B" w:rsidP="0041092B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</w:t>
      </w:r>
      <w:r w:rsidR="00EB3F1D">
        <w:rPr>
          <w:rFonts w:ascii="Times" w:hAnsi="Times"/>
          <w:sz w:val="20"/>
          <w:szCs w:val="20"/>
        </w:rPr>
        <w:t>K</w:t>
      </w:r>
      <w:r w:rsidRPr="00E500F9">
        <w:rPr>
          <w:rFonts w:ascii="Times" w:hAnsi="Times"/>
          <w:sz w:val="20"/>
          <w:szCs w:val="20"/>
        </w:rPr>
        <w:t>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E500F9">
        <w:rPr>
          <w:rFonts w:ascii="Times" w:hAnsi="Times"/>
          <w:color w:val="808080" w:themeColor="background1" w:themeShade="80"/>
          <w:sz w:val="20"/>
          <w:szCs w:val="20"/>
        </w:rPr>
        <w:t>pt</w:t>
      </w:r>
      <w:proofErr w:type="spellEnd"/>
      <w:r>
        <w:rPr>
          <w:rFonts w:ascii="Times" w:hAnsi="Times"/>
          <w:color w:val="808080" w:themeColor="background1" w:themeShade="80"/>
          <w:sz w:val="20"/>
          <w:szCs w:val="20"/>
        </w:rPr>
        <w:t>, 100-250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73967DA5" w14:textId="4DA8AF46" w:rsidR="00F33929" w:rsidRPr="00C448FF" w:rsidRDefault="004C5A4C" w:rsidP="00906C58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>Abstrakt powinien liczyć od 100 do 250 słów.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Autor dołącza do glosy abstrakt w języku angielskim i polskim.</w:t>
      </w:r>
      <w:r w:rsid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Autor będący obcokrajowcem dołącza do glosy abstrakt w języku angielskim. W tym przypadku tłumaczenia na język polski dokonuje Redakcja. Abstrakt powinien określać:</w:t>
      </w:r>
      <w:r w:rsid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charakter glosy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-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krytyczna,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częściowo aprobująca (zasadniczo krytyczna z elementami aprobującymi),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częściowo krytyczna (zasadniczo aprobująca z elementami krytycznymi),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aprobująca;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problem badawczy wraz z syntezą stanu faktycznego i prawnego;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główne tezy;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oryginalność wyników;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wartość poznawczą dla nauki lub praktyki.</w:t>
      </w:r>
    </w:p>
    <w:p w14:paraId="6EB42424" w14:textId="66787853" w:rsidR="00886EC0" w:rsidRPr="00E503DF" w:rsidRDefault="00217DF0" w:rsidP="00E503DF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Słowa kluczowe</w:t>
      </w:r>
      <w:r w:rsidR="00BA5B2B" w:rsidRPr="00217DF0"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: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(Times New Roman, 10 </w:t>
      </w:r>
      <w:proofErr w:type="spellStart"/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>pt</w:t>
      </w:r>
      <w:proofErr w:type="spellEnd"/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,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od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>3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 do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6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>słów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)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autor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powinien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podać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do trzech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do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sześciu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słów kluczowych</w:t>
      </w:r>
    </w:p>
    <w:p w14:paraId="250CD4EB" w14:textId="77777777" w:rsidR="00E503DF" w:rsidRDefault="00E503DF" w:rsidP="002D65F7">
      <w:pPr>
        <w:spacing w:line="240" w:lineRule="auto"/>
        <w:ind w:left="708" w:firstLine="708"/>
        <w:jc w:val="center"/>
        <w:rPr>
          <w:rFonts w:ascii="Times" w:hAnsi="Times"/>
          <w:color w:val="000000" w:themeColor="text1"/>
          <w:sz w:val="24"/>
          <w:szCs w:val="24"/>
          <w:lang w:val="pl-PL"/>
        </w:rPr>
      </w:pPr>
    </w:p>
    <w:p w14:paraId="7404623E" w14:textId="3343CDD6" w:rsidR="00BA5B2B" w:rsidRPr="001656ED" w:rsidRDefault="00BA5B2B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lastRenderedPageBreak/>
        <w:t xml:space="preserve">(Times New Roman, 12 </w:t>
      </w:r>
      <w:proofErr w:type="spellStart"/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>pt</w:t>
      </w:r>
      <w:proofErr w:type="spellEnd"/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>)</w:t>
      </w:r>
    </w:p>
    <w:p w14:paraId="404D431E" w14:textId="5B5B0B41" w:rsidR="00712492" w:rsidRPr="00CF6F35" w:rsidRDefault="00CF6F35" w:rsidP="00CF6F35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  <w:lang w:val="pl-PL"/>
        </w:rPr>
      </w:pP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Glosa stanowi naukowy komentarz do wybranego orzeczenia sądowego.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Przedmiotem glosy powinny być, w szczególności orzeczenia dotykające problemów kontrowersyjnych, przełomowych, istotnych dla kształtowania praktyki orzeczniczej.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Glosa powinna zawierać: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 xml:space="preserve">1) krótką charakterystykę problemu prawnego poruszonego w </w:t>
      </w:r>
      <w:proofErr w:type="spellStart"/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glosowanym</w:t>
      </w:r>
      <w:proofErr w:type="spellEnd"/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 xml:space="preserve"> orzeczeniu i jego znaczenia praktycznego oraz teoretycznego;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2) krytyczną analizę rozumowania orzekającego sądu;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3) konkluzję o znaczeniu teoretycznym i/lub praktycznym</w:t>
      </w:r>
      <w:r w:rsidR="00712492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3"/>
      </w:r>
      <w:r w:rsidR="00712492" w:rsidRPr="00801EE2">
        <w:rPr>
          <w:rFonts w:ascii="Times" w:hAnsi="Times"/>
          <w:color w:val="000000" w:themeColor="text1"/>
          <w:sz w:val="24"/>
          <w:szCs w:val="24"/>
          <w:lang w:val="pl-PL"/>
        </w:rPr>
        <w:t>.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Glosa może zawierać skrócony opis przebiegu postępowania</w:t>
      </w:r>
      <w:r w:rsidR="00712492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4"/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, jednak tylko wówczas, gdy jest to niezbędne dla ukazania zagadnienia prawnego</w:t>
      </w:r>
      <w:r w:rsidR="00712492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5"/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.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</w:p>
    <w:p w14:paraId="375445C0" w14:textId="77777777" w:rsidR="000D4A97" w:rsidRPr="00B73839" w:rsidRDefault="000D4A97" w:rsidP="00B605E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09EE3D15" w14:textId="19BED6F1" w:rsidR="00712492" w:rsidRPr="00A567D8" w:rsidRDefault="000D4A97" w:rsidP="0071249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BIBLIOGRAFIA</w:t>
      </w:r>
      <w:r w:rsidR="00712492">
        <w:rPr>
          <w:rFonts w:ascii="Times New Roman" w:eastAsia="Times New Roman" w:hAnsi="Times New Roman"/>
          <w:sz w:val="20"/>
          <w:szCs w:val="20"/>
        </w:rPr>
        <w:t xml:space="preserve"> </w:t>
      </w:r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 xml:space="preserve">(Times New Roman, 10 </w:t>
      </w:r>
      <w:proofErr w:type="spellStart"/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pt</w:t>
      </w:r>
      <w:proofErr w:type="spellEnd"/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)</w:t>
      </w:r>
    </w:p>
    <w:p w14:paraId="2CFA5C9E" w14:textId="77777777" w:rsidR="00662B4B" w:rsidRDefault="00662B4B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</w:p>
    <w:p w14:paraId="77C0EA5D" w14:textId="08046DF1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proofErr w:type="spellStart"/>
      <w:r w:rsidRPr="00A567D8">
        <w:rPr>
          <w:rFonts w:ascii="Times New Roman" w:hAnsi="Times New Roman"/>
          <w:smallCaps/>
          <w:sz w:val="20"/>
          <w:szCs w:val="20"/>
        </w:rPr>
        <w:t>Lite</w:t>
      </w:r>
      <w:r>
        <w:rPr>
          <w:rFonts w:ascii="Times New Roman" w:hAnsi="Times New Roman"/>
          <w:smallCaps/>
          <w:sz w:val="20"/>
          <w:szCs w:val="20"/>
        </w:rPr>
        <w:t>ratura</w:t>
      </w:r>
      <w:proofErr w:type="spellEnd"/>
      <w:r>
        <w:rPr>
          <w:rFonts w:ascii="Times New Roman" w:hAnsi="Times New Roman"/>
          <w:smallCaps/>
          <w:sz w:val="20"/>
          <w:szCs w:val="20"/>
        </w:rPr>
        <w:t xml:space="preserve">: </w:t>
      </w:r>
    </w:p>
    <w:p w14:paraId="3EEBF788" w14:textId="77777777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D83FF15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Ausems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4BDDD14C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17B33671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513C3AC2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0EA6F6AD" w14:textId="445FF192" w:rsidR="002D65F7" w:rsidRPr="00C448FF" w:rsidRDefault="002D65F7" w:rsidP="002D65F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A616AC">
        <w:rPr>
          <w:rFonts w:ascii="Times New Roman" w:hAnsi="Times New Roman"/>
          <w:sz w:val="20"/>
          <w:szCs w:val="20"/>
        </w:rPr>
        <w:t>Gárdos-Orosz</w:t>
      </w:r>
      <w:proofErr w:type="spellEnd"/>
      <w:r w:rsidRPr="00A616AC">
        <w:rPr>
          <w:rFonts w:ascii="Times New Roman" w:hAnsi="Times New Roman"/>
          <w:sz w:val="20"/>
          <w:szCs w:val="20"/>
        </w:rPr>
        <w:t xml:space="preserve"> F., </w:t>
      </w:r>
      <w:r w:rsidRPr="00A616AC">
        <w:rPr>
          <w:rFonts w:ascii="Times New Roman" w:hAnsi="Times New Roman"/>
          <w:i/>
          <w:sz w:val="20"/>
          <w:szCs w:val="20"/>
        </w:rPr>
        <w:t>COVID-</w:t>
      </w:r>
      <w:proofErr w:type="gramStart"/>
      <w:r w:rsidRPr="00A616AC">
        <w:rPr>
          <w:rFonts w:ascii="Times New Roman" w:hAnsi="Times New Roman"/>
          <w:i/>
          <w:sz w:val="20"/>
          <w:szCs w:val="20"/>
        </w:rPr>
        <w:t>19</w:t>
      </w:r>
      <w:proofErr w:type="gramEnd"/>
      <w:r w:rsidRPr="00A616AC">
        <w:rPr>
          <w:rFonts w:ascii="Times New Roman" w:hAnsi="Times New Roman"/>
          <w:i/>
          <w:sz w:val="20"/>
          <w:szCs w:val="20"/>
        </w:rPr>
        <w:t xml:space="preserve">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>, [</w:t>
      </w:r>
      <w:r w:rsidR="00E04DD0">
        <w:rPr>
          <w:rFonts w:ascii="Times New Roman" w:hAnsi="Times New Roman"/>
          <w:sz w:val="20"/>
          <w:szCs w:val="20"/>
        </w:rPr>
        <w:t>w</w:t>
      </w:r>
      <w:r w:rsidRPr="00A616AC">
        <w:rPr>
          <w:rFonts w:ascii="Times New Roman" w:hAnsi="Times New Roman"/>
          <w:sz w:val="20"/>
          <w:szCs w:val="20"/>
        </w:rPr>
        <w:t xml:space="preserve">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 xml:space="preserve">J.M.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Serna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de la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Garza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, Ciudad de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México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2020.</w:t>
      </w:r>
    </w:p>
    <w:p w14:paraId="3652084A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414D6A1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Iuridica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Lublinensia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hyperlink r:id="rId15" w:tgtFrame="_blank" w:history="1">
        <w:r w:rsidRPr="00A567D8">
          <w:rPr>
            <w:rFonts w:ascii="Times New Roman" w:hAnsi="Times New Roman"/>
            <w:b/>
            <w:sz w:val="20"/>
            <w:szCs w:val="20"/>
            <w:lang w:val="pl-PL"/>
          </w:rPr>
          <w:t>https://doi.org/10.17951/sil.2017.26.1.287</w:t>
        </w:r>
      </w:hyperlink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2E7A8680" w14:textId="77777777" w:rsidR="002D65F7" w:rsidRPr="00C7707C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2D86B631" w14:textId="77777777" w:rsidR="002D65F7" w:rsidRPr="00A616AC" w:rsidRDefault="002D65F7" w:rsidP="002D65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</w:t>
      </w:r>
      <w:proofErr w:type="spellStart"/>
      <w:r w:rsidRPr="00A616AC">
        <w:rPr>
          <w:rFonts w:ascii="Times New Roman" w:hAnsi="Times New Roman"/>
          <w:iCs/>
          <w:sz w:val="20"/>
          <w:szCs w:val="20"/>
        </w:rPr>
        <w:t>Localis</w:t>
      </w:r>
      <w:proofErr w:type="spellEnd"/>
      <w:r w:rsidRPr="00A616AC">
        <w:rPr>
          <w:rFonts w:ascii="Times New Roman" w:hAnsi="Times New Roman"/>
          <w:iCs/>
          <w:sz w:val="20"/>
          <w:szCs w:val="20"/>
        </w:rPr>
        <w:t xml:space="preserve">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16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309F4E7F" w14:textId="2FC34D46" w:rsidR="00712492" w:rsidRDefault="0071249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72784B19" w14:textId="1C77CE39" w:rsidR="00E04DD0" w:rsidRPr="00A915BE" w:rsidRDefault="0074350E" w:rsidP="00074CEC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  <w:lang w:val="pl-PL"/>
        </w:rPr>
      </w:pPr>
      <w:r w:rsidRPr="00A915BE">
        <w:rPr>
          <w:rFonts w:ascii="Times New Roman" w:hAnsi="Times New Roman"/>
          <w:smallCaps/>
          <w:sz w:val="20"/>
          <w:szCs w:val="20"/>
          <w:lang w:val="pl-PL"/>
        </w:rPr>
        <w:t>Akty prawne</w:t>
      </w:r>
    </w:p>
    <w:p w14:paraId="3B2F2C63" w14:textId="77777777" w:rsidR="00074CEC" w:rsidRPr="00A915BE" w:rsidRDefault="00074CEC" w:rsidP="00074CEC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  <w:lang w:val="pl-PL"/>
        </w:rPr>
      </w:pPr>
    </w:p>
    <w:p w14:paraId="25DBCB20" w14:textId="77777777" w:rsidR="0016725E" w:rsidRPr="00A567D8" w:rsidRDefault="0016725E" w:rsidP="001672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A567D8">
        <w:rPr>
          <w:rFonts w:ascii="Times New Roman" w:eastAsia="Times New Roman" w:hAnsi="Times New Roman"/>
          <w:sz w:val="20"/>
          <w:szCs w:val="20"/>
          <w:lang w:val="pl-PL"/>
        </w:rPr>
        <w:t>Komunikat Komisji do Parlamentu Europejskiego i Rady z dnia 23 stycznia 2006 r. w sprawie Wspólnotowego planu działań dotyczącego ochrony i dobrostanu zwierząt na lata 2006–2010 (KOM/2006/13).</w:t>
      </w:r>
    </w:p>
    <w:p w14:paraId="432E0A5B" w14:textId="77777777" w:rsidR="00325681" w:rsidRPr="00D328EA" w:rsidRDefault="00325681" w:rsidP="003256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5CAECF6" w14:textId="5FD6815F" w:rsidR="00325681" w:rsidRPr="00074CEC" w:rsidRDefault="00325681" w:rsidP="003256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74CEC">
        <w:rPr>
          <w:rFonts w:ascii="Times New Roman" w:hAnsi="Times New Roman"/>
          <w:sz w:val="20"/>
          <w:szCs w:val="20"/>
          <w:lang w:val="pl-PL"/>
        </w:rPr>
        <w:t xml:space="preserve">Konstytucja Rzeczypospolitej Polskiej z dnia 2 kwietnia 1997 r. (Dz.U. 1997, nr 78, poz. 483 z </w:t>
      </w:r>
      <w:proofErr w:type="spellStart"/>
      <w:r w:rsidRPr="00074CEC">
        <w:rPr>
          <w:rFonts w:ascii="Times New Roman" w:hAnsi="Times New Roman"/>
          <w:sz w:val="20"/>
          <w:szCs w:val="20"/>
          <w:lang w:val="pl-PL"/>
        </w:rPr>
        <w:t>późn</w:t>
      </w:r>
      <w:proofErr w:type="spellEnd"/>
      <w:r w:rsidRPr="00074CEC">
        <w:rPr>
          <w:rFonts w:ascii="Times New Roman" w:hAnsi="Times New Roman"/>
          <w:sz w:val="20"/>
          <w:szCs w:val="20"/>
          <w:lang w:val="pl-PL"/>
        </w:rPr>
        <w:t>. zm.).</w:t>
      </w:r>
    </w:p>
    <w:p w14:paraId="66DF10D1" w14:textId="77777777" w:rsidR="00163C7D" w:rsidRDefault="00163C7D" w:rsidP="001672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5E2CC77" w14:textId="5C593F52" w:rsidR="0016725E" w:rsidRPr="00325681" w:rsidRDefault="0016725E" w:rsidP="001672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325681">
        <w:rPr>
          <w:rFonts w:ascii="Times New Roman" w:hAnsi="Times New Roman"/>
          <w:sz w:val="20"/>
          <w:szCs w:val="20"/>
          <w:lang w:val="pl-PL"/>
        </w:rPr>
        <w:t>Ustawa z dnia 26 czerwca 1976 r. – Kodeks pracy (</w:t>
      </w:r>
      <w:proofErr w:type="spellStart"/>
      <w:r w:rsidRPr="00325681">
        <w:rPr>
          <w:rFonts w:ascii="Times New Roman" w:hAnsi="Times New Roman"/>
          <w:sz w:val="20"/>
          <w:szCs w:val="20"/>
          <w:lang w:val="pl-PL"/>
        </w:rPr>
        <w:t>t.j</w:t>
      </w:r>
      <w:proofErr w:type="spellEnd"/>
      <w:r w:rsidRPr="00325681">
        <w:rPr>
          <w:rFonts w:ascii="Times New Roman" w:hAnsi="Times New Roman"/>
          <w:sz w:val="20"/>
          <w:szCs w:val="20"/>
          <w:lang w:val="pl-PL"/>
        </w:rPr>
        <w:t>. Dz.U. 2019, poz. 1040 ze zm.).</w:t>
      </w:r>
    </w:p>
    <w:p w14:paraId="2AF6E26D" w14:textId="77777777" w:rsidR="00163C7D" w:rsidRDefault="00163C7D" w:rsidP="00163C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481A87D9" w14:textId="5FF73D48" w:rsidR="00163C7D" w:rsidRPr="00A567D8" w:rsidRDefault="00163C7D" w:rsidP="00163C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A567D8">
        <w:rPr>
          <w:rFonts w:ascii="Times New Roman" w:eastAsia="Times New Roman" w:hAnsi="Times New Roman"/>
          <w:sz w:val="20"/>
          <w:szCs w:val="20"/>
          <w:lang w:val="pl-PL"/>
        </w:rPr>
        <w:lastRenderedPageBreak/>
        <w:t>Oświadczenie pisemne Parlamentu Europejskiego z dnia 13 października 2011 r. w sprawie zarządzania populacją psów w Unii Europejskiej (P7_</w:t>
      </w:r>
      <w:proofErr w:type="gramStart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TA(</w:t>
      </w:r>
      <w:proofErr w:type="gramEnd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2011)0444) (</w:t>
      </w:r>
      <w:proofErr w:type="spellStart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Dz.Urz</w:t>
      </w:r>
      <w:proofErr w:type="spellEnd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. UE 2013/C 94 E/05).</w:t>
      </w:r>
    </w:p>
    <w:p w14:paraId="3CDA5CB5" w14:textId="77777777" w:rsidR="00163C7D" w:rsidRPr="00A567D8" w:rsidRDefault="00163C7D" w:rsidP="00163C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20237388" w14:textId="77777777" w:rsidR="00163C7D" w:rsidRPr="00A567D8" w:rsidRDefault="00163C7D" w:rsidP="00163C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A567D8">
        <w:rPr>
          <w:rFonts w:ascii="Times New Roman" w:eastAsia="Times New Roman" w:hAnsi="Times New Roman"/>
          <w:sz w:val="20"/>
          <w:szCs w:val="20"/>
          <w:lang w:val="pl-PL"/>
        </w:rPr>
        <w:t>Rezolucja Parlamentu Europejskiego w sprawie Wspólnotowego planu działań dotyczącego ochrony i dobrostanu zwierząt na lata 2006–2010 (2006/2046(INI)) (</w:t>
      </w:r>
      <w:proofErr w:type="spellStart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Dz.Urz</w:t>
      </w:r>
      <w:proofErr w:type="spellEnd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. UE C 308 E, 16.12.2006).</w:t>
      </w:r>
    </w:p>
    <w:p w14:paraId="24F14EF1" w14:textId="77777777" w:rsidR="00325681" w:rsidRPr="00074CEC" w:rsidRDefault="00325681" w:rsidP="003256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86E4885" w14:textId="77777777" w:rsidR="00325681" w:rsidRPr="00074CEC" w:rsidRDefault="00325681" w:rsidP="003256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74CEC">
        <w:rPr>
          <w:rFonts w:ascii="Times New Roman" w:hAnsi="Times New Roman"/>
          <w:sz w:val="20"/>
          <w:szCs w:val="20"/>
          <w:lang w:val="pl-PL"/>
        </w:rPr>
        <w:t>Rozporządzenie Ministra Zdrowia z dnia 13 marca 2020 r. w sprawie ogłoszenia na obszarze Rzeczypospolitej Polskiej stanu zagrożenia epidemicznego (Dz.U. 2020, poz. 4233).</w:t>
      </w:r>
    </w:p>
    <w:p w14:paraId="2F75B376" w14:textId="77777777" w:rsidR="00926E8C" w:rsidRDefault="00926E8C" w:rsidP="00926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F088EE3" w14:textId="465E6C83" w:rsidR="00926E8C" w:rsidRPr="00325681" w:rsidRDefault="00926E8C" w:rsidP="00926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325681">
        <w:rPr>
          <w:rFonts w:ascii="Times New Roman" w:hAnsi="Times New Roman"/>
          <w:sz w:val="20"/>
          <w:szCs w:val="20"/>
          <w:lang w:val="pl-PL"/>
        </w:rPr>
        <w:t>Ustawa z dnia 26 czerwca 1976 r. – Kodeks pracy (</w:t>
      </w:r>
      <w:proofErr w:type="spellStart"/>
      <w:r w:rsidRPr="00325681">
        <w:rPr>
          <w:rFonts w:ascii="Times New Roman" w:hAnsi="Times New Roman"/>
          <w:sz w:val="20"/>
          <w:szCs w:val="20"/>
          <w:lang w:val="pl-PL"/>
        </w:rPr>
        <w:t>t.j</w:t>
      </w:r>
      <w:proofErr w:type="spellEnd"/>
      <w:r w:rsidRPr="00325681">
        <w:rPr>
          <w:rFonts w:ascii="Times New Roman" w:hAnsi="Times New Roman"/>
          <w:sz w:val="20"/>
          <w:szCs w:val="20"/>
          <w:lang w:val="pl-PL"/>
        </w:rPr>
        <w:t>. Dz.U. 2019, poz. 1040 ze zm.).</w:t>
      </w:r>
    </w:p>
    <w:p w14:paraId="6F5CDF69" w14:textId="77777777" w:rsidR="00163C7D" w:rsidRDefault="00163C7D" w:rsidP="0074350E">
      <w:pPr>
        <w:spacing w:after="0" w:line="240" w:lineRule="auto"/>
        <w:contextualSpacing/>
        <w:jc w:val="both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4F27A3FD" w14:textId="60169535" w:rsidR="00BC2F19" w:rsidRPr="00BC2F19" w:rsidRDefault="0074350E" w:rsidP="00BC2F19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  <w:lang w:val="pl-PL"/>
        </w:rPr>
      </w:pPr>
      <w:r w:rsidRPr="00A567D8">
        <w:rPr>
          <w:rFonts w:ascii="Times New Roman" w:hAnsi="Times New Roman"/>
          <w:smallCaps/>
          <w:sz w:val="20"/>
          <w:szCs w:val="20"/>
          <w:lang w:val="pl-PL"/>
        </w:rPr>
        <w:t>Orzecznictwo</w:t>
      </w:r>
    </w:p>
    <w:p w14:paraId="3A7C9138" w14:textId="77777777" w:rsidR="00BC2F19" w:rsidRDefault="00BC2F19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6A9BD27" w14:textId="77777777" w:rsidR="00BC2F19" w:rsidRPr="00BC2F19" w:rsidRDefault="00BC2F19" w:rsidP="00BC2F19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  <w:r w:rsidRPr="00BC2F19">
        <w:rPr>
          <w:rFonts w:ascii="Times" w:hAnsi="Times"/>
          <w:sz w:val="20"/>
          <w:szCs w:val="20"/>
          <w:lang w:val="pl-PL"/>
        </w:rPr>
        <w:t>Wyrok NSA z dnia 30 stycznia 2018 r., II OSK 2618/17, LEX nr 2469308.</w:t>
      </w:r>
    </w:p>
    <w:p w14:paraId="08CA4B5A" w14:textId="77777777" w:rsidR="00BC2F19" w:rsidRPr="00BC2F19" w:rsidRDefault="00BC2F19" w:rsidP="00BC2F19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</w:p>
    <w:p w14:paraId="53B9686D" w14:textId="77777777" w:rsidR="00BC2F19" w:rsidRPr="00BC2F19" w:rsidRDefault="00BC2F19" w:rsidP="00BC2F19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  <w:r w:rsidRPr="00BC2F19">
        <w:rPr>
          <w:rFonts w:ascii="Times" w:hAnsi="Times"/>
          <w:sz w:val="20"/>
          <w:szCs w:val="20"/>
          <w:lang w:val="pl-PL"/>
        </w:rPr>
        <w:t>Wyrok NSA z dnia 10 kwietnia 2018 r., II OSK 3194/17, LEX nr 2479775.</w:t>
      </w:r>
    </w:p>
    <w:p w14:paraId="3A4F7E36" w14:textId="77777777" w:rsidR="00BC2F19" w:rsidRDefault="00BC2F19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ED58D52" w14:textId="7D517DAE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4350E">
        <w:rPr>
          <w:rFonts w:ascii="Times New Roman" w:hAnsi="Times New Roman"/>
          <w:sz w:val="20"/>
          <w:szCs w:val="20"/>
          <w:lang w:val="pl-PL"/>
        </w:rPr>
        <w:t>Wyrok SA w Gdańsku z dnia 21 grudnia 2016 r., III Au/12/9316, LEX 2191588.</w:t>
      </w:r>
    </w:p>
    <w:p w14:paraId="619B8EB7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7BEF7BF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4350E">
        <w:rPr>
          <w:rFonts w:ascii="Times New Roman" w:hAnsi="Times New Roman"/>
          <w:sz w:val="20"/>
          <w:szCs w:val="20"/>
          <w:lang w:val="pl-PL"/>
        </w:rPr>
        <w:t>Wyrok SN z dnia 19 kwietnia 2010 r., II PK 310/09, LEX nr 602698.</w:t>
      </w:r>
    </w:p>
    <w:p w14:paraId="64331820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731773E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4350E">
        <w:rPr>
          <w:rFonts w:ascii="Times New Roman" w:hAnsi="Times New Roman"/>
          <w:sz w:val="20"/>
          <w:szCs w:val="20"/>
          <w:lang w:val="pl-PL"/>
        </w:rPr>
        <w:t xml:space="preserve">Wyrok SN z dnia 10 października 2019 </w:t>
      </w:r>
      <w:proofErr w:type="gramStart"/>
      <w:r w:rsidRPr="0074350E">
        <w:rPr>
          <w:rFonts w:ascii="Times New Roman" w:hAnsi="Times New Roman"/>
          <w:sz w:val="20"/>
          <w:szCs w:val="20"/>
          <w:lang w:val="pl-PL"/>
        </w:rPr>
        <w:t>r.,</w:t>
      </w:r>
      <w:proofErr w:type="gramEnd"/>
      <w:r w:rsidRPr="0074350E">
        <w:rPr>
          <w:rFonts w:ascii="Times New Roman" w:hAnsi="Times New Roman"/>
          <w:sz w:val="20"/>
          <w:szCs w:val="20"/>
          <w:lang w:val="pl-PL"/>
        </w:rPr>
        <w:t xml:space="preserve"> I PK 196/18, LEX nr 2773243.</w:t>
      </w:r>
    </w:p>
    <w:p w14:paraId="5FB8436A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AFF14B2" w14:textId="77777777" w:rsidR="0074350E" w:rsidRPr="00325681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325681">
        <w:rPr>
          <w:rFonts w:ascii="Times New Roman" w:hAnsi="Times New Roman"/>
          <w:sz w:val="20"/>
          <w:szCs w:val="20"/>
          <w:lang w:val="pl-PL"/>
        </w:rPr>
        <w:t>Wyrok TK z dnia 13 marca 2000 r., K 1/99, OTK 2000, nr 2, poz. 59.</w:t>
      </w:r>
    </w:p>
    <w:p w14:paraId="05BA06D8" w14:textId="77777777" w:rsidR="00B874D2" w:rsidRDefault="00B874D2" w:rsidP="00B874D2">
      <w:pPr>
        <w:spacing w:after="0" w:line="240" w:lineRule="auto"/>
        <w:rPr>
          <w:sz w:val="20"/>
          <w:szCs w:val="20"/>
          <w:lang w:val="pl-PL"/>
        </w:rPr>
      </w:pPr>
    </w:p>
    <w:p w14:paraId="7568AFC5" w14:textId="1BE6F10B" w:rsidR="00B874D2" w:rsidRPr="00B874D2" w:rsidRDefault="00B874D2" w:rsidP="00B874D2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  <w:r w:rsidRPr="00B874D2">
        <w:rPr>
          <w:rFonts w:ascii="Times" w:hAnsi="Times"/>
          <w:sz w:val="20"/>
          <w:szCs w:val="20"/>
          <w:lang w:val="pl-PL"/>
        </w:rPr>
        <w:t>Wyrok WSA w Rzeszowie z dnia 13 lipca 2010 r., II SAB/</w:t>
      </w:r>
      <w:proofErr w:type="spellStart"/>
      <w:r w:rsidRPr="00B874D2">
        <w:rPr>
          <w:rFonts w:ascii="Times" w:hAnsi="Times"/>
          <w:sz w:val="20"/>
          <w:szCs w:val="20"/>
          <w:lang w:val="pl-PL"/>
        </w:rPr>
        <w:t>Rz</w:t>
      </w:r>
      <w:proofErr w:type="spellEnd"/>
      <w:r w:rsidRPr="00B874D2">
        <w:rPr>
          <w:rFonts w:ascii="Times" w:hAnsi="Times"/>
          <w:sz w:val="20"/>
          <w:szCs w:val="20"/>
          <w:lang w:val="pl-PL"/>
        </w:rPr>
        <w:t xml:space="preserve"> 29/10, LEX nr 602398.</w:t>
      </w:r>
    </w:p>
    <w:p w14:paraId="4C2C18FE" w14:textId="77777777" w:rsidR="00B874D2" w:rsidRPr="00B874D2" w:rsidRDefault="00B874D2" w:rsidP="00B874D2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</w:p>
    <w:p w14:paraId="52C7AF00" w14:textId="77777777" w:rsidR="00B874D2" w:rsidRPr="00B874D2" w:rsidRDefault="00B874D2" w:rsidP="00B874D2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  <w:r w:rsidRPr="00B874D2">
        <w:rPr>
          <w:rFonts w:ascii="Times" w:hAnsi="Times"/>
          <w:sz w:val="20"/>
          <w:szCs w:val="20"/>
          <w:lang w:val="pl-PL"/>
        </w:rPr>
        <w:t>Wyrok WSA w Warszawie z dnia 28 października 2015 r., VII SA/</w:t>
      </w:r>
      <w:proofErr w:type="spellStart"/>
      <w:r w:rsidRPr="00B874D2">
        <w:rPr>
          <w:rFonts w:ascii="Times" w:hAnsi="Times"/>
          <w:sz w:val="20"/>
          <w:szCs w:val="20"/>
          <w:lang w:val="pl-PL"/>
        </w:rPr>
        <w:t>Wa</w:t>
      </w:r>
      <w:proofErr w:type="spellEnd"/>
      <w:r w:rsidRPr="00B874D2">
        <w:rPr>
          <w:rFonts w:ascii="Times" w:hAnsi="Times"/>
          <w:sz w:val="20"/>
          <w:szCs w:val="20"/>
          <w:lang w:val="pl-PL"/>
        </w:rPr>
        <w:t xml:space="preserve"> 1565/15, LEX nr 1941339.</w:t>
      </w:r>
    </w:p>
    <w:p w14:paraId="2E013185" w14:textId="5FFDD5AF" w:rsidR="0074350E" w:rsidRDefault="0074350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27FB7949" w14:textId="77777777" w:rsidR="00B874D2" w:rsidRPr="00325681" w:rsidRDefault="00B874D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sectPr w:rsidR="00B874D2" w:rsidRPr="00325681" w:rsidSect="00950334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73EB" w14:textId="77777777" w:rsidR="00C51273" w:rsidRDefault="00C51273" w:rsidP="00BA1F60">
      <w:pPr>
        <w:spacing w:after="0" w:line="240" w:lineRule="auto"/>
      </w:pPr>
      <w:r>
        <w:separator/>
      </w:r>
    </w:p>
  </w:endnote>
  <w:endnote w:type="continuationSeparator" w:id="0">
    <w:p w14:paraId="6E1DDDAA" w14:textId="77777777" w:rsidR="00C51273" w:rsidRDefault="00C51273" w:rsidP="00B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800675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FF8EBD" w14:textId="5CFFC6D8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4650863" w14:textId="77777777" w:rsidR="009761F1" w:rsidRDefault="009761F1" w:rsidP="009761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163650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106F37D" w14:textId="2E2AC5B4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35C8FD6" w14:textId="77777777" w:rsidR="009761F1" w:rsidRDefault="009761F1" w:rsidP="009761F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397B" w14:textId="77777777" w:rsidR="00E17C47" w:rsidRDefault="00E17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FB5AD" w14:textId="77777777" w:rsidR="00C51273" w:rsidRDefault="00C51273" w:rsidP="00BA1F60">
      <w:pPr>
        <w:spacing w:after="0" w:line="240" w:lineRule="auto"/>
      </w:pPr>
      <w:r>
        <w:separator/>
      </w:r>
    </w:p>
  </w:footnote>
  <w:footnote w:type="continuationSeparator" w:id="0">
    <w:p w14:paraId="49CA5CCB" w14:textId="77777777" w:rsidR="00C51273" w:rsidRDefault="00C51273" w:rsidP="00BA1F60">
      <w:pPr>
        <w:spacing w:after="0" w:line="240" w:lineRule="auto"/>
      </w:pPr>
      <w:r>
        <w:continuationSeparator/>
      </w:r>
    </w:p>
  </w:footnote>
  <w:footnote w:id="1">
    <w:p w14:paraId="53BB9356" w14:textId="243AB11E" w:rsidR="00F9593E" w:rsidRDefault="00F9593E">
      <w:pPr>
        <w:pStyle w:val="Tekstprzypisudolnego"/>
        <w:rPr>
          <w:rFonts w:ascii="Times" w:hAnsi="Times"/>
        </w:rPr>
      </w:pPr>
      <w:r w:rsidRPr="00F9593E">
        <w:rPr>
          <w:rFonts w:ascii="Times" w:hAnsi="Times"/>
        </w:rPr>
        <w:t>CORRESPONDENCE ADDRESS: John Smith, PhD, Assistant Professor, Maria Curie-</w:t>
      </w:r>
      <w:proofErr w:type="spellStart"/>
      <w:r w:rsidRPr="00F9593E">
        <w:rPr>
          <w:rFonts w:ascii="Times" w:hAnsi="Times"/>
        </w:rPr>
        <w:t>Skłodowska</w:t>
      </w:r>
      <w:proofErr w:type="spellEnd"/>
      <w:r w:rsidRPr="00F9593E">
        <w:rPr>
          <w:rFonts w:ascii="Times" w:hAnsi="Times"/>
        </w:rPr>
        <w:t xml:space="preserve"> University (Lublin), Faculty of Law and Administration, Institute of Law, </w:t>
      </w:r>
      <w:proofErr w:type="spellStart"/>
      <w:r w:rsidRPr="00F9593E">
        <w:rPr>
          <w:rFonts w:ascii="Times" w:hAnsi="Times"/>
        </w:rPr>
        <w:t>Plac</w:t>
      </w:r>
      <w:proofErr w:type="spellEnd"/>
      <w:r w:rsidRPr="00F9593E">
        <w:rPr>
          <w:rFonts w:ascii="Times" w:hAnsi="Times"/>
        </w:rPr>
        <w:t xml:space="preserve"> </w:t>
      </w:r>
      <w:proofErr w:type="spellStart"/>
      <w:r w:rsidRPr="00F9593E">
        <w:rPr>
          <w:rFonts w:ascii="Times" w:hAnsi="Times"/>
        </w:rPr>
        <w:t>Marii</w:t>
      </w:r>
      <w:proofErr w:type="spellEnd"/>
      <w:r w:rsidRPr="00F9593E">
        <w:rPr>
          <w:rFonts w:ascii="Times" w:hAnsi="Times"/>
        </w:rPr>
        <w:t xml:space="preserve"> Curie-</w:t>
      </w:r>
      <w:proofErr w:type="spellStart"/>
      <w:r w:rsidRPr="00F9593E">
        <w:rPr>
          <w:rFonts w:ascii="Times" w:hAnsi="Times"/>
        </w:rPr>
        <w:t>Skłodowskiej</w:t>
      </w:r>
      <w:proofErr w:type="spellEnd"/>
      <w:r w:rsidRPr="00F9593E">
        <w:rPr>
          <w:rFonts w:ascii="Times" w:hAnsi="Times"/>
        </w:rPr>
        <w:t xml:space="preserve"> 5, 20-031 Lublin, Poland.</w:t>
      </w:r>
    </w:p>
    <w:p w14:paraId="58E9C25C" w14:textId="5A56EC7E" w:rsidR="00BA407C" w:rsidRPr="00BA407C" w:rsidRDefault="00BA407C">
      <w:pPr>
        <w:pStyle w:val="Tekstprzypisudolnego"/>
        <w:rPr>
          <w:rFonts w:ascii="Times" w:hAnsi="Times"/>
          <w:lang w:val="en-US"/>
        </w:rPr>
      </w:pPr>
      <w:r w:rsidRPr="00BA407C">
        <w:rPr>
          <w:rStyle w:val="Odwoanieprzypisudolnego"/>
          <w:rFonts w:ascii="Times" w:hAnsi="Times"/>
        </w:rPr>
        <w:footnoteRef/>
      </w:r>
      <w:r w:rsidRPr="00BA407C">
        <w:rPr>
          <w:rFonts w:ascii="Times" w:hAnsi="Times"/>
        </w:rPr>
        <w:t xml:space="preserve"> E. </w:t>
      </w:r>
      <w:proofErr w:type="spellStart"/>
      <w:r w:rsidRPr="00BA407C">
        <w:rPr>
          <w:rFonts w:ascii="Times" w:hAnsi="Times"/>
          <w:bCs/>
          <w:iCs/>
          <w:lang w:val="en-US"/>
        </w:rPr>
        <w:t>Ausems</w:t>
      </w:r>
      <w:proofErr w:type="spellEnd"/>
      <w:r w:rsidRPr="00BA407C">
        <w:rPr>
          <w:rFonts w:ascii="Times" w:hAnsi="Times"/>
          <w:bCs/>
          <w:iCs/>
          <w:lang w:val="en-US"/>
        </w:rPr>
        <w:t xml:space="preserve">, </w:t>
      </w:r>
      <w:r w:rsidRPr="00BA407C">
        <w:rPr>
          <w:rFonts w:ascii="Times" w:hAnsi="Times"/>
          <w:bCs/>
          <w:i/>
          <w:iCs/>
          <w:lang w:val="en-US"/>
        </w:rPr>
        <w:t>The Council of Europe and animal welfare</w:t>
      </w:r>
      <w:r w:rsidRPr="00BA407C">
        <w:rPr>
          <w:rFonts w:ascii="Times" w:hAnsi="Times"/>
          <w:bCs/>
          <w:iCs/>
          <w:lang w:val="en-US"/>
        </w:rPr>
        <w:t xml:space="preserve">, [in:] </w:t>
      </w:r>
      <w:r w:rsidRPr="00BA407C">
        <w:rPr>
          <w:rFonts w:ascii="Times" w:hAnsi="Times"/>
          <w:bCs/>
          <w:i/>
          <w:iCs/>
          <w:lang w:val="en-US"/>
        </w:rPr>
        <w:t>Ethical Eye: Animal Welfare</w:t>
      </w:r>
      <w:r w:rsidRPr="00BA407C">
        <w:rPr>
          <w:rFonts w:ascii="Times" w:hAnsi="Times"/>
          <w:bCs/>
          <w:iCs/>
          <w:lang w:val="en-US"/>
        </w:rPr>
        <w:t>, Strasbourg 2006, pp. 249–252</w:t>
      </w:r>
      <w:r w:rsidRPr="00BA407C">
        <w:rPr>
          <w:rFonts w:ascii="Times" w:hAnsi="Times"/>
        </w:rPr>
        <w:t>.</w:t>
      </w:r>
    </w:p>
  </w:footnote>
  <w:footnote w:id="2">
    <w:p w14:paraId="30BF8F99" w14:textId="7B0A3DF5" w:rsidR="0056712E" w:rsidRPr="0056712E" w:rsidRDefault="0056712E">
      <w:pPr>
        <w:pStyle w:val="Tekstprzypisudolnego"/>
        <w:rPr>
          <w:rFonts w:ascii="Times" w:hAnsi="Times"/>
          <w:lang w:val="en-US"/>
        </w:rPr>
      </w:pPr>
      <w:r w:rsidRPr="0056712E">
        <w:rPr>
          <w:rStyle w:val="Odwoanieprzypisudolnego"/>
          <w:rFonts w:ascii="Times" w:hAnsi="Times"/>
        </w:rPr>
        <w:footnoteRef/>
      </w:r>
      <w:r w:rsidRPr="0056712E">
        <w:rPr>
          <w:rFonts w:ascii="Times" w:hAnsi="Times"/>
        </w:rPr>
        <w:t xml:space="preserve"> I. </w:t>
      </w:r>
      <w:proofErr w:type="spellStart"/>
      <w:r w:rsidRPr="0056712E">
        <w:rPr>
          <w:rFonts w:ascii="Times" w:hAnsi="Times"/>
          <w:bCs/>
          <w:iCs/>
        </w:rPr>
        <w:t>Babińska</w:t>
      </w:r>
      <w:proofErr w:type="spellEnd"/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 xml:space="preserve">E. </w:t>
      </w:r>
      <w:proofErr w:type="spellStart"/>
      <w:r w:rsidRPr="0056712E">
        <w:rPr>
          <w:rFonts w:ascii="Times" w:hAnsi="Times"/>
          <w:bCs/>
          <w:iCs/>
        </w:rPr>
        <w:t>Kuczewska</w:t>
      </w:r>
      <w:proofErr w:type="spellEnd"/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 xml:space="preserve">J. </w:t>
      </w:r>
      <w:proofErr w:type="spellStart"/>
      <w:r w:rsidRPr="0056712E">
        <w:rPr>
          <w:rFonts w:ascii="Times" w:hAnsi="Times"/>
          <w:bCs/>
          <w:iCs/>
        </w:rPr>
        <w:t>Konkie</w:t>
      </w:r>
      <w:proofErr w:type="spellEnd"/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 xml:space="preserve">M.Z. </w:t>
      </w:r>
      <w:proofErr w:type="spellStart"/>
      <w:r w:rsidRPr="0056712E">
        <w:rPr>
          <w:rFonts w:ascii="Times" w:hAnsi="Times"/>
          <w:bCs/>
          <w:iCs/>
        </w:rPr>
        <w:t>Felsmann</w:t>
      </w:r>
      <w:proofErr w:type="spellEnd"/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 xml:space="preserve">J. </w:t>
      </w:r>
      <w:proofErr w:type="spellStart"/>
      <w:r w:rsidRPr="0056712E">
        <w:rPr>
          <w:rFonts w:ascii="Times" w:hAnsi="Times"/>
          <w:bCs/>
          <w:iCs/>
        </w:rPr>
        <w:t>Szarek</w:t>
      </w:r>
      <w:proofErr w:type="spellEnd"/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 xml:space="preserve">K. </w:t>
      </w:r>
      <w:proofErr w:type="spellStart"/>
      <w:r w:rsidRPr="0056712E">
        <w:rPr>
          <w:rFonts w:ascii="Times" w:hAnsi="Times"/>
          <w:bCs/>
          <w:iCs/>
        </w:rPr>
        <w:t>Popławski</w:t>
      </w:r>
      <w:proofErr w:type="spellEnd"/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 xml:space="preserve">A. </w:t>
      </w:r>
      <w:proofErr w:type="spellStart"/>
      <w:r w:rsidRPr="0056712E">
        <w:rPr>
          <w:rFonts w:ascii="Times" w:hAnsi="Times"/>
          <w:bCs/>
          <w:iCs/>
        </w:rPr>
        <w:t>Snarska</w:t>
      </w:r>
      <w:proofErr w:type="spellEnd"/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/>
        </w:rPr>
        <w:t>Selected aspects of humane animal protection in Polish law</w:t>
      </w:r>
      <w:r w:rsidRPr="0056712E">
        <w:rPr>
          <w:rFonts w:ascii="Times" w:hAnsi="Times"/>
          <w:bCs/>
        </w:rPr>
        <w:t>, “Polish Journal of Natural Sciences” 2017, vol. 32(2), pp. 407–419</w:t>
      </w:r>
      <w:r>
        <w:rPr>
          <w:rFonts w:ascii="Times" w:hAnsi="Times"/>
          <w:bCs/>
        </w:rPr>
        <w:t>.</w:t>
      </w:r>
    </w:p>
  </w:footnote>
  <w:footnote w:id="3">
    <w:p w14:paraId="60B48330" w14:textId="5B1CE7D5" w:rsidR="00ED4C1B" w:rsidRPr="00ED4C1B" w:rsidRDefault="00ED4C1B" w:rsidP="00712492">
      <w:pPr>
        <w:pStyle w:val="Tekstprzypisudolnego"/>
        <w:rPr>
          <w:rFonts w:ascii="Times" w:hAnsi="Times"/>
        </w:rPr>
      </w:pPr>
      <w:r w:rsidRPr="00F9593E">
        <w:rPr>
          <w:rFonts w:ascii="Times" w:hAnsi="Times"/>
        </w:rPr>
        <w:t>CORRESPONDENCE ADDRESS: John Smith, PhD, Assistant Professor, Maria Curie-</w:t>
      </w:r>
      <w:proofErr w:type="spellStart"/>
      <w:r w:rsidRPr="00F9593E">
        <w:rPr>
          <w:rFonts w:ascii="Times" w:hAnsi="Times"/>
        </w:rPr>
        <w:t>Skłodowska</w:t>
      </w:r>
      <w:proofErr w:type="spellEnd"/>
      <w:r w:rsidRPr="00F9593E">
        <w:rPr>
          <w:rFonts w:ascii="Times" w:hAnsi="Times"/>
        </w:rPr>
        <w:t xml:space="preserve"> University (Lublin), Faculty of Law and Administration, Institute of Law, </w:t>
      </w:r>
      <w:proofErr w:type="spellStart"/>
      <w:r w:rsidRPr="00F9593E">
        <w:rPr>
          <w:rFonts w:ascii="Times" w:hAnsi="Times"/>
        </w:rPr>
        <w:t>Plac</w:t>
      </w:r>
      <w:proofErr w:type="spellEnd"/>
      <w:r w:rsidRPr="00F9593E">
        <w:rPr>
          <w:rFonts w:ascii="Times" w:hAnsi="Times"/>
        </w:rPr>
        <w:t xml:space="preserve"> </w:t>
      </w:r>
      <w:proofErr w:type="spellStart"/>
      <w:r w:rsidRPr="00F9593E">
        <w:rPr>
          <w:rFonts w:ascii="Times" w:hAnsi="Times"/>
        </w:rPr>
        <w:t>Marii</w:t>
      </w:r>
      <w:proofErr w:type="spellEnd"/>
      <w:r w:rsidRPr="00F9593E">
        <w:rPr>
          <w:rFonts w:ascii="Times" w:hAnsi="Times"/>
        </w:rPr>
        <w:t xml:space="preserve"> Curie-</w:t>
      </w:r>
      <w:proofErr w:type="spellStart"/>
      <w:r w:rsidRPr="00F9593E">
        <w:rPr>
          <w:rFonts w:ascii="Times" w:hAnsi="Times"/>
        </w:rPr>
        <w:t>Skłodowskiej</w:t>
      </w:r>
      <w:proofErr w:type="spellEnd"/>
      <w:r w:rsidRPr="00F9593E">
        <w:rPr>
          <w:rFonts w:ascii="Times" w:hAnsi="Times"/>
        </w:rPr>
        <w:t xml:space="preserve"> 5, 20-031 Lublin, Poland.</w:t>
      </w:r>
    </w:p>
    <w:p w14:paraId="13AA0927" w14:textId="2C660402" w:rsidR="00712492" w:rsidRPr="00274E5F" w:rsidRDefault="00712492" w:rsidP="00712492">
      <w:pPr>
        <w:pStyle w:val="Tekstprzypisudolnego"/>
        <w:rPr>
          <w:rFonts w:ascii="Times" w:hAnsi="Times"/>
          <w:lang w:val="hu-HU"/>
        </w:rPr>
      </w:pPr>
      <w:r w:rsidRPr="00274E5F">
        <w:rPr>
          <w:rStyle w:val="Odwoanieprzypisudolnego"/>
          <w:rFonts w:ascii="Times" w:hAnsi="Times"/>
        </w:rPr>
        <w:footnoteRef/>
      </w:r>
      <w:r w:rsidRPr="00274E5F">
        <w:rPr>
          <w:rFonts w:ascii="Times" w:hAnsi="Times"/>
          <w:lang w:val="en-US"/>
        </w:rPr>
        <w:t xml:space="preserve"> </w:t>
      </w:r>
      <w:r w:rsidR="00456282">
        <w:rPr>
          <w:rFonts w:ascii="Times" w:hAnsi="Times"/>
          <w:lang w:val="hu-HU"/>
        </w:rPr>
        <w:t xml:space="preserve">Por. </w:t>
      </w:r>
      <w:r w:rsidRPr="00274E5F">
        <w:rPr>
          <w:rFonts w:ascii="Times" w:hAnsi="Times"/>
          <w:lang w:val="hu-HU"/>
        </w:rPr>
        <w:t xml:space="preserve">J. Kostrubiec, </w:t>
      </w:r>
      <w:r w:rsidRPr="00274E5F">
        <w:rPr>
          <w:rFonts w:ascii="Times" w:hAnsi="Times"/>
          <w:bCs/>
          <w:i/>
          <w:lang w:val="hu-HU"/>
        </w:rPr>
        <w:t xml:space="preserve">The </w:t>
      </w:r>
      <w:proofErr w:type="spellStart"/>
      <w:r w:rsidRPr="00274E5F">
        <w:rPr>
          <w:rFonts w:ascii="Times" w:hAnsi="Times"/>
          <w:bCs/>
          <w:i/>
          <w:lang w:val="hu-HU"/>
        </w:rPr>
        <w:t>Role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of Public </w:t>
      </w:r>
      <w:proofErr w:type="spellStart"/>
      <w:r w:rsidRPr="00274E5F">
        <w:rPr>
          <w:rFonts w:ascii="Times" w:hAnsi="Times"/>
          <w:bCs/>
          <w:i/>
          <w:lang w:val="hu-HU"/>
        </w:rPr>
        <w:t>Order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</w:t>
      </w:r>
      <w:proofErr w:type="spellStart"/>
      <w:r w:rsidRPr="00274E5F">
        <w:rPr>
          <w:rFonts w:ascii="Times" w:hAnsi="Times"/>
          <w:bCs/>
          <w:i/>
          <w:lang w:val="hu-HU"/>
        </w:rPr>
        <w:t>Regulations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</w:t>
      </w:r>
      <w:proofErr w:type="spellStart"/>
      <w:r w:rsidRPr="00274E5F">
        <w:rPr>
          <w:rFonts w:ascii="Times" w:hAnsi="Times"/>
          <w:bCs/>
          <w:i/>
          <w:lang w:val="hu-HU"/>
        </w:rPr>
        <w:t>as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</w:t>
      </w:r>
      <w:proofErr w:type="spellStart"/>
      <w:r w:rsidRPr="00274E5F">
        <w:rPr>
          <w:rFonts w:ascii="Times" w:hAnsi="Times"/>
          <w:bCs/>
          <w:i/>
          <w:lang w:val="hu-HU"/>
        </w:rPr>
        <w:t>Acts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of Local Law in </w:t>
      </w:r>
      <w:proofErr w:type="spellStart"/>
      <w:r w:rsidRPr="00274E5F">
        <w:rPr>
          <w:rFonts w:ascii="Times" w:hAnsi="Times"/>
          <w:bCs/>
          <w:i/>
          <w:lang w:val="hu-HU"/>
        </w:rPr>
        <w:t>the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Performance of </w:t>
      </w:r>
      <w:proofErr w:type="spellStart"/>
      <w:r w:rsidRPr="00274E5F">
        <w:rPr>
          <w:rFonts w:ascii="Times" w:hAnsi="Times"/>
          <w:bCs/>
          <w:i/>
          <w:lang w:val="hu-HU"/>
        </w:rPr>
        <w:t>Tasks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in </w:t>
      </w:r>
      <w:proofErr w:type="spellStart"/>
      <w:r w:rsidRPr="00274E5F">
        <w:rPr>
          <w:rFonts w:ascii="Times" w:hAnsi="Times"/>
          <w:bCs/>
          <w:i/>
          <w:lang w:val="hu-HU"/>
        </w:rPr>
        <w:t>the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</w:t>
      </w:r>
      <w:proofErr w:type="spellStart"/>
      <w:r w:rsidRPr="00274E5F">
        <w:rPr>
          <w:rFonts w:ascii="Times" w:hAnsi="Times"/>
          <w:bCs/>
          <w:i/>
          <w:lang w:val="hu-HU"/>
        </w:rPr>
        <w:t>Field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of Public </w:t>
      </w:r>
      <w:proofErr w:type="spellStart"/>
      <w:r w:rsidRPr="00274E5F">
        <w:rPr>
          <w:rFonts w:ascii="Times" w:hAnsi="Times"/>
          <w:bCs/>
          <w:i/>
          <w:lang w:val="hu-HU"/>
        </w:rPr>
        <w:t>Security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</w:t>
      </w:r>
      <w:proofErr w:type="spellStart"/>
      <w:r w:rsidRPr="00274E5F">
        <w:rPr>
          <w:rFonts w:ascii="Times" w:hAnsi="Times"/>
          <w:bCs/>
          <w:i/>
          <w:lang w:val="hu-HU"/>
        </w:rPr>
        <w:t>by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Local </w:t>
      </w:r>
      <w:proofErr w:type="spellStart"/>
      <w:r w:rsidRPr="00274E5F">
        <w:rPr>
          <w:rFonts w:ascii="Times" w:hAnsi="Times"/>
          <w:bCs/>
          <w:i/>
          <w:lang w:val="hu-HU"/>
        </w:rPr>
        <w:t>Self-government</w:t>
      </w:r>
      <w:proofErr w:type="spellEnd"/>
      <w:r w:rsidRPr="00274E5F">
        <w:rPr>
          <w:rFonts w:ascii="Times" w:hAnsi="Times"/>
          <w:bCs/>
          <w:i/>
          <w:lang w:val="hu-HU"/>
        </w:rPr>
        <w:t xml:space="preserve"> in Poland</w:t>
      </w:r>
      <w:r w:rsidRPr="00274E5F">
        <w:rPr>
          <w:rFonts w:ascii="Times" w:hAnsi="Times"/>
          <w:bCs/>
          <w:lang w:val="hu-HU"/>
        </w:rPr>
        <w:t>, “</w:t>
      </w:r>
      <w:proofErr w:type="spellStart"/>
      <w:r w:rsidRPr="00274E5F">
        <w:rPr>
          <w:rFonts w:ascii="Times" w:hAnsi="Times"/>
          <w:bCs/>
          <w:iCs/>
          <w:lang w:val="hu-HU"/>
        </w:rPr>
        <w:t>Lex</w:t>
      </w:r>
      <w:proofErr w:type="spellEnd"/>
      <w:r w:rsidRPr="00274E5F">
        <w:rPr>
          <w:rFonts w:ascii="Times" w:hAnsi="Times"/>
          <w:bCs/>
          <w:iCs/>
          <w:lang w:val="hu-HU"/>
        </w:rPr>
        <w:t xml:space="preserve"> </w:t>
      </w:r>
      <w:proofErr w:type="spellStart"/>
      <w:r w:rsidRPr="00274E5F">
        <w:rPr>
          <w:rFonts w:ascii="Times" w:hAnsi="Times"/>
          <w:bCs/>
          <w:iCs/>
          <w:lang w:val="hu-HU"/>
        </w:rPr>
        <w:t>Localis</w:t>
      </w:r>
      <w:proofErr w:type="spellEnd"/>
      <w:r w:rsidRPr="00274E5F">
        <w:rPr>
          <w:rFonts w:ascii="Times" w:hAnsi="Times"/>
          <w:bCs/>
          <w:iCs/>
          <w:lang w:val="hu-HU"/>
        </w:rPr>
        <w:t xml:space="preserve"> – Journal of Local </w:t>
      </w:r>
      <w:proofErr w:type="spellStart"/>
      <w:r w:rsidRPr="00274E5F">
        <w:rPr>
          <w:rFonts w:ascii="Times" w:hAnsi="Times"/>
          <w:bCs/>
          <w:iCs/>
          <w:lang w:val="hu-HU"/>
        </w:rPr>
        <w:t>Self-government</w:t>
      </w:r>
      <w:proofErr w:type="spellEnd"/>
      <w:r w:rsidRPr="00274E5F">
        <w:rPr>
          <w:rFonts w:ascii="Times" w:hAnsi="Times"/>
          <w:bCs/>
          <w:iCs/>
          <w:lang w:val="hu-HU"/>
        </w:rPr>
        <w:t xml:space="preserve">” </w:t>
      </w:r>
      <w:r w:rsidRPr="00274E5F">
        <w:rPr>
          <w:rFonts w:ascii="Times" w:hAnsi="Times"/>
          <w:bCs/>
          <w:lang w:val="hu-HU"/>
        </w:rPr>
        <w:t xml:space="preserve">2021, </w:t>
      </w:r>
      <w:proofErr w:type="spellStart"/>
      <w:r w:rsidRPr="00274E5F">
        <w:rPr>
          <w:rFonts w:ascii="Times" w:hAnsi="Times"/>
          <w:bCs/>
          <w:lang w:val="hu-HU"/>
        </w:rPr>
        <w:t>vol</w:t>
      </w:r>
      <w:proofErr w:type="spellEnd"/>
      <w:r w:rsidRPr="00274E5F">
        <w:rPr>
          <w:rFonts w:ascii="Times" w:hAnsi="Times"/>
          <w:bCs/>
          <w:lang w:val="hu-HU"/>
        </w:rPr>
        <w:t>. 19(1)</w:t>
      </w:r>
      <w:r w:rsidRPr="00274E5F">
        <w:rPr>
          <w:rFonts w:ascii="Times" w:hAnsi="Times"/>
          <w:lang w:val="hu-HU"/>
        </w:rPr>
        <w:t xml:space="preserve">, </w:t>
      </w:r>
      <w:proofErr w:type="spellStart"/>
      <w:r w:rsidR="00456282">
        <w:rPr>
          <w:rFonts w:ascii="Times" w:hAnsi="Times"/>
          <w:lang w:val="hu-HU"/>
        </w:rPr>
        <w:t>ss</w:t>
      </w:r>
      <w:proofErr w:type="spellEnd"/>
      <w:r w:rsidRPr="00274E5F">
        <w:rPr>
          <w:rFonts w:ascii="Times" w:hAnsi="Times"/>
          <w:lang w:val="hu-HU"/>
        </w:rPr>
        <w:t>. 112–113.</w:t>
      </w:r>
    </w:p>
  </w:footnote>
  <w:footnote w:id="4">
    <w:p w14:paraId="7D2DCB52" w14:textId="0DF2663B" w:rsidR="00712492" w:rsidRPr="003C2DD5" w:rsidRDefault="00712492" w:rsidP="00712492">
      <w:pPr>
        <w:pStyle w:val="Tekstprzypisudolnego"/>
        <w:rPr>
          <w:rFonts w:ascii="Times" w:hAnsi="Times"/>
          <w:lang w:val="pl-PL"/>
        </w:rPr>
      </w:pPr>
      <w:r w:rsidRPr="003C2DD5">
        <w:rPr>
          <w:rStyle w:val="Odwoanieprzypisudolnego"/>
          <w:rFonts w:ascii="Times" w:hAnsi="Times"/>
        </w:rPr>
        <w:footnoteRef/>
      </w:r>
      <w:r w:rsidRPr="003C2DD5">
        <w:rPr>
          <w:rFonts w:ascii="Times" w:hAnsi="Times"/>
          <w:lang w:val="pl-PL"/>
        </w:rPr>
        <w:t xml:space="preserve"> </w:t>
      </w:r>
      <w:r w:rsidRPr="00A567D8">
        <w:rPr>
          <w:rFonts w:ascii="Times New Roman" w:eastAsia="Times New Roman" w:hAnsi="Times New Roman"/>
          <w:lang w:val="pl-PL"/>
        </w:rPr>
        <w:t xml:space="preserve">E. Jachnik, </w:t>
      </w:r>
      <w:r w:rsidRPr="00A567D8">
        <w:rPr>
          <w:rFonts w:ascii="Times New Roman" w:hAnsi="Times New Roman"/>
          <w:i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lang w:val="pl-PL"/>
        </w:rPr>
        <w:t xml:space="preserve">, „Studia </w:t>
      </w:r>
      <w:proofErr w:type="spellStart"/>
      <w:r w:rsidRPr="00A567D8">
        <w:rPr>
          <w:rFonts w:ascii="Times New Roman" w:hAnsi="Times New Roman"/>
          <w:lang w:val="pl-PL"/>
        </w:rPr>
        <w:t>Iuridica</w:t>
      </w:r>
      <w:proofErr w:type="spellEnd"/>
      <w:r w:rsidRPr="00A567D8">
        <w:rPr>
          <w:rFonts w:ascii="Times New Roman" w:hAnsi="Times New Roman"/>
          <w:lang w:val="pl-PL"/>
        </w:rPr>
        <w:t xml:space="preserve"> </w:t>
      </w:r>
      <w:proofErr w:type="spellStart"/>
      <w:r w:rsidRPr="00A567D8">
        <w:rPr>
          <w:rFonts w:ascii="Times New Roman" w:hAnsi="Times New Roman"/>
          <w:lang w:val="pl-PL"/>
        </w:rPr>
        <w:t>Lublinensia</w:t>
      </w:r>
      <w:proofErr w:type="spellEnd"/>
      <w:r w:rsidRPr="00A567D8">
        <w:rPr>
          <w:rFonts w:ascii="Times New Roman" w:hAnsi="Times New Roman"/>
          <w:lang w:val="pl-PL"/>
        </w:rPr>
        <w:t>” 2017, vol. 26(1)</w:t>
      </w:r>
      <w:r w:rsidRPr="00A567D8">
        <w:rPr>
          <w:rFonts w:ascii="Times New Roman" w:eastAsia="Times New Roman" w:hAnsi="Times New Roman"/>
          <w:lang w:val="pl-PL"/>
        </w:rPr>
        <w:t xml:space="preserve">, </w:t>
      </w:r>
      <w:r w:rsidR="004822FE">
        <w:rPr>
          <w:rFonts w:ascii="Times New Roman" w:eastAsia="Times New Roman" w:hAnsi="Times New Roman"/>
          <w:lang w:val="pl-PL"/>
        </w:rPr>
        <w:t>s</w:t>
      </w:r>
      <w:r w:rsidRPr="00A567D8">
        <w:rPr>
          <w:rFonts w:ascii="Times New Roman" w:eastAsia="Times New Roman" w:hAnsi="Times New Roman"/>
          <w:lang w:val="pl-PL"/>
        </w:rPr>
        <w:t>. 290</w:t>
      </w:r>
      <w:r>
        <w:rPr>
          <w:rFonts w:ascii="Times New Roman" w:eastAsia="Times New Roman" w:hAnsi="Times New Roman"/>
          <w:lang w:val="pl-PL"/>
        </w:rPr>
        <w:t>.</w:t>
      </w:r>
    </w:p>
  </w:footnote>
  <w:footnote w:id="5">
    <w:p w14:paraId="60DE04CB" w14:textId="75C4C095" w:rsidR="00712492" w:rsidRPr="00F40738" w:rsidRDefault="00712492" w:rsidP="0071249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F40738">
        <w:rPr>
          <w:rStyle w:val="Odwoanieprzypisudolnego"/>
          <w:rFonts w:ascii="Times" w:hAnsi="Times"/>
        </w:rPr>
        <w:footnoteRef/>
      </w:r>
      <w:r w:rsidRPr="00F40738">
        <w:rPr>
          <w:rFonts w:ascii="Times" w:hAnsi="Times"/>
        </w:rPr>
        <w:t xml:space="preserve"> </w:t>
      </w:r>
      <w:r w:rsidRPr="00462E2B">
        <w:rPr>
          <w:rFonts w:ascii="Times New Roman" w:hAnsi="Times New Roman"/>
          <w:sz w:val="20"/>
          <w:szCs w:val="20"/>
        </w:rPr>
        <w:t xml:space="preserve">F. </w:t>
      </w:r>
      <w:proofErr w:type="spellStart"/>
      <w:r w:rsidRPr="00462E2B">
        <w:rPr>
          <w:rFonts w:ascii="Times New Roman" w:hAnsi="Times New Roman"/>
          <w:sz w:val="20"/>
          <w:szCs w:val="20"/>
        </w:rPr>
        <w:t>Gárdos-Orosz</w:t>
      </w:r>
      <w:proofErr w:type="spellEnd"/>
      <w:r w:rsidRPr="00462E2B">
        <w:rPr>
          <w:rFonts w:ascii="Times New Roman" w:hAnsi="Times New Roman"/>
          <w:sz w:val="20"/>
          <w:szCs w:val="20"/>
        </w:rPr>
        <w:t xml:space="preserve">, </w:t>
      </w:r>
      <w:r w:rsidRPr="00CC39DD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Pr="00CC39DD">
        <w:rPr>
          <w:rFonts w:ascii="Times New Roman" w:hAnsi="Times New Roman"/>
          <w:sz w:val="20"/>
          <w:szCs w:val="20"/>
        </w:rPr>
        <w:t>, [</w:t>
      </w:r>
      <w:r w:rsidR="00456A7C">
        <w:rPr>
          <w:rFonts w:ascii="Times New Roman" w:hAnsi="Times New Roman"/>
          <w:sz w:val="20"/>
          <w:szCs w:val="20"/>
        </w:rPr>
        <w:t>w</w:t>
      </w:r>
      <w:r w:rsidRPr="00CC39DD">
        <w:rPr>
          <w:rFonts w:ascii="Times New Roman" w:hAnsi="Times New Roman"/>
          <w:sz w:val="20"/>
          <w:szCs w:val="20"/>
        </w:rPr>
        <w:t xml:space="preserve">:] </w:t>
      </w:r>
      <w:r w:rsidRPr="00CC39DD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CC39DD">
        <w:rPr>
          <w:rFonts w:ascii="Times New Roman" w:hAnsi="Times New Roman"/>
          <w:iCs/>
          <w:sz w:val="20"/>
          <w:szCs w:val="20"/>
        </w:rPr>
        <w:t xml:space="preserve">, ed. </w:t>
      </w:r>
      <w:r w:rsidRPr="00CC39DD">
        <w:rPr>
          <w:rFonts w:ascii="Times New Roman" w:hAnsi="Times New Roman"/>
          <w:sz w:val="20"/>
          <w:szCs w:val="20"/>
          <w:lang w:val="es-ES"/>
        </w:rPr>
        <w:t>J.M. Serna de la Garza, Ciudad de México 2020</w:t>
      </w:r>
      <w:r w:rsidRPr="00462E2B">
        <w:rPr>
          <w:rFonts w:ascii="Times New Roman" w:hAnsi="Times New Roman"/>
          <w:sz w:val="20"/>
          <w:szCs w:val="20"/>
          <w:lang w:val="es-ES"/>
        </w:rPr>
        <w:t xml:space="preserve">, </w:t>
      </w:r>
      <w:r w:rsidR="004822FE">
        <w:rPr>
          <w:rFonts w:ascii="Times New Roman" w:hAnsi="Times New Roman"/>
          <w:sz w:val="20"/>
          <w:szCs w:val="20"/>
          <w:lang w:val="es-ES"/>
        </w:rPr>
        <w:t>ss</w:t>
      </w:r>
      <w:r w:rsidRPr="00462E2B">
        <w:rPr>
          <w:rFonts w:ascii="Times New Roman" w:hAnsi="Times New Roman"/>
          <w:sz w:val="20"/>
          <w:szCs w:val="20"/>
          <w:lang w:val="es-ES"/>
        </w:rPr>
        <w:t>. 159–161.</w:t>
      </w:r>
      <w:r>
        <w:rPr>
          <w:rFonts w:ascii="Times New Roman" w:hAnsi="Times New Roman"/>
          <w:sz w:val="20"/>
          <w:szCs w:val="20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61F5" w14:textId="77777777" w:rsidR="00E17C47" w:rsidRDefault="00E17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64C3" w14:textId="6177028C" w:rsidR="00BA1F60" w:rsidRDefault="00F5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522EE8E" wp14:editId="2DD6591A">
          <wp:simplePos x="0" y="0"/>
          <wp:positionH relativeFrom="page">
            <wp:posOffset>3430440</wp:posOffset>
          </wp:positionH>
          <wp:positionV relativeFrom="page">
            <wp:posOffset>512338</wp:posOffset>
          </wp:positionV>
          <wp:extent cx="3839007" cy="568800"/>
          <wp:effectExtent l="0" t="0" r="0" b="317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007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E59">
      <w:rPr>
        <w:noProof/>
      </w:rPr>
      <w:drawing>
        <wp:inline distT="0" distB="0" distL="0" distR="0" wp14:anchorId="57BAFDB6" wp14:editId="6D491327">
          <wp:extent cx="2032612" cy="7118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70142" cy="75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F60">
      <w:tab/>
    </w:r>
    <w:r w:rsidR="00BA1F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023B" w14:textId="77777777" w:rsidR="00E17C47" w:rsidRDefault="00E17C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8"/>
    <w:rsid w:val="0001550D"/>
    <w:rsid w:val="000238B6"/>
    <w:rsid w:val="0005337C"/>
    <w:rsid w:val="00057D53"/>
    <w:rsid w:val="00061E6A"/>
    <w:rsid w:val="00074CEC"/>
    <w:rsid w:val="000B7EE2"/>
    <w:rsid w:val="000D4279"/>
    <w:rsid w:val="000D4A97"/>
    <w:rsid w:val="000F045D"/>
    <w:rsid w:val="00106208"/>
    <w:rsid w:val="00111FB0"/>
    <w:rsid w:val="00112A35"/>
    <w:rsid w:val="001320D6"/>
    <w:rsid w:val="00157DAB"/>
    <w:rsid w:val="00163C7D"/>
    <w:rsid w:val="001656ED"/>
    <w:rsid w:val="0016725E"/>
    <w:rsid w:val="001C28CE"/>
    <w:rsid w:val="001C39C9"/>
    <w:rsid w:val="001D0C65"/>
    <w:rsid w:val="00217DF0"/>
    <w:rsid w:val="00230236"/>
    <w:rsid w:val="00234A1B"/>
    <w:rsid w:val="00235CA1"/>
    <w:rsid w:val="002459DA"/>
    <w:rsid w:val="0026081B"/>
    <w:rsid w:val="00274E5F"/>
    <w:rsid w:val="0027727E"/>
    <w:rsid w:val="002822C0"/>
    <w:rsid w:val="002D65F7"/>
    <w:rsid w:val="002D7632"/>
    <w:rsid w:val="002E7D1C"/>
    <w:rsid w:val="00325681"/>
    <w:rsid w:val="003505AC"/>
    <w:rsid w:val="00351CBE"/>
    <w:rsid w:val="00380CF5"/>
    <w:rsid w:val="00387BCA"/>
    <w:rsid w:val="003C2DD5"/>
    <w:rsid w:val="003C697D"/>
    <w:rsid w:val="003F50A3"/>
    <w:rsid w:val="0041092B"/>
    <w:rsid w:val="00456282"/>
    <w:rsid w:val="00456A7C"/>
    <w:rsid w:val="004822FE"/>
    <w:rsid w:val="004C5A4C"/>
    <w:rsid w:val="004F2CB9"/>
    <w:rsid w:val="00505C77"/>
    <w:rsid w:val="00534245"/>
    <w:rsid w:val="00546B35"/>
    <w:rsid w:val="00550965"/>
    <w:rsid w:val="0055569D"/>
    <w:rsid w:val="0056403F"/>
    <w:rsid w:val="0056712E"/>
    <w:rsid w:val="005C0B9C"/>
    <w:rsid w:val="005C1D02"/>
    <w:rsid w:val="005F43A2"/>
    <w:rsid w:val="006367E5"/>
    <w:rsid w:val="00655341"/>
    <w:rsid w:val="00662B4B"/>
    <w:rsid w:val="00694A13"/>
    <w:rsid w:val="006A0B62"/>
    <w:rsid w:val="006A1B6C"/>
    <w:rsid w:val="006B234B"/>
    <w:rsid w:val="006D3F42"/>
    <w:rsid w:val="00712492"/>
    <w:rsid w:val="0074350E"/>
    <w:rsid w:val="00762A45"/>
    <w:rsid w:val="00790EBD"/>
    <w:rsid w:val="007A07DC"/>
    <w:rsid w:val="007B119C"/>
    <w:rsid w:val="007B178E"/>
    <w:rsid w:val="007C1F5C"/>
    <w:rsid w:val="00801EE2"/>
    <w:rsid w:val="00840819"/>
    <w:rsid w:val="00886EC0"/>
    <w:rsid w:val="00894B71"/>
    <w:rsid w:val="00897464"/>
    <w:rsid w:val="00897860"/>
    <w:rsid w:val="008B50E5"/>
    <w:rsid w:val="008D6706"/>
    <w:rsid w:val="008E191B"/>
    <w:rsid w:val="008E44BD"/>
    <w:rsid w:val="008F06BF"/>
    <w:rsid w:val="00906C58"/>
    <w:rsid w:val="00907AAC"/>
    <w:rsid w:val="00914ADF"/>
    <w:rsid w:val="00926E8C"/>
    <w:rsid w:val="00935D82"/>
    <w:rsid w:val="00950334"/>
    <w:rsid w:val="00951544"/>
    <w:rsid w:val="009555DC"/>
    <w:rsid w:val="009761F1"/>
    <w:rsid w:val="009E07BE"/>
    <w:rsid w:val="009F1515"/>
    <w:rsid w:val="00A41E1F"/>
    <w:rsid w:val="00A42C34"/>
    <w:rsid w:val="00A511C4"/>
    <w:rsid w:val="00A915BE"/>
    <w:rsid w:val="00A9614A"/>
    <w:rsid w:val="00AD1C0F"/>
    <w:rsid w:val="00B14D8C"/>
    <w:rsid w:val="00B323E5"/>
    <w:rsid w:val="00B469D9"/>
    <w:rsid w:val="00B55C3A"/>
    <w:rsid w:val="00B605EE"/>
    <w:rsid w:val="00B647A5"/>
    <w:rsid w:val="00B73839"/>
    <w:rsid w:val="00B74E93"/>
    <w:rsid w:val="00B874D2"/>
    <w:rsid w:val="00BA1F60"/>
    <w:rsid w:val="00BA407C"/>
    <w:rsid w:val="00BA5B2B"/>
    <w:rsid w:val="00BB7C84"/>
    <w:rsid w:val="00BC2F19"/>
    <w:rsid w:val="00BE2304"/>
    <w:rsid w:val="00C448FF"/>
    <w:rsid w:val="00C51273"/>
    <w:rsid w:val="00C7707C"/>
    <w:rsid w:val="00CA0F46"/>
    <w:rsid w:val="00CA1C72"/>
    <w:rsid w:val="00CD4CAD"/>
    <w:rsid w:val="00CE4FE0"/>
    <w:rsid w:val="00CF6F35"/>
    <w:rsid w:val="00D14662"/>
    <w:rsid w:val="00D157AE"/>
    <w:rsid w:val="00D31210"/>
    <w:rsid w:val="00D328EA"/>
    <w:rsid w:val="00D52DAD"/>
    <w:rsid w:val="00D5397F"/>
    <w:rsid w:val="00DB55B6"/>
    <w:rsid w:val="00DC258D"/>
    <w:rsid w:val="00DC7018"/>
    <w:rsid w:val="00DE70EC"/>
    <w:rsid w:val="00DF55B9"/>
    <w:rsid w:val="00DF5E01"/>
    <w:rsid w:val="00E04DD0"/>
    <w:rsid w:val="00E05FCE"/>
    <w:rsid w:val="00E14F67"/>
    <w:rsid w:val="00E17C47"/>
    <w:rsid w:val="00E2270F"/>
    <w:rsid w:val="00E232C0"/>
    <w:rsid w:val="00E340C5"/>
    <w:rsid w:val="00E4160F"/>
    <w:rsid w:val="00E500F9"/>
    <w:rsid w:val="00E503DF"/>
    <w:rsid w:val="00E50832"/>
    <w:rsid w:val="00E6225D"/>
    <w:rsid w:val="00E62C3E"/>
    <w:rsid w:val="00E6441A"/>
    <w:rsid w:val="00E720C3"/>
    <w:rsid w:val="00E77BB2"/>
    <w:rsid w:val="00EA1110"/>
    <w:rsid w:val="00EB3F1D"/>
    <w:rsid w:val="00EC51FA"/>
    <w:rsid w:val="00ED081A"/>
    <w:rsid w:val="00ED4C1B"/>
    <w:rsid w:val="00F33929"/>
    <w:rsid w:val="00F40738"/>
    <w:rsid w:val="00F44307"/>
    <w:rsid w:val="00F5457D"/>
    <w:rsid w:val="00F54E59"/>
    <w:rsid w:val="00F67B79"/>
    <w:rsid w:val="00F9593E"/>
    <w:rsid w:val="00FE19C7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E44"/>
  <w15:chartTrackingRefBased/>
  <w15:docId w15:val="{F9A8EB4B-B935-F248-96EA-2ED5976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B6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 w:eastAsia="en-GB" w:bidi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A1F60"/>
  </w:style>
  <w:style w:type="paragraph" w:styleId="Stopka">
    <w:name w:val="footer"/>
    <w:basedOn w:val="Normalny"/>
    <w:link w:val="Stopka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A1F60"/>
  </w:style>
  <w:style w:type="character" w:styleId="Hipercze">
    <w:name w:val="Hyperlink"/>
    <w:basedOn w:val="Domylnaczcionkaakapitu"/>
    <w:uiPriority w:val="99"/>
    <w:unhideWhenUsed/>
    <w:rsid w:val="003C69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97D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761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07C"/>
    <w:rPr>
      <w:rFonts w:ascii="Calibri" w:eastAsia="Calibri" w:hAnsi="Calibri" w:cs="Times New Roman"/>
      <w:sz w:val="20"/>
      <w:szCs w:val="20"/>
      <w:lang w:val="en-GB" w:eastAsia="en-GB" w:bidi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07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74E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BB7C84"/>
    <w:pPr>
      <w:spacing w:after="200" w:line="276" w:lineRule="auto"/>
      <w:ind w:left="720"/>
      <w:contextualSpacing/>
    </w:pPr>
    <w:rPr>
      <w:color w:val="00000A"/>
      <w:lang w:val="pl-PL" w:eastAsia="en-US" w:bidi="ar-SA"/>
    </w:rPr>
  </w:style>
  <w:style w:type="paragraph" w:styleId="Bezodstpw">
    <w:name w:val="No Spacing"/>
    <w:uiPriority w:val="1"/>
    <w:qFormat/>
    <w:rsid w:val="00DE70EC"/>
    <w:rPr>
      <w:rFonts w:ascii="Calibri" w:eastAsia="Calibri" w:hAnsi="Calibri" w:cs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35/19.1.111-129(2021)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7951/sil.2017.26.1.287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4335/19.1.111-129(2021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7951/sil.2017.26.1.287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784F5-DA6A-3E4D-9EE5-D957CC3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1443</Words>
  <Characters>9124</Characters>
  <Application>Microsoft Office Word</Application>
  <DocSecurity>0</DocSecurity>
  <Lines>134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Kostrubiec</dc:creator>
  <cp:keywords/>
  <dc:description/>
  <cp:lastModifiedBy>Jarosław Kostrubiec</cp:lastModifiedBy>
  <cp:revision>59</cp:revision>
  <dcterms:created xsi:type="dcterms:W3CDTF">2021-06-30T15:47:00Z</dcterms:created>
  <dcterms:modified xsi:type="dcterms:W3CDTF">2021-06-30T17:41:00Z</dcterms:modified>
</cp:coreProperties>
</file>