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59" w:rsidRPr="000A7C59" w:rsidRDefault="000A7C59" w:rsidP="00703745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Łukasz Schreiber</w:t>
      </w:r>
    </w:p>
    <w:p w:rsidR="0039189C" w:rsidRDefault="003032C1" w:rsidP="0070374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opozycji wobec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Gajusza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Mariusza w roku 104 przed Chr.</w:t>
      </w:r>
      <w:r w:rsidR="000A7C59">
        <w:rPr>
          <w:rStyle w:val="Odwoanieprzypisudolnego"/>
          <w:rFonts w:ascii="Times New Roman" w:hAnsi="Times New Roman"/>
          <w:b/>
          <w:bCs/>
          <w:sz w:val="24"/>
          <w:szCs w:val="24"/>
        </w:rPr>
        <w:t>*</w:t>
      </w:r>
    </w:p>
    <w:p w:rsidR="00703745" w:rsidRDefault="00703745" w:rsidP="00703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0374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Factio</w:t>
      </w:r>
      <w:proofErr w:type="spellEnd"/>
      <w:r w:rsidRPr="0070374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0374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Metelli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opposition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Caius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Marius</w:t>
      </w:r>
      <w:proofErr w:type="spellEnd"/>
      <w:r w:rsidRPr="00703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104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B.C.)</w:t>
      </w:r>
    </w:p>
    <w:p w:rsidR="0039189C" w:rsidRDefault="0039189C" w:rsidP="00703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9189C" w:rsidRDefault="003032C1" w:rsidP="00703745">
      <w:pPr>
        <w:spacing w:after="0" w:line="360" w:lineRule="auto"/>
        <w:ind w:firstLine="708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Uwagi wstępne</w:t>
      </w:r>
    </w:p>
    <w:p w:rsidR="0039189C" w:rsidRDefault="003032C1" w:rsidP="00703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Wybrani, a zarazem najlepsi obywatele na czele państwa – to zdaniem Cycerona był ustrój idealny. Opierać się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miał on na rządach elit, które powinno cechować największe umiarkowanie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u w:color="000000"/>
        </w:rPr>
        <w:t>. Jednocześnie nie</w:t>
      </w:r>
      <w:r>
        <w:rPr>
          <w:rFonts w:ascii="Times New Roman" w:hAnsi="Times New Roman"/>
          <w:sz w:val="24"/>
          <w:szCs w:val="24"/>
        </w:rPr>
        <w:t xml:space="preserve"> tylko dopuszczalna, ale</w:t>
      </w:r>
      <w:bookmarkStart w:id="0" w:name="_Hlk480673985"/>
      <w:r>
        <w:rPr>
          <w:rFonts w:ascii="Times New Roman" w:hAnsi="Times New Roman"/>
          <w:sz w:val="24"/>
          <w:szCs w:val="24"/>
        </w:rPr>
        <w:t xml:space="preserve"> nawet wskazana była szlachetna rywalizacja pomiędzy wszy</w:t>
      </w:r>
      <w:bookmarkEnd w:id="0"/>
      <w:r>
        <w:rPr>
          <w:rFonts w:ascii="Times New Roman" w:hAnsi="Times New Roman"/>
          <w:sz w:val="24"/>
          <w:szCs w:val="24"/>
        </w:rPr>
        <w:t xml:space="preserve">stkimi postaciami życia publicznego oraz poszczególnymi domami arystokracji. Najbardziej wybitnych ludzi swoich czasów, o największym znaczeniu w senacie i wśród ludu, nazywano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principes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civitatis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39189C" w:rsidRDefault="00703745" w:rsidP="00703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06">
        <w:rPr>
          <w:rFonts w:ascii="Times New Roman" w:hAnsi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7CA91" wp14:editId="59530A25">
                <wp:simplePos x="0" y="0"/>
                <wp:positionH relativeFrom="column">
                  <wp:posOffset>-17780</wp:posOffset>
                </wp:positionH>
                <wp:positionV relativeFrom="paragraph">
                  <wp:posOffset>5669915</wp:posOffset>
                </wp:positionV>
                <wp:extent cx="57340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306" w:rsidRDefault="00FB7306" w:rsidP="00FB7306">
                            <w:pPr>
                              <w:pStyle w:val="Stopka"/>
                              <w:jc w:val="both"/>
                            </w:pPr>
                            <w:r>
                              <w:t xml:space="preserve">*Wyrazy głębokiej wdzięczności autor kieruje wobec Pana dra hab. Sebastiana Rucińskiego za okazaną merytoryczną pomoc i krytyczne uwagi podczas prac nad artykułem. Podziękowania należą się także recenzentom „Res </w:t>
                            </w:r>
                            <w:proofErr w:type="spellStart"/>
                            <w:r>
                              <w:t>Historica</w:t>
                            </w:r>
                            <w:proofErr w:type="spellEnd"/>
                            <w:r>
                              <w:t>”. Jedn</w:t>
                            </w:r>
                            <w:r w:rsidR="00703745">
                              <w:t>akże</w:t>
                            </w:r>
                            <w:r>
                              <w:t xml:space="preserve"> wszystkie błędy obecne w niniejszym opracowaniu obciążają wyłącznie osobę autora. </w:t>
                            </w:r>
                          </w:p>
                          <w:p w:rsidR="00FB7306" w:rsidRDefault="00FB73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4pt;margin-top:446.45pt;width:45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">
                <v:textbox>
                  <w:txbxContent>
                    <w:p w:rsidR="00FB7306" w:rsidRDefault="00FB7306" w:rsidP="00FB7306">
                      <w:pPr>
                        <w:pStyle w:val="Stopka"/>
                        <w:jc w:val="both"/>
                      </w:pPr>
                      <w:r>
                        <w:t xml:space="preserve">*Wyrazy głębokiej wdzięczności autor kieruje wobec Pana dra hab. Sebastiana Rucińskiego za okazaną merytoryczną pomoc i krytyczne uwagi podczas prac nad artykułem. Podziękowania należą się także recenzentom „Res </w:t>
                      </w:r>
                      <w:proofErr w:type="spellStart"/>
                      <w:r>
                        <w:t>Historica</w:t>
                      </w:r>
                      <w:proofErr w:type="spellEnd"/>
                      <w:r>
                        <w:t>”. Jedn</w:t>
                      </w:r>
                      <w:r w:rsidR="00703745">
                        <w:t>akże</w:t>
                      </w:r>
                      <w:r>
                        <w:t xml:space="preserve"> wszystkie błędy obecne w niniejszym opracowaniu obciążają wyłącznie osobę autora. </w:t>
                      </w:r>
                    </w:p>
                    <w:p w:rsidR="00FB7306" w:rsidRDefault="00FB7306"/>
                  </w:txbxContent>
                </v:textbox>
              </v:shape>
            </w:pict>
          </mc:Fallback>
        </mc:AlternateContent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 xml:space="preserve">Tyle teorii. W praktyce reguły życia politycznego Republiki Rzymskiej na przełomie II i </w:t>
      </w:r>
      <w:proofErr w:type="spellStart"/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I</w:t>
      </w:r>
      <w:proofErr w:type="spellEnd"/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 xml:space="preserve"> wieku</w:t>
      </w:r>
      <w:r w:rsidR="003032C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4"/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3032C1" w:rsidRPr="00272873">
        <w:rPr>
          <w:rFonts w:ascii="Times New Roman" w:hAnsi="Times New Roman"/>
          <w:color w:val="auto"/>
          <w:sz w:val="24"/>
          <w:szCs w:val="24"/>
          <w:u w:color="000000"/>
        </w:rPr>
        <w:t xml:space="preserve">oparte były </w:t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na rywalizacji potężnych i wpływowych rodów (</w:t>
      </w:r>
      <w:proofErr w:type="spellStart"/>
      <w:r w:rsidR="003032C1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gentes</w:t>
      </w:r>
      <w:proofErr w:type="spellEnd"/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 w:rsidR="003032C1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, </w:t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które gromadziły majątki, pozyskiwały klientów, zabiegały o stanowiska dla swoich przedstawicieli</w:t>
      </w:r>
      <w:r w:rsidR="003032C1">
        <w:rPr>
          <w:rFonts w:ascii="Times New Roman" w:hAnsi="Times New Roman"/>
          <w:sz w:val="24"/>
          <w:szCs w:val="24"/>
        </w:rPr>
        <w:t xml:space="preserve"> i szukały sojuszy w więzach krwi, przyjaźniach (</w:t>
      </w:r>
      <w:proofErr w:type="spellStart"/>
      <w:r w:rsidR="003032C1">
        <w:rPr>
          <w:rFonts w:ascii="Times New Roman" w:hAnsi="Times New Roman"/>
          <w:i/>
          <w:iCs/>
          <w:sz w:val="24"/>
          <w:szCs w:val="24"/>
        </w:rPr>
        <w:t>amicitia</w:t>
      </w:r>
      <w:proofErr w:type="spellEnd"/>
      <w:r w:rsidR="003032C1">
        <w:rPr>
          <w:rFonts w:ascii="Times New Roman" w:hAnsi="Times New Roman"/>
          <w:sz w:val="24"/>
          <w:szCs w:val="24"/>
        </w:rPr>
        <w:t>) oraz koligacjach małżeńskich</w:t>
      </w:r>
      <w:r w:rsidR="003032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="003032C1">
        <w:rPr>
          <w:rFonts w:ascii="Times New Roman" w:hAnsi="Times New Roman"/>
          <w:sz w:val="24"/>
          <w:szCs w:val="24"/>
        </w:rPr>
        <w:t>. Prym domom arystokracji nadawali najbardziej doświadczeni senatorowie, najczęściej byli konsulowie</w:t>
      </w:r>
      <w:r w:rsidR="003032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="003032C1">
        <w:rPr>
          <w:rFonts w:ascii="Times New Roman" w:hAnsi="Times New Roman"/>
          <w:sz w:val="24"/>
          <w:szCs w:val="24"/>
        </w:rPr>
        <w:t>. Z antycznych kronik wyłania nam się obra</w:t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z zaciętej, nierzadko bezwzględnej walki o honor rodu i własną reputację</w:t>
      </w:r>
      <w:r w:rsidR="003032C1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 </w:t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(</w:t>
      </w:r>
      <w:proofErr w:type="spellStart"/>
      <w:r w:rsidR="003032C1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auctoritas</w:t>
      </w:r>
      <w:proofErr w:type="spellEnd"/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), prestiż (</w:t>
      </w:r>
      <w:proofErr w:type="spellStart"/>
      <w:r w:rsidR="003032C1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dignitas</w:t>
      </w:r>
      <w:proofErr w:type="spellEnd"/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 w:rsidR="003032C1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 </w:t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>oraz chwałę (</w:t>
      </w:r>
      <w:r w:rsidR="003032C1"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gloria</w:t>
      </w:r>
      <w:r w:rsidR="003032C1">
        <w:rPr>
          <w:rFonts w:ascii="Times New Roman" w:hAnsi="Times New Roman"/>
          <w:color w:val="000000"/>
          <w:sz w:val="24"/>
          <w:szCs w:val="24"/>
          <w:u w:color="000000"/>
        </w:rPr>
        <w:t xml:space="preserve">), które toczyły się przy zachowaniu niepisanych reguł. </w:t>
      </w: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Szersze koalicje, wykraczające poza krąg danego rodu, zawiązywano najczęściej na czas wyborów, w przypadkach konfliktów </w:t>
      </w:r>
      <w:r w:rsidRPr="00272873">
        <w:rPr>
          <w:rFonts w:ascii="Times New Roman" w:hAnsi="Times New Roman"/>
          <w:color w:val="auto"/>
          <w:sz w:val="24"/>
          <w:szCs w:val="24"/>
        </w:rPr>
        <w:t xml:space="preserve">wewnętrznych, czy zagrożeń zewnętrznych głównie o charakterze militarnym. W związku z zaostrzeniem się </w:t>
      </w:r>
      <w:r w:rsidRPr="00272873">
        <w:rPr>
          <w:rFonts w:ascii="Times New Roman" w:hAnsi="Times New Roman"/>
          <w:color w:val="auto"/>
          <w:sz w:val="24"/>
          <w:szCs w:val="24"/>
          <w:u w:color="000000"/>
        </w:rPr>
        <w:t xml:space="preserve">politycznych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sporów, dla których symboliczną cezurą była działalność braci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Grakchów</w:t>
      </w:r>
      <w:proofErr w:type="spellEnd"/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w latach 133-121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,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zaistniała naturalna potrzeba utrzymywania takich nieformalnych sojuszy przez dłuższy czas.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W związku z tym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do politycznego słownika Republiki Rzymskiej wszedł termin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factio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>– pierwotnie mający neutralne znaczenie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8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, stosowany na szeroką skalę dopiero w okresie wojen </w:t>
      </w:r>
      <w:r>
        <w:rPr>
          <w:rFonts w:ascii="Times New Roman" w:hAnsi="Times New Roman"/>
          <w:sz w:val="24"/>
          <w:szCs w:val="24"/>
        </w:rPr>
        <w:t>domowych, choć wtedy już w znaczeniu pejoratywnym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Fonts w:ascii="Times New Roman" w:hAnsi="Times New Roman"/>
          <w:sz w:val="24"/>
          <w:szCs w:val="24"/>
        </w:rPr>
        <w:t xml:space="preserve">. </w:t>
      </w:r>
      <w:r w:rsidRPr="00272873">
        <w:rPr>
          <w:rFonts w:ascii="Times New Roman" w:hAnsi="Times New Roman"/>
          <w:color w:val="auto"/>
          <w:sz w:val="24"/>
          <w:szCs w:val="24"/>
        </w:rPr>
        <w:t xml:space="preserve">Najwcześniej (biorąc pod </w:t>
      </w:r>
      <w:r>
        <w:rPr>
          <w:rFonts w:ascii="Times New Roman" w:hAnsi="Times New Roman"/>
          <w:sz w:val="24"/>
          <w:szCs w:val="24"/>
        </w:rPr>
        <w:t xml:space="preserve">uwagę chronologię powstawania tekstu, a nie opisywanych wydarzeń) pojawił się on u nieznanego autora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Rhetorica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Herennium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10"/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 na dobre wybrzmiał dopiero w latach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50. I wieku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pismach politycznych G. Salustiusza </w:t>
      </w:r>
      <w:proofErr w:type="spellStart"/>
      <w:r>
        <w:rPr>
          <w:rFonts w:ascii="Times New Roman" w:hAnsi="Times New Roman"/>
          <w:sz w:val="24"/>
          <w:szCs w:val="24"/>
        </w:rPr>
        <w:t>Kryspusa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 i M. </w:t>
      </w:r>
      <w:proofErr w:type="spellStart"/>
      <w:r>
        <w:rPr>
          <w:rFonts w:ascii="Times New Roman" w:hAnsi="Times New Roman"/>
          <w:sz w:val="24"/>
          <w:szCs w:val="24"/>
        </w:rPr>
        <w:t>Tulliusza</w:t>
      </w:r>
      <w:proofErr w:type="spellEnd"/>
      <w:r>
        <w:rPr>
          <w:rFonts w:ascii="Times New Roman" w:hAnsi="Times New Roman"/>
          <w:sz w:val="24"/>
          <w:szCs w:val="24"/>
        </w:rPr>
        <w:t xml:space="preserve"> Cycerona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  <w:r>
        <w:rPr>
          <w:rFonts w:ascii="Times New Roman" w:hAnsi="Times New Roman"/>
          <w:sz w:val="24"/>
          <w:szCs w:val="24"/>
        </w:rPr>
        <w:t xml:space="preserve">. Posługiwał się nim również G. Juliusz Cezar, a jednostkowo spotykamy go w dziele autorstwa </w:t>
      </w:r>
      <w:proofErr w:type="spellStart"/>
      <w:r>
        <w:rPr>
          <w:rFonts w:ascii="Times New Roman" w:hAnsi="Times New Roman"/>
          <w:sz w:val="24"/>
          <w:szCs w:val="24"/>
        </w:rPr>
        <w:t>Aulusa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Hircjusza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>
        <w:rPr>
          <w:rFonts w:ascii="Times New Roman" w:hAnsi="Times New Roman"/>
          <w:sz w:val="24"/>
          <w:szCs w:val="24"/>
        </w:rPr>
        <w:t xml:space="preserve">. Tytus Liwiusz piszący swe monumentalne dzieło za rządów Augusta,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używa 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do roku 167 bardzo rzadko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>
        <w:rPr>
          <w:rFonts w:ascii="Times New Roman" w:hAnsi="Times New Roman"/>
          <w:sz w:val="24"/>
          <w:szCs w:val="24"/>
        </w:rPr>
        <w:t>. Współczesna nauka przyjęła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termin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sz w:val="24"/>
          <w:szCs w:val="24"/>
        </w:rPr>
        <w:t>, by posłużyć się nim do określenia stronnictw funkcjonujących w Republice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5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Przy okazji wyborów na najważniejsze urzędy, najmocniej objawiała się walka polityczna w antycznym Rzymie – i to na jej temat Salustiusz skreślił gorzkie słowa, że „konsulat arystokra</w:t>
      </w:r>
      <w:r w:rsidR="00272873">
        <w:rPr>
          <w:rFonts w:ascii="Times New Roman" w:hAnsi="Times New Roman"/>
          <w:sz w:val="24"/>
          <w:szCs w:val="24"/>
        </w:rPr>
        <w:t xml:space="preserve">cja z ręki do ręki </w:t>
      </w:r>
      <w:r w:rsidR="008835EB">
        <w:rPr>
          <w:rFonts w:ascii="Times New Roman" w:hAnsi="Times New Roman"/>
          <w:sz w:val="24"/>
          <w:szCs w:val="24"/>
        </w:rPr>
        <w:t xml:space="preserve">sobie </w:t>
      </w:r>
      <w:r w:rsidR="00272873">
        <w:rPr>
          <w:rFonts w:ascii="Times New Roman" w:hAnsi="Times New Roman"/>
          <w:sz w:val="24"/>
          <w:szCs w:val="24"/>
        </w:rPr>
        <w:t>przekazywała”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6"/>
      </w:r>
      <w:r w:rsidR="002728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Jest to uwaga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mocno przesadzona,</w:t>
      </w:r>
      <w:r>
        <w:rPr>
          <w:rFonts w:ascii="Times New Roman" w:hAnsi="Times New Roman"/>
          <w:sz w:val="24"/>
          <w:szCs w:val="24"/>
        </w:rPr>
        <w:t xml:space="preserve"> bowiem o żadnym przekazywaniu mowy być nie </w:t>
      </w:r>
      <w:r w:rsidRPr="002B61E6">
        <w:rPr>
          <w:rFonts w:ascii="Times New Roman" w:hAnsi="Times New Roman"/>
          <w:color w:val="auto"/>
          <w:sz w:val="24"/>
          <w:szCs w:val="24"/>
        </w:rPr>
        <w:t>mogło</w:t>
      </w:r>
      <w:r>
        <w:rPr>
          <w:rFonts w:ascii="Times New Roman" w:hAnsi="Times New Roman"/>
          <w:sz w:val="24"/>
          <w:szCs w:val="24"/>
        </w:rPr>
        <w:t xml:space="preserve"> – zbyt wielu było chętnych w stosunku do ilości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zwycięzców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>
        <w:rPr>
          <w:rFonts w:ascii="Times New Roman" w:hAnsi="Times New Roman"/>
          <w:sz w:val="24"/>
          <w:szCs w:val="24"/>
        </w:rPr>
        <w:t xml:space="preserve">. Widać to doskonale przy okazji badań nad grobowcem znamienitego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rodu </w:t>
      </w:r>
      <w:proofErr w:type="spellStart"/>
      <w:r>
        <w:rPr>
          <w:rFonts w:ascii="Times New Roman" w:hAnsi="Times New Roman"/>
          <w:sz w:val="24"/>
          <w:szCs w:val="24"/>
        </w:rPr>
        <w:t>Korneliuszy</w:t>
      </w:r>
      <w:proofErr w:type="spellEnd"/>
      <w:r>
        <w:rPr>
          <w:rFonts w:ascii="Times New Roman" w:hAnsi="Times New Roman"/>
          <w:sz w:val="24"/>
          <w:szCs w:val="24"/>
        </w:rPr>
        <w:t xml:space="preserve"> Scypionów. W jednym miejscu zostali pochowani niemal wszyscy jego przedstawiciele, żyjący w III i II wieku, a był to czas największej potęgi politycznej tego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domu</w:t>
      </w:r>
      <w:r>
        <w:rPr>
          <w:rFonts w:ascii="Times New Roman" w:hAnsi="Times New Roman"/>
          <w:sz w:val="24"/>
          <w:szCs w:val="24"/>
        </w:rPr>
        <w:t>, z którego wywodzili się pog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romca</w:t>
      </w:r>
      <w:r>
        <w:rPr>
          <w:rFonts w:ascii="Times New Roman" w:hAnsi="Times New Roman"/>
          <w:sz w:val="24"/>
          <w:szCs w:val="24"/>
        </w:rPr>
        <w:t xml:space="preserve"> Hannibala i </w:t>
      </w:r>
      <w:proofErr w:type="spellStart"/>
      <w:r>
        <w:rPr>
          <w:rFonts w:ascii="Times New Roman" w:hAnsi="Times New Roman"/>
          <w:sz w:val="24"/>
          <w:szCs w:val="24"/>
        </w:rPr>
        <w:t>Antiocha</w:t>
      </w:r>
      <w:proofErr w:type="spellEnd"/>
      <w:r>
        <w:rPr>
          <w:rFonts w:ascii="Times New Roman" w:hAnsi="Times New Roman"/>
          <w:sz w:val="24"/>
          <w:szCs w:val="24"/>
        </w:rPr>
        <w:t xml:space="preserve"> III Wielkiego. Jednakże aż połowa spośród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pochowanych tam </w:t>
      </w:r>
      <w:r>
        <w:rPr>
          <w:rFonts w:ascii="Times New Roman" w:hAnsi="Times New Roman"/>
          <w:sz w:val="24"/>
          <w:szCs w:val="24"/>
        </w:rPr>
        <w:t>zmarłych jest poza tym nieznana – nie</w:t>
      </w:r>
      <w:bookmarkStart w:id="1" w:name="_Hlk480238274"/>
      <w:r>
        <w:rPr>
          <w:rFonts w:ascii="Times New Roman" w:hAnsi="Times New Roman"/>
          <w:sz w:val="24"/>
          <w:szCs w:val="24"/>
        </w:rPr>
        <w:t xml:space="preserve"> znajdujemy ich w wyka</w:t>
      </w:r>
      <w:bookmarkEnd w:id="1"/>
      <w:r>
        <w:rPr>
          <w:rFonts w:ascii="Times New Roman" w:hAnsi="Times New Roman"/>
          <w:sz w:val="24"/>
          <w:szCs w:val="24"/>
        </w:rPr>
        <w:t xml:space="preserve">zach urzędników. Wniosek stąd taki, że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samo</w:t>
      </w:r>
      <w:r>
        <w:rPr>
          <w:rFonts w:ascii="Times New Roman" w:hAnsi="Times New Roman"/>
          <w:sz w:val="24"/>
          <w:szCs w:val="24"/>
        </w:rPr>
        <w:t xml:space="preserve"> arystokratyczne pochodzenie nie wystarczało do zrobienia kariery w Rzymie.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Możemy domniemywać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że Salustiusz miał na myśli fakt, iż w latach 142-108 żaden polityk, który nie mógł wylegitymować się konsularnymi przodkami (</w:t>
      </w:r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homo novus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),</w:t>
      </w:r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nie zdobył konsulatu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8"/>
      </w:r>
      <w:r>
        <w:rPr>
          <w:rFonts w:ascii="Times New Roman" w:hAnsi="Times New Roman"/>
          <w:sz w:val="24"/>
          <w:szCs w:val="24"/>
        </w:rPr>
        <w:t>. Tę arystokratyczną barie</w:t>
      </w:r>
      <w:bookmarkStart w:id="2" w:name="_Hlk480413602"/>
      <w:r>
        <w:rPr>
          <w:rFonts w:ascii="Times New Roman" w:hAnsi="Times New Roman"/>
          <w:sz w:val="24"/>
          <w:szCs w:val="24"/>
        </w:rPr>
        <w:t xml:space="preserve">rę udało się </w:t>
      </w:r>
      <w:bookmarkEnd w:id="2"/>
      <w:r>
        <w:rPr>
          <w:rFonts w:ascii="Times New Roman" w:hAnsi="Times New Roman"/>
          <w:sz w:val="24"/>
          <w:szCs w:val="24"/>
        </w:rPr>
        <w:t xml:space="preserve">przełamać na dobre dopiero </w:t>
      </w:r>
      <w:proofErr w:type="spellStart"/>
      <w:r>
        <w:rPr>
          <w:rFonts w:ascii="Times New Roman" w:hAnsi="Times New Roman"/>
          <w:sz w:val="24"/>
          <w:szCs w:val="24"/>
        </w:rPr>
        <w:t>Gajuszowi</w:t>
      </w:r>
      <w:proofErr w:type="spellEnd"/>
      <w:r>
        <w:rPr>
          <w:rFonts w:ascii="Times New Roman" w:hAnsi="Times New Roman"/>
          <w:sz w:val="24"/>
          <w:szCs w:val="24"/>
        </w:rPr>
        <w:t xml:space="preserve"> Mariuszowi w 108 roku, gdy skutecznie ubiegał się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on o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konsulat na rok następny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9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Jednak Mariusz nie naruszył wówczas istniejącego porządku politycznego. To nastąpiło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dopiero, gdy w 104 roku objął konsulat ponownie, przy okazji łamiąc jeśli nie postanowienia, to ducha 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lex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Villia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annalis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ze 180 roku. Wspomniana ustawa zakładała bowiem konieczność </w:t>
      </w:r>
      <w:r>
        <w:rPr>
          <w:rFonts w:ascii="Times New Roman" w:hAnsi="Times New Roman"/>
          <w:sz w:val="24"/>
          <w:szCs w:val="24"/>
        </w:rPr>
        <w:t xml:space="preserve">upływu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dziesięciu lat pomiędzy sprawowaniem konsulatu i możliwością ubiegania się o niego po raz wtóry. </w:t>
      </w:r>
      <w:r>
        <w:rPr>
          <w:rFonts w:ascii="Times New Roman" w:hAnsi="Times New Roman"/>
          <w:sz w:val="24"/>
          <w:szCs w:val="24"/>
        </w:rPr>
        <w:t xml:space="preserve">Można rzec, że Mariusz rzucił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w roku 104 </w:t>
      </w:r>
      <w:r>
        <w:rPr>
          <w:rFonts w:ascii="Times New Roman" w:hAnsi="Times New Roman"/>
          <w:sz w:val="24"/>
          <w:szCs w:val="24"/>
        </w:rPr>
        <w:t xml:space="preserve">wyzwanie całej rzymskiej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elicie politycznej</w:t>
      </w:r>
      <w:r>
        <w:rPr>
          <w:rFonts w:ascii="Times New Roman" w:hAnsi="Times New Roman"/>
          <w:color w:val="00B050"/>
          <w:sz w:val="24"/>
          <w:szCs w:val="24"/>
          <w:u w:color="00B050"/>
        </w:rPr>
        <w:t>.</w:t>
      </w:r>
      <w:r>
        <w:rPr>
          <w:rFonts w:ascii="Times New Roman" w:hAnsi="Times New Roman"/>
          <w:sz w:val="24"/>
          <w:szCs w:val="24"/>
        </w:rPr>
        <w:t xml:space="preserve"> Sytuacja ta doprowadziła do głębokiego przetasowania układu sił w senacie i rozpoczęła kolejny etap gwałtownego sporu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w życiu publicznym Republiki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0"/>
      </w:r>
      <w:r w:rsidR="00272873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sz w:val="24"/>
          <w:szCs w:val="24"/>
        </w:rPr>
        <w:t xml:space="preserve"> Nie ma jednak najmniejszego powodu, aby Mariuszowi przeciwstawiać cały senat, bądź zjednoczoną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nobilitas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gdyż taka konstatacja oznaczałaby niezrozumienie skomplikowanych podziałów zachodzących wewnątrz rywalizujących ze sobą domów rzymskiej arystokracji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Równie nietrafne jest sprowadzanie polityki w Republice Rzymskiej do walki popularów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populares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>) z optymatami 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optimates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>). Nigdy</w:t>
      </w:r>
      <w:r>
        <w:rPr>
          <w:rFonts w:ascii="Times New Roman" w:hAnsi="Times New Roman"/>
          <w:sz w:val="24"/>
          <w:szCs w:val="24"/>
        </w:rPr>
        <w:t xml:space="preserve"> bowiem nie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istniały jedynie </w:t>
      </w:r>
      <w:r>
        <w:rPr>
          <w:rFonts w:ascii="Times New Roman" w:hAnsi="Times New Roman"/>
          <w:sz w:val="24"/>
          <w:szCs w:val="24"/>
        </w:rPr>
        <w:t xml:space="preserve">dwa obozy, a używanie tych pojęć jest zupełnie zwodnicze, gdy dokonujemy analizy wydarzeń w krótkiej perspektywie czasowej. Dlatego też w dalszych partiach niniejszego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artykułu pojęcia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populares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i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optimates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nie</w:t>
      </w:r>
      <w:r>
        <w:rPr>
          <w:rFonts w:ascii="Times New Roman" w:hAnsi="Times New Roman"/>
          <w:sz w:val="24"/>
          <w:szCs w:val="24"/>
        </w:rPr>
        <w:t xml:space="preserve"> będą stosowane. </w:t>
      </w:r>
    </w:p>
    <w:p w:rsidR="0039189C" w:rsidRDefault="00391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Pr="00624932" w:rsidRDefault="003032C1">
      <w:pPr>
        <w:spacing w:after="0" w:line="360" w:lineRule="auto"/>
        <w:ind w:firstLine="708"/>
        <w:jc w:val="both"/>
        <w:rPr>
          <w:i/>
          <w:color w:val="auto"/>
          <w:u w:color="FF0000"/>
        </w:rPr>
      </w:pPr>
      <w:r w:rsidRPr="00624932">
        <w:rPr>
          <w:rFonts w:ascii="Times New Roman" w:hAnsi="Times New Roman"/>
          <w:i/>
          <w:color w:val="auto"/>
          <w:sz w:val="24"/>
          <w:szCs w:val="24"/>
          <w:u w:color="FF0000"/>
        </w:rPr>
        <w:t xml:space="preserve">Pozycja </w:t>
      </w:r>
      <w:proofErr w:type="spellStart"/>
      <w:r w:rsidRPr="00624932">
        <w:rPr>
          <w:rFonts w:ascii="Times New Roman" w:hAnsi="Times New Roman"/>
          <w:iCs/>
          <w:color w:val="auto"/>
          <w:sz w:val="24"/>
          <w:szCs w:val="24"/>
          <w:u w:color="FF0000"/>
        </w:rPr>
        <w:t>factio</w:t>
      </w:r>
      <w:proofErr w:type="spellEnd"/>
      <w:r w:rsidRPr="00624932">
        <w:rPr>
          <w:rFonts w:ascii="Times New Roman" w:hAnsi="Times New Roman"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624932">
        <w:rPr>
          <w:rFonts w:ascii="Times New Roman" w:hAnsi="Times New Roman"/>
          <w:iCs/>
          <w:color w:val="auto"/>
          <w:sz w:val="24"/>
          <w:szCs w:val="24"/>
          <w:u w:color="FF0000"/>
        </w:rPr>
        <w:t>Metelli</w:t>
      </w:r>
      <w:proofErr w:type="spellEnd"/>
      <w:r w:rsidRPr="00624932">
        <w:rPr>
          <w:rFonts w:ascii="Times New Roman" w:hAnsi="Times New Roman"/>
          <w:i/>
          <w:iCs/>
          <w:color w:val="auto"/>
          <w:sz w:val="24"/>
          <w:szCs w:val="24"/>
          <w:u w:color="FF0000"/>
        </w:rPr>
        <w:t xml:space="preserve"> </w:t>
      </w:r>
      <w:r w:rsidRPr="00624932">
        <w:rPr>
          <w:rFonts w:ascii="Times New Roman" w:hAnsi="Times New Roman"/>
          <w:i/>
          <w:color w:val="auto"/>
          <w:sz w:val="24"/>
          <w:szCs w:val="24"/>
          <w:u w:color="FF0000"/>
        </w:rPr>
        <w:t xml:space="preserve">przed drugim konsulatem Mariusza </w:t>
      </w:r>
    </w:p>
    <w:p w:rsidR="0039189C" w:rsidRDefault="003032C1">
      <w:pPr>
        <w:spacing w:after="0" w:line="360" w:lineRule="auto"/>
        <w:ind w:firstLine="708"/>
        <w:jc w:val="both"/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Ród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Cecyliuszy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Metellusów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uchodził w ostatniej dekadzie II wieku za najpotężniejszy w całej rzymskiej arystokracji</w:t>
      </w:r>
      <w:r>
        <w:rPr>
          <w:rFonts w:ascii="Times New Roman" w:hAnsi="Times New Roman"/>
          <w:sz w:val="24"/>
          <w:szCs w:val="24"/>
        </w:rPr>
        <w:t xml:space="preserve">, o czym wprost pisze </w:t>
      </w:r>
      <w:proofErr w:type="spellStart"/>
      <w:r>
        <w:rPr>
          <w:rFonts w:ascii="Times New Roman" w:hAnsi="Times New Roman"/>
          <w:sz w:val="24"/>
          <w:szCs w:val="24"/>
        </w:rPr>
        <w:t>Wellejusz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Paterkulus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1"/>
      </w:r>
      <w:r>
        <w:rPr>
          <w:rFonts w:ascii="Times New Roman" w:hAnsi="Times New Roman"/>
          <w:sz w:val="24"/>
          <w:szCs w:val="24"/>
        </w:rPr>
        <w:t xml:space="preserve">. Świadczyło o tym także sześciu synów Kw. Cecyliusza </w:t>
      </w:r>
      <w:proofErr w:type="spellStart"/>
      <w:r>
        <w:rPr>
          <w:rFonts w:ascii="Times New Roman" w:hAnsi="Times New Roman"/>
          <w:sz w:val="24"/>
          <w:szCs w:val="24"/>
        </w:rPr>
        <w:t>Metellusa</w:t>
      </w:r>
      <w:proofErr w:type="spellEnd"/>
      <w:r>
        <w:rPr>
          <w:rFonts w:ascii="Times New Roman" w:hAnsi="Times New Roman"/>
          <w:sz w:val="24"/>
          <w:szCs w:val="24"/>
        </w:rPr>
        <w:t xml:space="preserve"> Macedońskiego i jego brata L. Cecyliusza </w:t>
      </w:r>
      <w:proofErr w:type="spellStart"/>
      <w:r>
        <w:rPr>
          <w:rFonts w:ascii="Times New Roman" w:hAnsi="Times New Roman"/>
          <w:sz w:val="24"/>
          <w:szCs w:val="24"/>
        </w:rPr>
        <w:t>Metellusa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Kalwusa</w:t>
      </w:r>
      <w:proofErr w:type="spellEnd"/>
      <w:r>
        <w:rPr>
          <w:rFonts w:ascii="Times New Roman" w:hAnsi="Times New Roman"/>
          <w:sz w:val="24"/>
          <w:szCs w:val="24"/>
        </w:rPr>
        <w:t xml:space="preserve">, z których wszyscy osiągnęli konsulat pomiędzy rokiem 123 i 109. Dodać należy,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że pięciu z nich odbyło </w:t>
      </w:r>
      <w:r>
        <w:rPr>
          <w:rFonts w:ascii="Times New Roman" w:hAnsi="Times New Roman"/>
          <w:sz w:val="24"/>
          <w:szCs w:val="24"/>
        </w:rPr>
        <w:t>triumf, czterech sprawowało cenzurę, a jeden pełnił godność najwyższego pontyfika 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pontifex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maximus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2"/>
      </w:r>
      <w:r>
        <w:rPr>
          <w:rFonts w:ascii="Times New Roman" w:hAnsi="Times New Roman"/>
          <w:sz w:val="24"/>
          <w:szCs w:val="24"/>
        </w:rPr>
        <w:t xml:space="preserve">. Daje to imponujący obraz wpływów i znaczenia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domu, w oparciu o który zbudowano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potężne stronnictwo nazwane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przez historyków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factio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Metelli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23"/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 </w:t>
      </w:r>
    </w:p>
    <w:p w:rsidR="0039189C" w:rsidRPr="002B61E6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</w:pPr>
      <w:r w:rsidRPr="002B61E6">
        <w:rPr>
          <w:rFonts w:ascii="Times New Roman" w:hAnsi="Times New Roman"/>
          <w:color w:val="auto"/>
          <w:sz w:val="24"/>
          <w:szCs w:val="24"/>
        </w:rPr>
        <w:lastRenderedPageBreak/>
        <w:t xml:space="preserve">Rozpoczęta w przedostatniej dekadzie II wieku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wędrówka ludów </w:t>
      </w:r>
      <w:r w:rsidRPr="002B61E6">
        <w:rPr>
          <w:rFonts w:ascii="Times New Roman" w:hAnsi="Times New Roman"/>
          <w:color w:val="auto"/>
          <w:sz w:val="24"/>
          <w:szCs w:val="24"/>
        </w:rPr>
        <w:t>znad Morza Północnego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,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głównie mówiących językiem celtyckim Cymbrów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24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, a za nimi także Teutonów,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Tigurynów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i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Ambronów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25"/>
      </w:r>
      <w:r w:rsidRPr="002B61E6">
        <w:rPr>
          <w:rFonts w:ascii="Times New Roman" w:hAnsi="Times New Roman"/>
          <w:color w:val="auto"/>
          <w:sz w:val="24"/>
          <w:szCs w:val="24"/>
        </w:rPr>
        <w:t>, zawiodła te plemiona najpierw nad środkowy Dunaj, aby</w:t>
      </w:r>
      <w:r>
        <w:rPr>
          <w:rFonts w:ascii="Times New Roman" w:hAnsi="Times New Roman"/>
          <w:sz w:val="24"/>
          <w:szCs w:val="24"/>
        </w:rPr>
        <w:t xml:space="preserve"> w niedalekiej przyszłości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doprowadzić do ich konfrontacji z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republiką znad Tybru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 pierwszym okresie Rzym prowadził walki bez powodzenia. W latach 113-107 trzech konsulów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poniosło mniej lub bardziej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dotkliwe porażki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>w Galii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26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Klęski te zaciążyły na pozycji politycznej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>.</w:t>
      </w:r>
    </w:p>
    <w:p w:rsidR="0039189C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E6">
        <w:rPr>
          <w:rFonts w:ascii="Times New Roman" w:hAnsi="Times New Roman"/>
          <w:color w:val="auto"/>
          <w:sz w:val="24"/>
          <w:szCs w:val="24"/>
        </w:rPr>
        <w:t xml:space="preserve">Pozycję potężnego rodu osłabił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konsul roku 109 i kolega na urzędzie Kw. Cecyliusza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Metellusa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Numidyjskiego, M. Juniusz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Silanus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27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Prawdopodobnie </w:t>
      </w:r>
      <w:r>
        <w:rPr>
          <w:rFonts w:ascii="Times New Roman" w:hAnsi="Times New Roman"/>
          <w:sz w:val="24"/>
          <w:szCs w:val="24"/>
        </w:rPr>
        <w:t xml:space="preserve">właśnie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jego nieudana kampania</w:t>
      </w:r>
      <w:r>
        <w:rPr>
          <w:rFonts w:ascii="Times New Roman" w:hAnsi="Times New Roman"/>
          <w:sz w:val="24"/>
          <w:szCs w:val="24"/>
        </w:rPr>
        <w:t xml:space="preserve"> z roku 108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8"/>
      </w:r>
      <w:r>
        <w:rPr>
          <w:rFonts w:ascii="Times New Roman" w:hAnsi="Times New Roman"/>
          <w:sz w:val="24"/>
          <w:szCs w:val="24"/>
        </w:rPr>
        <w:t xml:space="preserve"> stała się jedną z przyczyn otwierających drogę do konsulatu wielkim przeciwnikom </w:t>
      </w:r>
      <w:proofErr w:type="spellStart"/>
      <w:r>
        <w:rPr>
          <w:rFonts w:ascii="Times New Roman" w:hAnsi="Times New Roman"/>
          <w:sz w:val="24"/>
          <w:szCs w:val="24"/>
        </w:rPr>
        <w:t>Cecyliuszy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Gajuszowi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Mariuszowi i L. Kasjuszowi Longinusowi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29"/>
      </w:r>
      <w:r w:rsidRPr="002B61E6">
        <w:rPr>
          <w:rFonts w:ascii="Times New Roman" w:hAnsi="Times New Roman"/>
          <w:color w:val="auto"/>
          <w:sz w:val="24"/>
          <w:szCs w:val="24"/>
        </w:rPr>
        <w:t>. Druzgoc</w:t>
      </w:r>
      <w:bookmarkStart w:id="3" w:name="_Fieldmark__952_1989238844"/>
      <w:r w:rsidRPr="002B61E6">
        <w:rPr>
          <w:rFonts w:ascii="Times New Roman" w:hAnsi="Times New Roman"/>
          <w:color w:val="auto"/>
          <w:sz w:val="24"/>
          <w:szCs w:val="24"/>
        </w:rPr>
        <w:t xml:space="preserve">ząca klęska, którą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poniósł Longinus pokazała, że niepowodzenia nie są przypisane do polityków jednego stronnictwa i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pomogła </w:t>
      </w:r>
      <w:r>
        <w:rPr>
          <w:rFonts w:ascii="Times New Roman" w:hAnsi="Times New Roman"/>
          <w:sz w:val="24"/>
          <w:szCs w:val="24"/>
        </w:rPr>
        <w:t xml:space="preserve">przez to w odbudowaniu sił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sz w:val="24"/>
          <w:szCs w:val="24"/>
        </w:rPr>
        <w:t xml:space="preserve">. Momentem zwrotnym okazał się dopiero pogrom wojsk rzymskich pod </w:t>
      </w:r>
      <w:proofErr w:type="spellStart"/>
      <w:r>
        <w:rPr>
          <w:rFonts w:ascii="Times New Roman" w:hAnsi="Times New Roman"/>
          <w:sz w:val="24"/>
          <w:szCs w:val="24"/>
        </w:rPr>
        <w:t>Arauzjoną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(ob. Orange)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0"/>
      </w:r>
      <w:r>
        <w:rPr>
          <w:rFonts w:ascii="Times New Roman" w:hAnsi="Times New Roman"/>
          <w:sz w:val="24"/>
          <w:szCs w:val="24"/>
        </w:rPr>
        <w:t xml:space="preserve">, który doprowadził w </w:t>
      </w:r>
      <w:r w:rsidRPr="002B61E6">
        <w:rPr>
          <w:rFonts w:ascii="Times New Roman" w:hAnsi="Times New Roman"/>
          <w:color w:val="auto"/>
          <w:sz w:val="24"/>
          <w:szCs w:val="24"/>
        </w:rPr>
        <w:t>pierwszej chwili do wybuchu paniki w Rzymie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31"/>
      </w:r>
      <w:r w:rsidRPr="002B61E6">
        <w:rPr>
          <w:rFonts w:ascii="Times New Roman" w:hAnsi="Times New Roman"/>
          <w:color w:val="auto"/>
          <w:sz w:val="24"/>
          <w:szCs w:val="24"/>
        </w:rPr>
        <w:t>. Katastrofa ta miała miejsce 6 października 105 roku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32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Na czele rzymskiej arm</w:t>
      </w:r>
      <w:r w:rsid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ii stali Kw. </w:t>
      </w:r>
      <w:proofErr w:type="spellStart"/>
      <w:r w:rsidR="002B61E6">
        <w:rPr>
          <w:rFonts w:ascii="Times New Roman" w:hAnsi="Times New Roman"/>
          <w:color w:val="auto"/>
          <w:sz w:val="24"/>
          <w:szCs w:val="24"/>
          <w:u w:color="FF0000"/>
        </w:rPr>
        <w:t>Serwiliusz</w:t>
      </w:r>
      <w:proofErr w:type="spellEnd"/>
      <w:r w:rsid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proofErr w:type="spellStart"/>
      <w:r w:rsidR="002B61E6">
        <w:rPr>
          <w:rFonts w:ascii="Times New Roman" w:hAnsi="Times New Roman"/>
          <w:color w:val="auto"/>
          <w:sz w:val="24"/>
          <w:szCs w:val="24"/>
          <w:u w:color="FF0000"/>
        </w:rPr>
        <w:t>Cepion</w:t>
      </w:r>
      <w:proofErr w:type="spellEnd"/>
      <w:r w:rsid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wówczas prokonsul Galii Przedalpejskiej i </w:t>
      </w:r>
      <w:r w:rsid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ówczesny konsul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Gn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.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Malliusz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Maksymus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Klęska została częściowo </w:t>
      </w:r>
      <w:r>
        <w:rPr>
          <w:rFonts w:ascii="Times New Roman" w:hAnsi="Times New Roman"/>
          <w:sz w:val="24"/>
          <w:szCs w:val="24"/>
        </w:rPr>
        <w:t xml:space="preserve">zawiniona przez niesubordynację i arogancję prokonsula </w:t>
      </w:r>
      <w:proofErr w:type="spellStart"/>
      <w:r>
        <w:rPr>
          <w:rFonts w:ascii="Times New Roman" w:hAnsi="Times New Roman"/>
          <w:sz w:val="24"/>
          <w:szCs w:val="24"/>
        </w:rPr>
        <w:t>Serwiliusza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Cepiona</w:t>
      </w:r>
      <w:proofErr w:type="spellEnd"/>
      <w:r>
        <w:rPr>
          <w:rFonts w:ascii="Times New Roman" w:hAnsi="Times New Roman"/>
          <w:sz w:val="24"/>
          <w:szCs w:val="24"/>
        </w:rPr>
        <w:t xml:space="preserve">, który odmówił współpracy z konsulem </w:t>
      </w:r>
      <w:proofErr w:type="spellStart"/>
      <w:r>
        <w:rPr>
          <w:rFonts w:ascii="Times New Roman" w:hAnsi="Times New Roman"/>
          <w:sz w:val="24"/>
          <w:szCs w:val="24"/>
        </w:rPr>
        <w:t>Maliuszem</w:t>
      </w:r>
      <w:proofErr w:type="spellEnd"/>
      <w:r>
        <w:rPr>
          <w:rFonts w:ascii="Times New Roman" w:hAnsi="Times New Roman"/>
          <w:sz w:val="24"/>
          <w:szCs w:val="24"/>
        </w:rPr>
        <w:t xml:space="preserve"> Maksymusem oraz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nie zamierzał uznać</w:t>
      </w:r>
      <w:r>
        <w:rPr>
          <w:rFonts w:ascii="Times New Roman" w:hAnsi="Times New Roman"/>
          <w:sz w:val="24"/>
          <w:szCs w:val="24"/>
        </w:rPr>
        <w:t xml:space="preserve"> jego zwierzchnictwa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3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Serwiliusz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Cepion</w:t>
      </w:r>
      <w:proofErr w:type="spellEnd"/>
      <w:r>
        <w:rPr>
          <w:rFonts w:ascii="Times New Roman" w:hAnsi="Times New Roman"/>
          <w:sz w:val="24"/>
          <w:szCs w:val="24"/>
        </w:rPr>
        <w:t xml:space="preserve"> był nie tylko głową potężnego patrycjuszowskiego domu, ale co wielce prawdopodobne wżenił się w </w:t>
      </w:r>
      <w:proofErr w:type="spellStart"/>
      <w:r>
        <w:rPr>
          <w:rFonts w:ascii="Times New Roman" w:hAnsi="Times New Roman"/>
          <w:sz w:val="24"/>
          <w:szCs w:val="24"/>
        </w:rPr>
        <w:t>Cecyliuszy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Metellusów</w:t>
      </w:r>
      <w:proofErr w:type="spellEnd"/>
      <w:r>
        <w:rPr>
          <w:rFonts w:ascii="Times New Roman" w:hAnsi="Times New Roman"/>
          <w:sz w:val="24"/>
          <w:szCs w:val="24"/>
        </w:rPr>
        <w:t xml:space="preserve">. F. </w:t>
      </w:r>
      <w:proofErr w:type="spellStart"/>
      <w:r>
        <w:rPr>
          <w:rFonts w:ascii="Times New Roman" w:hAnsi="Times New Roman"/>
          <w:sz w:val="24"/>
          <w:szCs w:val="24"/>
        </w:rPr>
        <w:t>Münzer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zaproponował tezę, </w:t>
      </w:r>
      <w:r>
        <w:rPr>
          <w:rFonts w:ascii="Times New Roman" w:hAnsi="Times New Roman"/>
          <w:sz w:val="24"/>
          <w:szCs w:val="24"/>
        </w:rPr>
        <w:t xml:space="preserve">że mógł być on mężem trzeciej z córek </w:t>
      </w:r>
      <w:proofErr w:type="spellStart"/>
      <w:r>
        <w:rPr>
          <w:rFonts w:ascii="Times New Roman" w:hAnsi="Times New Roman"/>
          <w:sz w:val="24"/>
          <w:szCs w:val="24"/>
        </w:rPr>
        <w:t>Metellusa</w:t>
      </w:r>
      <w:proofErr w:type="spellEnd"/>
      <w:r>
        <w:rPr>
          <w:rFonts w:ascii="Times New Roman" w:hAnsi="Times New Roman"/>
          <w:sz w:val="24"/>
          <w:szCs w:val="24"/>
        </w:rPr>
        <w:t xml:space="preserve"> Macedońskiego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4"/>
      </w:r>
      <w:r>
        <w:rPr>
          <w:rFonts w:ascii="Times New Roman" w:hAnsi="Times New Roman"/>
          <w:sz w:val="24"/>
          <w:szCs w:val="24"/>
        </w:rPr>
        <w:t xml:space="preserve">, co tłumaczyłoby problemy jakie dotknęły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sz w:val="24"/>
          <w:szCs w:val="24"/>
        </w:rPr>
        <w:t xml:space="preserve">. Tak czy inaczej, odium klęsk spadło na wszystkie domy starej arystokracji.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Energiczne działania przebywającego w Rzymie konsula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Rutyliusza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Rufusa częściowo ograniczyły straty </w:t>
      </w:r>
      <w:r w:rsidRPr="002B61E6">
        <w:rPr>
          <w:rFonts w:ascii="Times New Roman" w:hAnsi="Times New Roman"/>
          <w:color w:val="auto"/>
          <w:sz w:val="24"/>
          <w:szCs w:val="24"/>
          <w:u w:color="00B050"/>
        </w:rPr>
        <w:t>polityczne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, które poniósł </w:t>
      </w:r>
      <w:r>
        <w:rPr>
          <w:rFonts w:ascii="Times New Roman" w:hAnsi="Times New Roman"/>
          <w:sz w:val="24"/>
          <w:szCs w:val="24"/>
        </w:rPr>
        <w:t xml:space="preserve">dom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. Teoretycznie był on jedynym przedstawicielem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0000"/>
        </w:rPr>
        <w:t>factio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0000"/>
        </w:rPr>
        <w:t xml:space="preserve">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0000"/>
        </w:rPr>
        <w:t>Metelli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wśród konsulów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106 i 105 roku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35"/>
      </w:r>
      <w:r w:rsidRPr="002B61E6">
        <w:rPr>
          <w:rFonts w:ascii="Times New Roman" w:hAnsi="Times New Roman"/>
          <w:color w:val="auto"/>
          <w:sz w:val="24"/>
          <w:szCs w:val="24"/>
        </w:rPr>
        <w:t>. Zorganizowany przez niego zaciąg rekruta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36"/>
      </w:r>
      <w:r w:rsidRPr="002B61E6">
        <w:rPr>
          <w:rFonts w:ascii="Times New Roman" w:hAnsi="Times New Roman"/>
          <w:color w:val="auto"/>
          <w:sz w:val="24"/>
          <w:szCs w:val="24"/>
        </w:rPr>
        <w:t>, igrzyska gladiatorskie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37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 także sprawnie przeprowadzone wybory w minimalnym stopniu uspokoiły sytuacj</w:t>
      </w:r>
      <w:bookmarkEnd w:id="3"/>
      <w:r>
        <w:rPr>
          <w:rFonts w:ascii="Times New Roman" w:hAnsi="Times New Roman"/>
          <w:sz w:val="24"/>
          <w:szCs w:val="24"/>
        </w:rPr>
        <w:t>ę</w:t>
      </w:r>
      <w:bookmarkStart w:id="4" w:name="_Hlk480674278"/>
      <w:r>
        <w:rPr>
          <w:rFonts w:ascii="Times New Roman" w:hAnsi="Times New Roman"/>
          <w:sz w:val="24"/>
          <w:szCs w:val="24"/>
        </w:rPr>
        <w:t xml:space="preserve"> w</w:t>
      </w:r>
      <w:bookmarkEnd w:id="4"/>
      <w:r>
        <w:rPr>
          <w:rFonts w:ascii="Times New Roman" w:hAnsi="Times New Roman"/>
          <w:sz w:val="24"/>
          <w:szCs w:val="24"/>
        </w:rPr>
        <w:t xml:space="preserve"> stolicy.  </w:t>
      </w:r>
    </w:p>
    <w:p w:rsidR="0039189C" w:rsidRDefault="00391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Default="003032C1">
      <w:pPr>
        <w:spacing w:after="0" w:line="360" w:lineRule="auto"/>
        <w:ind w:firstLine="708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Sukcesy i plany Mariusza</w:t>
      </w:r>
    </w:p>
    <w:p w:rsidR="0039189C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Niewątpliwie </w:t>
      </w:r>
      <w:proofErr w:type="spellStart"/>
      <w:r>
        <w:rPr>
          <w:rFonts w:ascii="Times New Roman" w:hAnsi="Times New Roman"/>
          <w:sz w:val="24"/>
          <w:szCs w:val="24"/>
        </w:rPr>
        <w:t>Gajusz</w:t>
      </w:r>
      <w:proofErr w:type="spellEnd"/>
      <w:r>
        <w:rPr>
          <w:rFonts w:ascii="Times New Roman" w:hAnsi="Times New Roman"/>
          <w:sz w:val="24"/>
          <w:szCs w:val="24"/>
        </w:rPr>
        <w:t xml:space="preserve"> Mariusz w latach 107-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100 pod względem zasług i politycznego znaczenia przerósł wszystkich sobie współczesnych, o czym może świadczyć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fakt, że lud  rzymski okrzyknął go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„Trzecim Założycielem Rzymu”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38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Pierwszy </w:t>
      </w:r>
      <w:r>
        <w:rPr>
          <w:rFonts w:ascii="Times New Roman" w:hAnsi="Times New Roman"/>
          <w:sz w:val="24"/>
          <w:szCs w:val="24"/>
        </w:rPr>
        <w:t xml:space="preserve">od trzydziestu czterech lat </w:t>
      </w:r>
      <w:r>
        <w:rPr>
          <w:rFonts w:ascii="Times New Roman" w:hAnsi="Times New Roman"/>
          <w:i/>
          <w:iCs/>
          <w:sz w:val="24"/>
          <w:szCs w:val="24"/>
        </w:rPr>
        <w:t xml:space="preserve">homo novus </w:t>
      </w:r>
      <w:r>
        <w:rPr>
          <w:rFonts w:ascii="Times New Roman" w:hAnsi="Times New Roman"/>
          <w:sz w:val="24"/>
          <w:szCs w:val="24"/>
        </w:rPr>
        <w:t xml:space="preserve">w roli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konsula stał się obiektem niechęci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części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nobilitas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39"/>
      </w:r>
      <w:r>
        <w:rPr>
          <w:rFonts w:ascii="Times New Roman" w:hAnsi="Times New Roman"/>
          <w:sz w:val="24"/>
          <w:szCs w:val="24"/>
        </w:rPr>
        <w:t xml:space="preserve">. Chodziło przecież o człowieka pochodzącego  z niezamożnej rodziny.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Z dostępnych nam informacji źródłowych wynika, że Mariusz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urodził się w biednym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domu na wsi, a jego ojciec żył najprawdopodobniej z uprawy ziemi pod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Arpinum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0"/>
      </w:r>
      <w:r w:rsidRPr="002B61E6">
        <w:rPr>
          <w:rFonts w:ascii="Times New Roman" w:hAnsi="Times New Roman"/>
          <w:color w:val="auto"/>
          <w:sz w:val="24"/>
          <w:szCs w:val="24"/>
        </w:rPr>
        <w:t>. Choć musiał otrzymać tradycyjne rzymskie wykształcenie, to z pewnością nie dorównywało ono edukacji synów najprzedniejszych domów arystokracji rzymskiej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1"/>
      </w:r>
      <w:r w:rsidRPr="002B61E6">
        <w:rPr>
          <w:rFonts w:ascii="Times New Roman" w:hAnsi="Times New Roman"/>
          <w:color w:val="auto"/>
          <w:sz w:val="24"/>
          <w:szCs w:val="24"/>
        </w:rPr>
        <w:t>. Mariusz swą karier</w:t>
      </w:r>
      <w:r w:rsidR="002B61E6" w:rsidRPr="002B61E6">
        <w:rPr>
          <w:rFonts w:ascii="Times New Roman" w:hAnsi="Times New Roman"/>
          <w:color w:val="auto"/>
          <w:sz w:val="24"/>
          <w:szCs w:val="24"/>
        </w:rPr>
        <w:t>ę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rozpoczął jako klient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i korzystał z ich poparcia — w latach 109-108 był legatem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lastRenderedPageBreak/>
        <w:t xml:space="preserve">Numidyjskiego podczas wojny z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Jugurtą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2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B61E6">
        <w:rPr>
          <w:rFonts w:ascii="Times New Roman" w:hAnsi="Times New Roman"/>
          <w:color w:val="auto"/>
        </w:rPr>
        <w:t>Mimo to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w czasie sprawowania trybunatu plebejskiego </w:t>
      </w:r>
      <w:r w:rsidRPr="002B61E6">
        <w:rPr>
          <w:rFonts w:ascii="Times New Roman" w:hAnsi="Times New Roman"/>
          <w:color w:val="auto"/>
          <w:sz w:val="24"/>
          <w:szCs w:val="24"/>
        </w:rPr>
        <w:t>opowiedział się przeciwko domowi swoich patronów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3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To nie mogło zjednać mu poparcia wśród przedstawicieli arystokracji. Ich niechęć pogłębił demagogiczny </w:t>
      </w:r>
      <w:r>
        <w:rPr>
          <w:rFonts w:ascii="Times New Roman" w:hAnsi="Times New Roman"/>
          <w:sz w:val="24"/>
          <w:szCs w:val="24"/>
        </w:rPr>
        <w:t xml:space="preserve">program polityczny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Mariusza głoszony przez niego w czasie ubiegania się o swój pierwszy konsulat na 107 rok, którego –  co najgorsze – nie zarzucił wraz z wyborem </w:t>
      </w:r>
      <w:r>
        <w:rPr>
          <w:rFonts w:ascii="Times New Roman" w:hAnsi="Times New Roman"/>
          <w:sz w:val="24"/>
          <w:szCs w:val="24"/>
        </w:rPr>
        <w:t>na urząd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4"/>
      </w:r>
      <w:r>
        <w:rPr>
          <w:rFonts w:ascii="Times New Roman" w:hAnsi="Times New Roman"/>
          <w:sz w:val="24"/>
          <w:szCs w:val="24"/>
        </w:rPr>
        <w:t>.</w:t>
      </w:r>
    </w:p>
    <w:p w:rsidR="0039189C" w:rsidRPr="002B61E6" w:rsidRDefault="003032C1">
      <w:pPr>
        <w:spacing w:after="0" w:line="360" w:lineRule="auto"/>
        <w:ind w:firstLine="708"/>
        <w:jc w:val="both"/>
        <w:rPr>
          <w:color w:val="auto"/>
        </w:rPr>
      </w:pPr>
      <w:r w:rsidRPr="002B61E6">
        <w:rPr>
          <w:rFonts w:ascii="Times New Roman" w:hAnsi="Times New Roman"/>
          <w:color w:val="auto"/>
          <w:sz w:val="24"/>
          <w:szCs w:val="24"/>
        </w:rPr>
        <w:t xml:space="preserve">Dzięki pojmaniu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Jugurty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– numidyjskiego monarchy –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w roku 105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Mariusz jako prokonsul zakończył sukcesem wojnę w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Afryce Północnej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5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Jego niewątpliwy sukces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zbiegł się w czasie z klęską legionów pod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Arauzjoną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. Dlatego powszechnym żądaniem opinii publicznej stało się powierzenie mu dowództwa w wojnie z barbarzyńcami </w:t>
      </w:r>
      <w:r w:rsidR="002B61E6">
        <w:rPr>
          <w:rFonts w:ascii="Times New Roman" w:hAnsi="Times New Roman"/>
          <w:color w:val="auto"/>
          <w:sz w:val="24"/>
          <w:szCs w:val="24"/>
          <w:u w:color="FF0000"/>
        </w:rPr>
        <w:t>z p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ółnocy, których ówcześni Rzymianie uznawali najprawdopodobniej za Galów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6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Wybór Mariusza konsulem 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in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absentia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na rok 104 okazał się jednym ze zwrotnych punktów w historii Republiki Rzymskiej.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Warto podkreślić, że zarówno senat jak i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Rutyliusz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Rufus, konsul w 105 roku, nie zakwestionowali wyniku wyborów konsularnych na rok następny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7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Ten ostatni miałby do tego prawo jako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magistratus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przewodniczący zgromadzeniu wyborczemu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Najpewniej presja opinii publicznej była na tyle silna, że konsul musiał zaaprobować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wskazanie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komicjów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centurialnych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,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mimo że osobiście był wrogiem Mariusza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8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, a politycznie pozostawał związany z rodem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9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9189C" w:rsidRPr="002B61E6" w:rsidRDefault="003032C1">
      <w:pPr>
        <w:spacing w:after="0" w:line="360" w:lineRule="auto"/>
        <w:ind w:firstLine="708"/>
        <w:jc w:val="both"/>
        <w:rPr>
          <w:color w:val="auto"/>
        </w:rPr>
      </w:pP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Podczas wspominanych wyborów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na rok 104, tuż za Mariuszem uplasował się G. Flawiusz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Fimbria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50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Zdystansował w ten sposób Kw.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Lutacjusza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Katulusa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, dla którego oznaczało to trzecią z rzędu porażkę w ubieganiu się </w:t>
      </w:r>
      <w:r>
        <w:rPr>
          <w:rFonts w:ascii="Times New Roman" w:hAnsi="Times New Roman"/>
          <w:sz w:val="24"/>
          <w:szCs w:val="24"/>
        </w:rPr>
        <w:t>o konsulat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1"/>
      </w:r>
      <w:r>
        <w:rPr>
          <w:rFonts w:ascii="Times New Roman" w:hAnsi="Times New Roman"/>
          <w:sz w:val="24"/>
          <w:szCs w:val="24"/>
        </w:rPr>
        <w:t xml:space="preserve">. Wiadomo, że Flawiusz </w:t>
      </w:r>
      <w:proofErr w:type="spellStart"/>
      <w:r>
        <w:rPr>
          <w:rFonts w:ascii="Times New Roman" w:hAnsi="Times New Roman"/>
          <w:sz w:val="24"/>
          <w:szCs w:val="24"/>
        </w:rPr>
        <w:t>Fimbria</w:t>
      </w:r>
      <w:proofErr w:type="spellEnd"/>
      <w:r>
        <w:rPr>
          <w:rFonts w:ascii="Times New Roman" w:hAnsi="Times New Roman"/>
          <w:sz w:val="24"/>
          <w:szCs w:val="24"/>
        </w:rPr>
        <w:t xml:space="preserve"> zdobył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wspomnianą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>magistraturę w dość późnym wieku, jako znakomity prawnik z autorytetem wśród senatorów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52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Brak natomiast jednoznacznych podstaw, by ocenić, czy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Fimbria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kandydował w porozumieniu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B050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z Mariuszem.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Próba udowadniania takiego sojuszu w oparciu o współpracę pomiędzy Mariuszem i synami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Fimbrii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, do której doszło podczas wojny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lastRenderedPageBreak/>
        <w:t>domowej w 87 roku (czyli 17 lat później!), jest mało wiarygodna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53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Przeciwko takiej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kooperacji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mogą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świadczyć wydarzenia ze 106 roku, kiedy to Marek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Gratidiusz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, który nie tylko pochodził z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Arpinum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, tak jak Mariusz, ale miał z nim powiązania rodzinne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, wystosował akt oskarżenia przeciwko Flawiuszowi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Fimbrii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54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</w:pP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Swój spektakularny sukces, którym niewątpliwie było ponowne zdobycie najwyższej magistratury, Mariusz postanowił wykorzystać na dwa sposoby. Pierwszym było zdobycie wojskowej chwały, której zawsze pragnął. W tym czasie pozostawał jedyną nadzieją dla Republiki, co przyznawali nawet jego polityczni wrogowie. Jeszcze nim wrócił z Afryki do Rzymu, otrzymał w zarząd Galię i poruczono mu prowadzenie wojny z barbarzyńskimi plemionami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55"/>
      </w:r>
      <w:r w:rsidRPr="002B61E6">
        <w:rPr>
          <w:rFonts w:ascii="Times New Roman" w:hAnsi="Times New Roman"/>
          <w:color w:val="auto"/>
          <w:sz w:val="24"/>
          <w:szCs w:val="24"/>
        </w:rPr>
        <w:t>. Drugi cel stanowiła rozprawa z politycznymi oponentami. W karierze Mariusza było to istotne novum, ponieważ w czasie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swego pierwszego konsulatu poza reformami wojskowymi nie wykazywał zainteresowania sprawami politycznymi oraz społecznymi.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Tym razem postanowił wspierać albo chociażby patronować trwającemu przez cały 104 rok atakowi na senatorów związanych z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factio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Metelli</w:t>
      </w:r>
      <w:proofErr w:type="spellEnd"/>
      <w:r w:rsidRPr="002B61E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vertAlign w:val="superscript"/>
        </w:rPr>
        <w:footnoteReference w:id="56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Wzajemną wrogość pogłębiały wcześniejsze związki Mariusza z Cecyliuszami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Metellusami</w:t>
      </w:r>
      <w:proofErr w:type="spellEnd"/>
      <w:r>
        <w:rPr>
          <w:rFonts w:ascii="Times New Roman" w:hAnsi="Times New Roman"/>
          <w:color w:val="0432FF"/>
          <w:sz w:val="24"/>
          <w:szCs w:val="24"/>
        </w:rPr>
        <w:t>.</w:t>
      </w:r>
    </w:p>
    <w:p w:rsidR="0039189C" w:rsidRDefault="00391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Default="003032C1">
      <w:pPr>
        <w:spacing w:after="0" w:line="360" w:lineRule="auto"/>
        <w:ind w:firstLine="708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Ofensywa stronników Mariusza</w:t>
      </w:r>
    </w:p>
    <w:p w:rsidR="0039189C" w:rsidRPr="002B61E6" w:rsidRDefault="003032C1">
      <w:pPr>
        <w:spacing w:after="0" w:line="360" w:lineRule="auto"/>
        <w:ind w:firstLine="708"/>
        <w:jc w:val="both"/>
        <w:rPr>
          <w:color w:val="auto"/>
        </w:rPr>
      </w:pPr>
      <w:r w:rsidRPr="002B61E6">
        <w:rPr>
          <w:rFonts w:ascii="Times New Roman" w:hAnsi="Times New Roman"/>
          <w:color w:val="auto"/>
          <w:sz w:val="24"/>
          <w:szCs w:val="24"/>
        </w:rPr>
        <w:t xml:space="preserve">Na podstawie szczątkowego materiału źródłowego niełatwo osądzić, kto pierwszy doprowadził do eskalacji konfliktu – Mariusz, czy senatorowie skupieni wokół domu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lastRenderedPageBreak/>
        <w:t>Cecyliuszy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.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Jedno </w:t>
      </w:r>
      <w:r>
        <w:rPr>
          <w:rFonts w:ascii="Times New Roman" w:hAnsi="Times New Roman"/>
          <w:sz w:val="24"/>
          <w:szCs w:val="24"/>
        </w:rPr>
        <w:t xml:space="preserve">można </w:t>
      </w:r>
      <w:r w:rsidRPr="002B61E6">
        <w:rPr>
          <w:rFonts w:ascii="Times New Roman" w:hAnsi="Times New Roman"/>
          <w:color w:val="auto"/>
          <w:sz w:val="24"/>
          <w:szCs w:val="24"/>
        </w:rPr>
        <w:t>założyć z dużą dozą prawdopodobieństwa, najszybciej zaktywizowali się trybuni plebejscy, którzy objęli urzędy już 10 grudnia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105 roku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57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Trzech spośród nich wystąpiło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przeciwko przedstawicielom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factio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Metelli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albo całej arystokracji, bo optowało za ograniczeniem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prerogatyw senatu, choć każdy czynił to z innego powodu. </w:t>
      </w:r>
    </w:p>
    <w:p w:rsidR="0039189C" w:rsidRDefault="003032C1">
      <w:pPr>
        <w:spacing w:after="0" w:line="360" w:lineRule="auto"/>
        <w:ind w:firstLine="708"/>
        <w:jc w:val="both"/>
      </w:pPr>
      <w:r w:rsidRPr="002B61E6">
        <w:rPr>
          <w:rFonts w:ascii="Times New Roman" w:hAnsi="Times New Roman"/>
          <w:color w:val="auto"/>
          <w:sz w:val="24"/>
          <w:szCs w:val="24"/>
        </w:rPr>
        <w:t xml:space="preserve">L.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Marcjusz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Filippus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– najmniej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zaciekły z tej grupy i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zarazem najbardziej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wyrachowany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58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– złożył </w:t>
      </w:r>
      <w:r>
        <w:rPr>
          <w:rFonts w:ascii="Times New Roman" w:hAnsi="Times New Roman"/>
          <w:sz w:val="24"/>
          <w:szCs w:val="24"/>
        </w:rPr>
        <w:t xml:space="preserve">wniosek o uchwalenie ustawy agrarnej. Ostatecznie projekt nie trafił na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contio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gdyż </w:t>
      </w:r>
      <w:proofErr w:type="spellStart"/>
      <w:r>
        <w:rPr>
          <w:rFonts w:ascii="Times New Roman" w:hAnsi="Times New Roman"/>
          <w:sz w:val="24"/>
          <w:szCs w:val="24"/>
        </w:rPr>
        <w:t>Filippus</w:t>
      </w:r>
      <w:proofErr w:type="spellEnd"/>
      <w:r>
        <w:rPr>
          <w:rFonts w:ascii="Times New Roman" w:hAnsi="Times New Roman"/>
          <w:sz w:val="24"/>
          <w:szCs w:val="24"/>
        </w:rPr>
        <w:t xml:space="preserve"> wycofał s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woje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rogatio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zapewne wskutek skali oporu, na który napotkał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9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  <w:rPr>
          <w:color w:val="FF0000"/>
          <w:u w:color="FF0000"/>
        </w:rPr>
      </w:pPr>
      <w:r>
        <w:rPr>
          <w:rFonts w:ascii="Times New Roman" w:hAnsi="Times New Roman"/>
          <w:sz w:val="24"/>
          <w:szCs w:val="24"/>
        </w:rPr>
        <w:t>Drugim trybunem, którego w tym kontekście należałoby przywołać, był L. Kasjusz Longinus syn konsula roku 107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0"/>
      </w:r>
      <w:r>
        <w:rPr>
          <w:rFonts w:ascii="Times New Roman" w:hAnsi="Times New Roman"/>
          <w:sz w:val="24"/>
          <w:szCs w:val="24"/>
        </w:rPr>
        <w:t xml:space="preserve">. Pochodził z rodziny, która od lat uchodziła za niechętną wobec domu </w:t>
      </w:r>
      <w:proofErr w:type="spellStart"/>
      <w:r>
        <w:rPr>
          <w:rFonts w:ascii="Times New Roman" w:hAnsi="Times New Roman"/>
          <w:sz w:val="24"/>
          <w:szCs w:val="24"/>
        </w:rPr>
        <w:t>Cecyliuszy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Metellusów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1"/>
      </w:r>
      <w:r>
        <w:rPr>
          <w:rFonts w:ascii="Times New Roman" w:hAnsi="Times New Roman"/>
          <w:sz w:val="24"/>
          <w:szCs w:val="24"/>
        </w:rPr>
        <w:t xml:space="preserve">. Z jego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inicjatywy doszło do uchwalenia prawa, które pociągało za sobą wydalenie z senatu każdego, kto został skazany na komicjach, lub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komu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imperium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zostało odebrane przez lud. Najpewniej chciał dzięki temu wyeliminować </w:t>
      </w:r>
      <w:r>
        <w:rPr>
          <w:rFonts w:ascii="Times New Roman" w:hAnsi="Times New Roman"/>
          <w:sz w:val="24"/>
          <w:szCs w:val="24"/>
        </w:rPr>
        <w:t xml:space="preserve">z życia publicznego Kw. </w:t>
      </w:r>
      <w:proofErr w:type="spellStart"/>
      <w:r>
        <w:rPr>
          <w:rFonts w:ascii="Times New Roman" w:hAnsi="Times New Roman"/>
          <w:sz w:val="24"/>
          <w:szCs w:val="24"/>
        </w:rPr>
        <w:t>Serwiliusza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Cepiona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2"/>
      </w:r>
      <w:r>
        <w:rPr>
          <w:rFonts w:ascii="Times New Roman" w:hAnsi="Times New Roman"/>
          <w:sz w:val="24"/>
          <w:szCs w:val="24"/>
        </w:rPr>
        <w:t xml:space="preserve">, a może również </w:t>
      </w:r>
      <w:proofErr w:type="spellStart"/>
      <w:r>
        <w:rPr>
          <w:rFonts w:ascii="Times New Roman" w:hAnsi="Times New Roman"/>
          <w:sz w:val="24"/>
          <w:szCs w:val="24"/>
        </w:rPr>
        <w:t>Gn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Malliusza</w:t>
      </w:r>
      <w:proofErr w:type="spellEnd"/>
      <w:r>
        <w:rPr>
          <w:rFonts w:ascii="Times New Roman" w:hAnsi="Times New Roman"/>
          <w:sz w:val="24"/>
          <w:szCs w:val="24"/>
        </w:rPr>
        <w:t xml:space="preserve"> Maksymusa. </w:t>
      </w:r>
    </w:p>
    <w:p w:rsidR="0039189C" w:rsidRPr="002B61E6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W 104 roku doszło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do postawienia przed są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dem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ówczesnego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princepsa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senatu M. Emiliusza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Skaurusa</w:t>
      </w:r>
      <w:proofErr w:type="spellEnd"/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63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oraz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konsulara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M. Juniusza </w:t>
      </w:r>
      <w:proofErr w:type="spellStart"/>
      <w:r>
        <w:rPr>
          <w:rFonts w:ascii="Times New Roman" w:hAnsi="Times New Roman"/>
          <w:sz w:val="24"/>
          <w:szCs w:val="24"/>
        </w:rPr>
        <w:t>Silanusa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4"/>
      </w:r>
      <w:r>
        <w:rPr>
          <w:rFonts w:ascii="Times New Roman" w:hAnsi="Times New Roman"/>
          <w:sz w:val="24"/>
          <w:szCs w:val="24"/>
        </w:rPr>
        <w:t xml:space="preserve">. Wnioskujący o to trybun </w:t>
      </w:r>
      <w:r>
        <w:rPr>
          <w:rFonts w:ascii="Times New Roman" w:hAnsi="Times New Roman"/>
          <w:sz w:val="24"/>
          <w:szCs w:val="24"/>
        </w:rPr>
        <w:lastRenderedPageBreak/>
        <w:t xml:space="preserve">plebejski </w:t>
      </w:r>
      <w:proofErr w:type="spellStart"/>
      <w:r>
        <w:rPr>
          <w:rFonts w:ascii="Times New Roman" w:hAnsi="Times New Roman"/>
          <w:sz w:val="24"/>
          <w:szCs w:val="24"/>
        </w:rPr>
        <w:t>Gn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Domicjusz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Ahenobarbus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5"/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walczył o odzyskanie pozycji swojego rodu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6"/>
      </w:r>
      <w:r>
        <w:rPr>
          <w:rFonts w:ascii="Times New Roman" w:hAnsi="Times New Roman"/>
          <w:sz w:val="24"/>
          <w:szCs w:val="24"/>
        </w:rPr>
        <w:t xml:space="preserve">. W przypadku oskarżenia </w:t>
      </w:r>
      <w:proofErr w:type="spellStart"/>
      <w:r>
        <w:rPr>
          <w:rFonts w:ascii="Times New Roman" w:hAnsi="Times New Roman"/>
          <w:sz w:val="24"/>
          <w:szCs w:val="24"/>
        </w:rPr>
        <w:t>Skaurusa</w:t>
      </w:r>
      <w:proofErr w:type="spellEnd"/>
      <w:r>
        <w:rPr>
          <w:rFonts w:ascii="Times New Roman" w:hAnsi="Times New Roman"/>
          <w:sz w:val="24"/>
          <w:szCs w:val="24"/>
        </w:rPr>
        <w:t xml:space="preserve"> mogło też chodzić o rewanż. </w:t>
      </w:r>
      <w:proofErr w:type="spellStart"/>
      <w:r>
        <w:rPr>
          <w:rFonts w:ascii="Times New Roman" w:hAnsi="Times New Roman"/>
          <w:sz w:val="24"/>
          <w:szCs w:val="24"/>
        </w:rPr>
        <w:t>Princeps</w:t>
      </w:r>
      <w:proofErr w:type="spellEnd"/>
      <w:r>
        <w:rPr>
          <w:rFonts w:ascii="Times New Roman" w:hAnsi="Times New Roman"/>
          <w:sz w:val="24"/>
          <w:szCs w:val="24"/>
        </w:rPr>
        <w:t xml:space="preserve"> senatu kilka lat wcześniej zablokował </w:t>
      </w:r>
      <w:proofErr w:type="spellStart"/>
      <w:r>
        <w:rPr>
          <w:rFonts w:ascii="Times New Roman" w:hAnsi="Times New Roman"/>
          <w:sz w:val="24"/>
          <w:szCs w:val="24"/>
        </w:rPr>
        <w:t>Ahenobarbusowi</w:t>
      </w:r>
      <w:proofErr w:type="spellEnd"/>
      <w:r>
        <w:rPr>
          <w:rFonts w:ascii="Times New Roman" w:hAnsi="Times New Roman"/>
          <w:sz w:val="24"/>
          <w:szCs w:val="24"/>
        </w:rPr>
        <w:t xml:space="preserve"> możliwość wejścia do kolegium pontyfików w miejsce jego zmarłego ojca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7"/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W postępowaniu trybuna nie było jednak jakiejś szczególnej nienawiści – ot, zwykła polityczna praktyka, po którą chętnie sięgało wielu młodych, utalentowanych ludzi marzących o 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błyskotliwej karierze publicznej. Przy tym 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Ahenobarbus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 dał się poznać jako człowiek zasad i honoru.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Gdy jeden z niewolników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Skaurusa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 xml:space="preserve"> przyszedł do niego w tajemnicy i obiecywał wyjawienie sekretów swego pana, ten nie wyraził zainteresowania propozycją, a przybyłego polecił odesłać do właściciela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68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9189C" w:rsidRPr="002B61E6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61E6">
        <w:rPr>
          <w:rFonts w:ascii="Times New Roman" w:hAnsi="Times New Roman"/>
          <w:color w:val="auto"/>
          <w:sz w:val="24"/>
          <w:szCs w:val="24"/>
        </w:rPr>
        <w:t>Można sądzić, że d</w:t>
      </w:r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la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Domicjusza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Ahenobarbusa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 ważniejsza była reforma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zmieniająca sposób powoływania pontyfików. Przeforsował on 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0000"/>
        </w:rPr>
        <w:t xml:space="preserve">lex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0000"/>
        </w:rPr>
        <w:t>Domitia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0000"/>
        </w:rPr>
        <w:t xml:space="preserve"> de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  <w:u w:color="000000"/>
        </w:rPr>
        <w:t>sacerdotiis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,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na mocy której wybór kapłanów (augurów, pontyfików, decemwirów i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epulonów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>)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nie odbywał się już drogą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kooptacji</w:t>
      </w:r>
      <w:r w:rsidRPr="002B61E6">
        <w:rPr>
          <w:rFonts w:ascii="Times New Roman" w:hAnsi="Times New Roman"/>
          <w:color w:val="auto"/>
          <w:sz w:val="24"/>
          <w:szCs w:val="24"/>
        </w:rPr>
        <w:t>, ale w wyniku częściowo wolnych wyborów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69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Trybun zaproponował mechanizm znany nam jedynie w odniesieniu do najwyższego pontyfika – po pojawieniu się wakatu każdy z kapłanów musiał zaproponować kandydaturę, przy czym jeden kandydat mógł być zgłoszony przez nie więcej niż dwóch z nich. Następnie losowano 17 spośród 35 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tribus</w:t>
      </w:r>
      <w:r w:rsidRPr="002B61E6">
        <w:rPr>
          <w:rFonts w:ascii="Times New Roman" w:hAnsi="Times New Roman"/>
          <w:color w:val="auto"/>
          <w:sz w:val="24"/>
          <w:szCs w:val="24"/>
        </w:rPr>
        <w:t>, które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lastRenderedPageBreak/>
        <w:t>dokonywały ostatecznego wyboru. Rzymianie określali to jako głosowanie „mniejszej części ludu” (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minor pars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populi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>)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70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. Reforma ta przysporzyła wnioskodawcy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sporej popularności.</w:t>
      </w:r>
    </w:p>
    <w:p w:rsidR="0039189C" w:rsidRPr="002B61E6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Domicjusz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Ahenobarbus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przeforsował swoje propozycje dzięki sprzyjającym okolicznościom politycznym oraz temu, że w czasie jego urzędowania zmarł ówczesny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pontifex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maximus</w:t>
      </w:r>
      <w:proofErr w:type="spellEnd"/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: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L. Cecyliusz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Dalmatyński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>,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brat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>Metellusa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  <w:u w:color="000000"/>
        </w:rPr>
        <w:t xml:space="preserve">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Numidyjskiego. </w:t>
      </w:r>
      <w:r w:rsidR="008835EB">
        <w:rPr>
          <w:rFonts w:ascii="Times New Roman" w:hAnsi="Times New Roman"/>
          <w:sz w:val="24"/>
          <w:szCs w:val="24"/>
        </w:rPr>
        <w:t>Jego następcą zarówno w kolegium pontyfików jak i funkcji najwyższego kapłana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835EB">
        <w:rPr>
          <w:rFonts w:ascii="Times New Roman" w:hAnsi="Times New Roman"/>
          <w:color w:val="auto"/>
          <w:sz w:val="24"/>
          <w:szCs w:val="24"/>
        </w:rPr>
        <w:t xml:space="preserve">obrano właśnie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Ahenobarbus</w:t>
      </w:r>
      <w:r w:rsidR="008835EB">
        <w:rPr>
          <w:rFonts w:ascii="Times New Roman" w:hAnsi="Times New Roman"/>
          <w:color w:val="auto"/>
          <w:sz w:val="24"/>
          <w:szCs w:val="24"/>
        </w:rPr>
        <w:t>a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835EB">
        <w:rPr>
          <w:rFonts w:ascii="Times New Roman" w:hAnsi="Times New Roman"/>
          <w:color w:val="auto"/>
          <w:sz w:val="24"/>
          <w:szCs w:val="24"/>
        </w:rPr>
        <w:t xml:space="preserve">Było to z pewnością szokiem dla wielu senatorów hołdujących rzymskiej tradycji. </w:t>
      </w:r>
      <w:r w:rsidR="008835EB">
        <w:rPr>
          <w:rFonts w:ascii="Times New Roman" w:hAnsi="Times New Roman"/>
          <w:color w:val="auto"/>
          <w:sz w:val="24"/>
          <w:szCs w:val="24"/>
          <w:u w:color="000000"/>
        </w:rPr>
        <w:t xml:space="preserve">Z kolei sama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śmierć najwyższego pontyfika musiała być wielkim ciosem dla domu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B61E6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B61E6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Zmarł </w:t>
      </w:r>
      <w:r w:rsidRPr="002B61E6">
        <w:rPr>
          <w:rFonts w:ascii="Times New Roman" w:hAnsi="Times New Roman"/>
          <w:color w:val="auto"/>
          <w:sz w:val="24"/>
          <w:szCs w:val="24"/>
        </w:rPr>
        <w:t>przecież ich najwybitniejszy przedstawiciel i jak wiele na to wskazuje, przywódca całego obozu</w:t>
      </w:r>
      <w:r w:rsidRPr="002B61E6">
        <w:rPr>
          <w:rFonts w:ascii="Times New Roman" w:hAnsi="Times New Roman"/>
          <w:i/>
          <w:iCs/>
          <w:color w:val="auto"/>
          <w:sz w:val="24"/>
          <w:szCs w:val="24"/>
        </w:rPr>
        <w:t xml:space="preserve">. 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Dopiero </w:t>
      </w:r>
      <w:r w:rsidRPr="002B61E6">
        <w:rPr>
          <w:rFonts w:ascii="Times New Roman" w:hAnsi="Times New Roman"/>
          <w:color w:val="auto"/>
          <w:sz w:val="24"/>
          <w:szCs w:val="24"/>
          <w:u w:color="FF0000"/>
        </w:rPr>
        <w:t>kolejne lata udowodniły, że Kwintus, młodszy brat zmarłego, okazał się niezwykle sprawnym politykiem.</w:t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 Zrehabilitowany po odbytym triumfie w roku 106, który przywrócił mu sympatię ludu</w:t>
      </w:r>
      <w:r w:rsidRPr="002B61E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71"/>
      </w:r>
      <w:r w:rsidRPr="002B61E6">
        <w:rPr>
          <w:rFonts w:ascii="Times New Roman" w:hAnsi="Times New Roman"/>
          <w:color w:val="auto"/>
          <w:sz w:val="24"/>
          <w:szCs w:val="24"/>
        </w:rPr>
        <w:t xml:space="preserve">, po kilku latach wychodził z cienia, by odegrać pierwszoplanową rolę w walce z Mariuszem. </w:t>
      </w:r>
    </w:p>
    <w:p w:rsidR="0039189C" w:rsidRDefault="00391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Default="003032C1">
      <w:pPr>
        <w:spacing w:after="0" w:line="360" w:lineRule="auto"/>
        <w:ind w:firstLine="708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Odpowiedź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Cecyliuszy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Metellusów</w:t>
      </w:r>
      <w:proofErr w:type="spellEnd"/>
    </w:p>
    <w:p w:rsidR="0039189C" w:rsidRDefault="003032C1">
      <w:pPr>
        <w:spacing w:after="0" w:line="360" w:lineRule="auto"/>
        <w:ind w:firstLine="708"/>
        <w:jc w:val="both"/>
      </w:pPr>
      <w:r w:rsidRPr="00200735">
        <w:rPr>
          <w:rFonts w:ascii="Times New Roman" w:hAnsi="Times New Roman"/>
          <w:color w:val="auto"/>
          <w:sz w:val="24"/>
          <w:szCs w:val="24"/>
        </w:rPr>
        <w:t xml:space="preserve">Jak już wspomniano, w kilka tygodni po klęsce legionów pod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Arauzjoną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, przy wyciszonym sporze politycznym, dokonał się wybór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Gajusza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Mariusza </w:t>
      </w:r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 xml:space="preserve">in </w:t>
      </w:r>
      <w:proofErr w:type="spellStart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>absentia</w:t>
      </w:r>
      <w:proofErr w:type="spellEnd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na konsula roku 104. Nie należy wszelako mylić poparcia części domów starej arystokracji z jednomyślnością nobilów.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Senatorowie związani z </w:t>
      </w:r>
      <w:proofErr w:type="spellStart"/>
      <w:r w:rsidRPr="00200735">
        <w:rPr>
          <w:rFonts w:ascii="Times New Roman" w:hAnsi="Times New Roman"/>
          <w:i/>
          <w:iCs/>
          <w:color w:val="auto"/>
          <w:sz w:val="24"/>
          <w:szCs w:val="24"/>
          <w:u w:color="FF0000"/>
        </w:rPr>
        <w:t>factio</w:t>
      </w:r>
      <w:proofErr w:type="spellEnd"/>
      <w:r w:rsidRPr="00200735">
        <w:rPr>
          <w:rFonts w:ascii="Times New Roman" w:hAnsi="Times New Roman"/>
          <w:i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200735">
        <w:rPr>
          <w:rFonts w:ascii="Times New Roman" w:hAnsi="Times New Roman"/>
          <w:i/>
          <w:iCs/>
          <w:color w:val="auto"/>
          <w:sz w:val="24"/>
          <w:szCs w:val="24"/>
          <w:u w:color="FF0000"/>
        </w:rPr>
        <w:t>Metelli</w:t>
      </w:r>
      <w:proofErr w:type="spellEnd"/>
      <w:r w:rsidRPr="00200735">
        <w:rPr>
          <w:rFonts w:ascii="Times New Roman" w:hAnsi="Times New Roman"/>
          <w:i/>
          <w:iCs/>
          <w:color w:val="auto"/>
          <w:sz w:val="24"/>
          <w:szCs w:val="24"/>
          <w:u w:color="FF0000"/>
        </w:rPr>
        <w:t xml:space="preserve">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protestowali jeszcze przed objęciem przez Mariusza drugiego konsulatu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72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Oni też uważali, że to Kw. Cecyliusz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Metellus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00735">
        <w:rPr>
          <w:rFonts w:ascii="Times New Roman" w:hAnsi="Times New Roman"/>
          <w:color w:val="auto"/>
          <w:sz w:val="24"/>
          <w:szCs w:val="24"/>
        </w:rPr>
        <w:lastRenderedPageBreak/>
        <w:t xml:space="preserve">Numidyjski był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faktycznym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zwycięzcą wojny z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Jugurtą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3"/>
      </w:r>
      <w:r>
        <w:rPr>
          <w:rFonts w:ascii="Times New Roman" w:hAnsi="Times New Roman"/>
          <w:sz w:val="24"/>
          <w:szCs w:val="24"/>
        </w:rPr>
        <w:t xml:space="preserve">. Wielu tradycjonalistów spośród </w:t>
      </w:r>
      <w:r>
        <w:rPr>
          <w:rFonts w:ascii="Times New Roman" w:hAnsi="Times New Roman"/>
          <w:i/>
          <w:iCs/>
          <w:sz w:val="24"/>
          <w:szCs w:val="24"/>
        </w:rPr>
        <w:t xml:space="preserve">patres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conscripti</w:t>
      </w:r>
      <w:proofErr w:type="spellEnd"/>
      <w:r>
        <w:rPr>
          <w:rFonts w:ascii="Times New Roman" w:hAnsi="Times New Roman"/>
          <w:sz w:val="24"/>
          <w:szCs w:val="24"/>
        </w:rPr>
        <w:t xml:space="preserve"> zraził </w:t>
      </w:r>
      <w:r w:rsidRPr="00200735">
        <w:rPr>
          <w:rFonts w:ascii="Times New Roman" w:hAnsi="Times New Roman"/>
          <w:color w:val="auto"/>
          <w:sz w:val="24"/>
          <w:szCs w:val="24"/>
        </w:rPr>
        <w:t>sam konsul już 1 stycznia 104 roku, kiedy po odbytym triumfie przyszedł na obrady senatu w zbroi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74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Niesmak </w:t>
      </w:r>
      <w:r w:rsidRPr="00200735">
        <w:rPr>
          <w:rFonts w:ascii="Times New Roman" w:hAnsi="Times New Roman"/>
          <w:color w:val="auto"/>
          <w:sz w:val="24"/>
          <w:szCs w:val="24"/>
          <w:u w:color="00B050"/>
        </w:rPr>
        <w:t>budziła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także postawa L. Korneliusza Sulli, kwestora 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Mariusza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z czasów wojny w Numidii, który obnosił się ze swoim bogactwem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75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Najpoważniejsze wątpliwości zgłaszano jednak wobec legalności wyboru Mariusza.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Objął on ponownie konsulat po upływie dopiero czterech lat od poprzedniego urzędowania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Formalnie </w:t>
      </w:r>
      <w:r>
        <w:rPr>
          <w:rFonts w:ascii="Times New Roman" w:hAnsi="Times New Roman"/>
          <w:sz w:val="24"/>
          <w:szCs w:val="24"/>
        </w:rPr>
        <w:t xml:space="preserve">nie doszło do bezpośredniego pogwałcenia </w:t>
      </w:r>
      <w:r>
        <w:rPr>
          <w:rFonts w:ascii="Times New Roman" w:hAnsi="Times New Roman"/>
          <w:i/>
          <w:iCs/>
          <w:sz w:val="24"/>
          <w:szCs w:val="24"/>
        </w:rPr>
        <w:t xml:space="preserve">lex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Villia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annalis</w:t>
      </w:r>
      <w:proofErr w:type="spellEnd"/>
      <w:r>
        <w:rPr>
          <w:rFonts w:ascii="Times New Roman" w:hAnsi="Times New Roman"/>
          <w:sz w:val="24"/>
          <w:szCs w:val="24"/>
        </w:rPr>
        <w:t>. Ustawa ta zakazywała bowiem nie tyle powtórnego sprawowania konsulatu przed upływem dziesięciu lat od poprzedniego urzędowania, ile ponownego ubiegania się o urząd. Tymczasem Mariuszowi konsulat został niejako narzucony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6"/>
      </w:r>
      <w:r>
        <w:rPr>
          <w:rFonts w:ascii="Times New Roman" w:hAnsi="Times New Roman"/>
          <w:sz w:val="24"/>
          <w:szCs w:val="24"/>
        </w:rPr>
        <w:t>. Mimo to zdania wśród bada</w:t>
      </w:r>
      <w:bookmarkStart w:id="5" w:name="_Hlk480412422"/>
      <w:r>
        <w:rPr>
          <w:rFonts w:ascii="Times New Roman" w:hAnsi="Times New Roman"/>
          <w:sz w:val="24"/>
          <w:szCs w:val="24"/>
        </w:rPr>
        <w:t xml:space="preserve">czy są podzielone i </w:t>
      </w:r>
      <w:bookmarkEnd w:id="5"/>
      <w:r>
        <w:rPr>
          <w:rFonts w:ascii="Times New Roman" w:hAnsi="Times New Roman"/>
          <w:sz w:val="24"/>
          <w:szCs w:val="24"/>
        </w:rPr>
        <w:t>w literaturze przedmiotu spotykana jest teza o tym, że konsulat w 104 roku został zdobyty niezgodnie z prawem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7"/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Nie tylko Mariusz, ale i jego przeciwnicy postanowili wykorzystać w walce politycznej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trybunały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200735">
        <w:rPr>
          <w:rFonts w:ascii="Times New Roman" w:hAnsi="Times New Roman"/>
          <w:color w:val="auto"/>
          <w:sz w:val="24"/>
          <w:szCs w:val="24"/>
        </w:rPr>
        <w:t>trybunów plebejskich. Wiele procesów, do których doszło w latach 106-101, wybitnie potwierdza tę tezę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78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Do rozprawy z Mariuszem i jego demagogicznymi poplecznikami miała posłużyć reforma sądownictwa z roku 106, która najpewniej </w:t>
      </w:r>
      <w:r>
        <w:rPr>
          <w:rFonts w:ascii="Times New Roman" w:hAnsi="Times New Roman"/>
          <w:sz w:val="24"/>
          <w:szCs w:val="24"/>
        </w:rPr>
        <w:t xml:space="preserve">stanowiła szerszy polityczny plan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 mocy </w:t>
      </w:r>
      <w:r>
        <w:rPr>
          <w:rFonts w:ascii="Times New Roman" w:hAnsi="Times New Roman"/>
          <w:i/>
          <w:iCs/>
          <w:sz w:val="24"/>
          <w:szCs w:val="24"/>
        </w:rPr>
        <w:t xml:space="preserve">lex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Servilia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iudicaria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autorstwa </w:t>
      </w:r>
      <w:proofErr w:type="spellStart"/>
      <w:r>
        <w:rPr>
          <w:rFonts w:ascii="Times New Roman" w:hAnsi="Times New Roman"/>
          <w:sz w:val="24"/>
          <w:szCs w:val="24"/>
        </w:rPr>
        <w:t>Serwiliusza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Cepiona</w:t>
      </w:r>
      <w:proofErr w:type="spellEnd"/>
      <w:r>
        <w:rPr>
          <w:rFonts w:ascii="Times New Roman" w:hAnsi="Times New Roman"/>
          <w:sz w:val="24"/>
          <w:szCs w:val="24"/>
        </w:rPr>
        <w:t xml:space="preserve">, niesławnego dowódcy spod </w:t>
      </w:r>
      <w:proofErr w:type="spellStart"/>
      <w:r>
        <w:rPr>
          <w:rFonts w:ascii="Times New Roman" w:hAnsi="Times New Roman"/>
          <w:sz w:val="24"/>
          <w:szCs w:val="24"/>
        </w:rPr>
        <w:t>Arauzjony</w:t>
      </w:r>
      <w:proofErr w:type="spellEnd"/>
      <w:r>
        <w:rPr>
          <w:rFonts w:ascii="Times New Roman" w:hAnsi="Times New Roman"/>
          <w:sz w:val="24"/>
          <w:szCs w:val="24"/>
        </w:rPr>
        <w:t xml:space="preserve">, wyeliminowano </w:t>
      </w:r>
      <w:proofErr w:type="spellStart"/>
      <w:r>
        <w:rPr>
          <w:rFonts w:ascii="Times New Roman" w:hAnsi="Times New Roman"/>
          <w:sz w:val="24"/>
          <w:szCs w:val="24"/>
        </w:rPr>
        <w:t>ekwitów</w:t>
      </w:r>
      <w:proofErr w:type="spellEnd"/>
      <w:r>
        <w:rPr>
          <w:rFonts w:ascii="Times New Roman" w:hAnsi="Times New Roman"/>
          <w:sz w:val="24"/>
          <w:szCs w:val="24"/>
        </w:rPr>
        <w:t xml:space="preserve"> z kolegium orzekającego w trybunale </w:t>
      </w:r>
      <w:r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repetundis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odtąd mieli w nim sądzić jedynie senatorowie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9"/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9189C" w:rsidRPr="00200735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Jednym z trybunów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plebejskich w </w:t>
      </w:r>
      <w:r w:rsidRPr="00200735">
        <w:rPr>
          <w:rFonts w:ascii="Times New Roman" w:hAnsi="Times New Roman"/>
          <w:color w:val="auto"/>
          <w:sz w:val="24"/>
          <w:szCs w:val="24"/>
          <w:u w:color="00B050"/>
        </w:rPr>
        <w:t>104 roku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mógł być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Gn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. Pompejusz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Strabon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, późniejszy konsul w 89 roku. Ta oryginalna teoria E.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Badiana</w:t>
      </w:r>
      <w:proofErr w:type="spellEnd"/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80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została </w:t>
      </w:r>
      <w:r>
        <w:rPr>
          <w:rFonts w:ascii="Times New Roman" w:hAnsi="Times New Roman"/>
          <w:sz w:val="24"/>
          <w:szCs w:val="24"/>
        </w:rPr>
        <w:t>z uznaniem przyjęta w literaturze przedmiotu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1"/>
      </w:r>
      <w:r>
        <w:rPr>
          <w:rFonts w:ascii="Times New Roman" w:hAnsi="Times New Roman"/>
          <w:sz w:val="24"/>
          <w:szCs w:val="24"/>
        </w:rPr>
        <w:t xml:space="preserve">. Niezależnie od sprawowanego w tym roku urzędu, Pompejusz </w:t>
      </w:r>
      <w:proofErr w:type="spellStart"/>
      <w:r>
        <w:rPr>
          <w:rFonts w:ascii="Times New Roman" w:hAnsi="Times New Roman"/>
          <w:sz w:val="24"/>
          <w:szCs w:val="24"/>
        </w:rPr>
        <w:t>Strabon</w:t>
      </w:r>
      <w:proofErr w:type="spellEnd"/>
      <w:r>
        <w:rPr>
          <w:rFonts w:ascii="Times New Roman" w:hAnsi="Times New Roman"/>
          <w:sz w:val="24"/>
          <w:szCs w:val="24"/>
        </w:rPr>
        <w:t xml:space="preserve"> wykonał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w roku 104 dwa posunięcia</w:t>
      </w:r>
      <w:r>
        <w:rPr>
          <w:rFonts w:ascii="Times New Roman" w:hAnsi="Times New Roman"/>
          <w:sz w:val="24"/>
          <w:szCs w:val="24"/>
        </w:rPr>
        <w:t>, z których teoretycznie jedno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stawiało</w:t>
      </w:r>
      <w:r>
        <w:rPr>
          <w:rFonts w:ascii="Times New Roman" w:hAnsi="Times New Roman"/>
          <w:sz w:val="24"/>
          <w:szCs w:val="24"/>
        </w:rPr>
        <w:t xml:space="preserve"> go w opo</w:t>
      </w:r>
      <w:bookmarkStart w:id="6" w:name="_Hlk480413390"/>
      <w:r>
        <w:rPr>
          <w:rFonts w:ascii="Times New Roman" w:hAnsi="Times New Roman"/>
          <w:sz w:val="24"/>
          <w:szCs w:val="24"/>
        </w:rPr>
        <w:t>z</w:t>
      </w:r>
      <w:bookmarkStart w:id="7" w:name="_Hlk480674839"/>
      <w:bookmarkEnd w:id="6"/>
      <w:r>
        <w:rPr>
          <w:rFonts w:ascii="Times New Roman" w:hAnsi="Times New Roman"/>
          <w:sz w:val="24"/>
          <w:szCs w:val="24"/>
        </w:rPr>
        <w:t xml:space="preserve">ycji do </w:t>
      </w:r>
      <w:r w:rsidRPr="00200735">
        <w:rPr>
          <w:rFonts w:ascii="Times New Roman" w:hAnsi="Times New Roman"/>
          <w:color w:val="auto"/>
          <w:sz w:val="24"/>
          <w:szCs w:val="24"/>
        </w:rPr>
        <w:t>M</w:t>
      </w:r>
      <w:bookmarkEnd w:id="7"/>
      <w:r w:rsidRPr="00200735">
        <w:rPr>
          <w:rFonts w:ascii="Times New Roman" w:hAnsi="Times New Roman"/>
          <w:color w:val="auto"/>
          <w:sz w:val="24"/>
          <w:szCs w:val="24"/>
        </w:rPr>
        <w:t>ariusza, a drugie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 sugerowało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bliskie związki z domem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 xml:space="preserve">.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Postanowił on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postawić przed trybunałem swojego byłego dowódcę Tytusa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Albucjusza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 (pretora w 105? roku). Już zapowiedź takiego kroku została powszechnie odebrana z niesmakiem. Rzymianie sądzili bowiem, że tego rodzaju atak na dawnego przełożonego jest niestosowny. Cyceron zaświadcza, że pretor powinien być jak ojciec dla swojego kwestora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  <w:vertAlign w:val="superscript"/>
        </w:rPr>
        <w:footnoteReference w:id="82"/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. Zapewne dlatego ostatecznie oskarżeniem kierował G. Juliusz Cezar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Strabon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Vopiscus</w:t>
      </w:r>
      <w:proofErr w:type="spellEnd"/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83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200735">
        <w:rPr>
          <w:rFonts w:ascii="Times New Roman" w:hAnsi="Times New Roman"/>
          <w:color w:val="auto"/>
          <w:sz w:val="24"/>
          <w:szCs w:val="24"/>
        </w:rPr>
        <w:t xml:space="preserve">W obliczu tych wydarzeń, Pompejusz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Strabon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wybrał inny cel i przeprowadził brutalny atak na Kw. Fabiusza Maksymusa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Eburnusa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, konsula ze 116 roku, którego oskarżył o synobójstwo.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Eburnus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w wyniku procesu został skazany </w:t>
      </w:r>
      <w:r>
        <w:rPr>
          <w:rFonts w:ascii="Times New Roman" w:hAnsi="Times New Roman"/>
          <w:sz w:val="24"/>
          <w:szCs w:val="24"/>
        </w:rPr>
        <w:t xml:space="preserve">na wygnanie i resztę życia spędził </w:t>
      </w:r>
      <w:r>
        <w:rPr>
          <w:rFonts w:ascii="Times New Roman" w:hAnsi="Times New Roman"/>
          <w:sz w:val="24"/>
          <w:szCs w:val="24"/>
        </w:rPr>
        <w:lastRenderedPageBreak/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Nucerii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4"/>
      </w:r>
      <w:r>
        <w:rPr>
          <w:rFonts w:ascii="Times New Roman" w:hAnsi="Times New Roman"/>
          <w:sz w:val="24"/>
          <w:szCs w:val="24"/>
        </w:rPr>
        <w:t xml:space="preserve">. Biorąc pod uwagę metody działania Pompejusza </w:t>
      </w:r>
      <w:proofErr w:type="spellStart"/>
      <w:r>
        <w:rPr>
          <w:rFonts w:ascii="Times New Roman" w:hAnsi="Times New Roman"/>
          <w:sz w:val="24"/>
          <w:szCs w:val="24"/>
        </w:rPr>
        <w:t>Strabona</w:t>
      </w:r>
      <w:proofErr w:type="spellEnd"/>
      <w:r>
        <w:rPr>
          <w:rFonts w:ascii="Times New Roman" w:hAnsi="Times New Roman"/>
          <w:sz w:val="24"/>
          <w:szCs w:val="24"/>
        </w:rPr>
        <w:t>, jak i wiele lat, które upłynęły od zdobytej przez niego pretury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5"/>
      </w:r>
      <w:r>
        <w:rPr>
          <w:rFonts w:ascii="Times New Roman" w:hAnsi="Times New Roman"/>
          <w:sz w:val="24"/>
          <w:szCs w:val="24"/>
        </w:rPr>
        <w:t xml:space="preserve"> można wątpić w jego ścisłe powiązania z klanem </w:t>
      </w:r>
      <w:proofErr w:type="spellStart"/>
      <w:r>
        <w:rPr>
          <w:rFonts w:ascii="Times New Roman" w:hAnsi="Times New Roman"/>
          <w:sz w:val="24"/>
          <w:szCs w:val="24"/>
        </w:rPr>
        <w:t>Cecyliuszy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Metellusów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choć nie jest to całkowicie wykluczone; zwłaszcza gdyby go uznać za agenta Emiliusza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Skaurusa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. Ten zaś nosił wielką zadrę w sercu do Fabiusza Maksymusa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Eburnusa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37DD6">
        <w:rPr>
          <w:rFonts w:ascii="Times New Roman" w:hAnsi="Times New Roman"/>
          <w:color w:val="auto"/>
          <w:sz w:val="24"/>
          <w:szCs w:val="24"/>
        </w:rPr>
        <w:t>od czasu przegranych z nim wyborów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konsularnych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6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Pr="00200735" w:rsidRDefault="003032C1">
      <w:pPr>
        <w:spacing w:after="0" w:line="36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M. Emiliusz </w:t>
      </w:r>
      <w:proofErr w:type="spellStart"/>
      <w:r>
        <w:rPr>
          <w:rFonts w:ascii="Times New Roman" w:hAnsi="Times New Roman"/>
          <w:sz w:val="24"/>
          <w:szCs w:val="24"/>
        </w:rPr>
        <w:t>Skaurus</w:t>
      </w:r>
      <w:proofErr w:type="spellEnd"/>
      <w:r>
        <w:rPr>
          <w:rFonts w:ascii="Times New Roman" w:hAnsi="Times New Roman"/>
          <w:sz w:val="24"/>
          <w:szCs w:val="24"/>
        </w:rPr>
        <w:t xml:space="preserve"> jako </w:t>
      </w:r>
      <w:proofErr w:type="spellStart"/>
      <w:r>
        <w:rPr>
          <w:rFonts w:ascii="Times New Roman" w:hAnsi="Times New Roman"/>
          <w:sz w:val="24"/>
          <w:szCs w:val="24"/>
        </w:rPr>
        <w:t>princeps</w:t>
      </w:r>
      <w:proofErr w:type="spellEnd"/>
      <w:r>
        <w:rPr>
          <w:rFonts w:ascii="Times New Roman" w:hAnsi="Times New Roman"/>
          <w:sz w:val="24"/>
          <w:szCs w:val="24"/>
        </w:rPr>
        <w:t xml:space="preserve"> senatu i doskonały mówca, wyrósł w owym czasie na najpotężniejszego przedstawiciela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Jako taki prowadził stosunkowo niezależną politykę, a trybunały obrał jako miejsce, gdzie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uderzał </w:t>
      </w:r>
      <w:r>
        <w:rPr>
          <w:rFonts w:ascii="Times New Roman" w:hAnsi="Times New Roman"/>
          <w:sz w:val="24"/>
          <w:szCs w:val="24"/>
        </w:rPr>
        <w:t xml:space="preserve">w przeciwników politycznych. Wiadomo, że wytoczył procesy G. Flawiuszowi </w:t>
      </w:r>
      <w:proofErr w:type="spellStart"/>
      <w:r>
        <w:rPr>
          <w:rFonts w:ascii="Times New Roman" w:hAnsi="Times New Roman"/>
          <w:sz w:val="24"/>
          <w:szCs w:val="24"/>
        </w:rPr>
        <w:t>Fimbrii</w:t>
      </w:r>
      <w:proofErr w:type="spellEnd"/>
      <w:r>
        <w:rPr>
          <w:rFonts w:ascii="Times New Roman" w:hAnsi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/>
          <w:sz w:val="24"/>
          <w:szCs w:val="24"/>
        </w:rPr>
        <w:t>Gajuszowi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Memmiuszowi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w obydwu przypadkach</w:t>
      </w:r>
      <w:r>
        <w:rPr>
          <w:rFonts w:ascii="Times New Roman" w:hAnsi="Times New Roman"/>
          <w:sz w:val="24"/>
          <w:szCs w:val="24"/>
        </w:rPr>
        <w:t xml:space="preserve"> bez powodzenia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7"/>
      </w:r>
      <w:r>
        <w:rPr>
          <w:rFonts w:ascii="Times New Roman" w:hAnsi="Times New Roman"/>
          <w:sz w:val="24"/>
          <w:szCs w:val="24"/>
        </w:rPr>
        <w:t>; należy je datować chyba między rokiem 104, a 102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8"/>
      </w:r>
      <w:r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oskarżeniu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Memmiusza</w:t>
      </w:r>
      <w:proofErr w:type="spellEnd"/>
      <w:r>
        <w:rPr>
          <w:rFonts w:ascii="Times New Roman" w:hAnsi="Times New Roman"/>
          <w:sz w:val="24"/>
          <w:szCs w:val="24"/>
        </w:rPr>
        <w:t xml:space="preserve">, oprócz odwetu za jego działalność w charakterze </w:t>
      </w:r>
      <w:r w:rsidRPr="00200735">
        <w:rPr>
          <w:rFonts w:ascii="Times New Roman" w:hAnsi="Times New Roman"/>
          <w:color w:val="auto"/>
          <w:sz w:val="24"/>
          <w:szCs w:val="24"/>
        </w:rPr>
        <w:t>trybuna plebejskiego w roku 111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89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, mogło chodzić o zablokowanie mu szans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na osiągnięcie konsulatu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na rok 103, bądź 102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:rsidR="0039189C" w:rsidRDefault="003032C1">
      <w:pPr>
        <w:spacing w:after="0" w:line="360" w:lineRule="auto"/>
        <w:ind w:firstLine="708"/>
        <w:jc w:val="both"/>
      </w:pPr>
      <w:r w:rsidRPr="00200735">
        <w:rPr>
          <w:rFonts w:ascii="Times New Roman" w:hAnsi="Times New Roman"/>
          <w:color w:val="auto"/>
          <w:sz w:val="24"/>
          <w:szCs w:val="24"/>
        </w:rPr>
        <w:t xml:space="preserve">Niewiele informacji posiadamy o procesie L. Waleriusza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Flakkusa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200735">
        <w:rPr>
          <w:rFonts w:ascii="Times New Roman" w:hAnsi="Times New Roman"/>
          <w:color w:val="auto"/>
          <w:sz w:val="24"/>
          <w:szCs w:val="24"/>
          <w:u w:color="00B050"/>
        </w:rPr>
        <w:t>którego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oskarżać chciał M. Aureliusz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Skaurus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, prawdopodobnie kolejny kwestor, </w:t>
      </w:r>
      <w:r w:rsidRPr="00200735">
        <w:rPr>
          <w:rFonts w:ascii="Times New Roman" w:hAnsi="Times New Roman"/>
          <w:color w:val="auto"/>
          <w:sz w:val="24"/>
          <w:szCs w:val="24"/>
          <w:u w:color="00B050"/>
        </w:rPr>
        <w:t xml:space="preserve">który </w:t>
      </w:r>
      <w:r w:rsidRPr="00200735">
        <w:rPr>
          <w:rFonts w:ascii="Times New Roman" w:hAnsi="Times New Roman"/>
          <w:color w:val="auto"/>
          <w:sz w:val="24"/>
          <w:szCs w:val="24"/>
        </w:rPr>
        <w:t>zapomniał o dobrych zasadach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90"/>
      </w:r>
      <w:r w:rsidRPr="00200735">
        <w:rPr>
          <w:rFonts w:ascii="Times New Roman" w:hAnsi="Times New Roman"/>
          <w:color w:val="auto"/>
          <w:sz w:val="24"/>
          <w:szCs w:val="24"/>
        </w:rPr>
        <w:t>. Biorąc pod uwagę układ tekstu Cycerona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91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, a także fakt, że musiało chodzić o </w:t>
      </w:r>
      <w:r w:rsidRPr="00200735">
        <w:rPr>
          <w:rFonts w:ascii="Times New Roman" w:hAnsi="Times New Roman"/>
          <w:color w:val="auto"/>
          <w:sz w:val="24"/>
          <w:szCs w:val="24"/>
        </w:rPr>
        <w:lastRenderedPageBreak/>
        <w:t>namiestnictwo prowincji w trakcie pretury, należy przyjąć za najbardziej prawdopodobne, iż do procesu doszło pomiędzy rokiem 105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,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a 102.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W roli oskarżyciela nie wystąpił jednak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Skaurus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, który – podobnie jak Pompejusz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Strabon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 – został zmuszony do wycofania skargi, zaś sam wyrok był uniewinniający.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Możliwe jednak, że fakt ten zbliżył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Flakkusa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 do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Mariusza, w porozumieniu z którym ubiegał się o konsulat</w:t>
      </w:r>
      <w:r>
        <w:rPr>
          <w:rFonts w:ascii="Times New Roman" w:hAnsi="Times New Roman"/>
          <w:sz w:val="24"/>
          <w:szCs w:val="24"/>
        </w:rPr>
        <w:t xml:space="preserve"> na rok 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2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91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Default="003032C1">
      <w:pPr>
        <w:spacing w:after="0" w:line="360" w:lineRule="auto"/>
        <w:ind w:firstLine="708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Problem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annony</w:t>
      </w:r>
      <w:proofErr w:type="spellEnd"/>
    </w:p>
    <w:p w:rsidR="0039189C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Rywalizacja 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polityczna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w roku 104 odbywała się, zgodnie z panującą tradycją, podczas potyczek sądowych, wyborów, przydzielania przez senat prowincji, czy w demagogicznej aktywności trybunów plebejskich.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W niniejszych rozważen</w:t>
      </w:r>
      <w:bookmarkStart w:id="8" w:name="_Hlk480753343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iach przewa</w:t>
      </w:r>
      <w:bookmarkEnd w:id="8"/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żają rozważania dotyczące wyborów i procesów sądowych, ponieważ one znalazły największe odzwierciedlenie w źródłach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Wiąże się to zapewne ze skupieniem samych </w:t>
      </w:r>
      <w:r>
        <w:rPr>
          <w:rFonts w:ascii="Times New Roman" w:hAnsi="Times New Roman"/>
          <w:sz w:val="24"/>
          <w:szCs w:val="24"/>
        </w:rPr>
        <w:t>senatorów na tych sprawach, o czym przekonuje lektura korespondencji Cycerona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3"/>
      </w:r>
      <w:r>
        <w:rPr>
          <w:rFonts w:ascii="Times New Roman" w:hAnsi="Times New Roman"/>
          <w:sz w:val="24"/>
          <w:szCs w:val="24"/>
        </w:rPr>
        <w:t xml:space="preserve">. Naturalnie przeciętni mieszkańcy Rzymu żyli innymi problemami, a dwie sprawy nadzwyczajne i 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fundamentalnym znaczeniu wysunęły się na pierwszy plan. Były to wojna z „barbarzyńcami” na Północy i załamanie dostaw zboża.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W roku 104 wojna z Cymbrami, Teutonami, </w:t>
      </w:r>
      <w:proofErr w:type="spellStart"/>
      <w:r>
        <w:rPr>
          <w:rFonts w:ascii="Times New Roman" w:hAnsi="Times New Roman"/>
          <w:sz w:val="24"/>
          <w:szCs w:val="24"/>
        </w:rPr>
        <w:t>Tigurynami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Ambronami</w:t>
      </w:r>
      <w:proofErr w:type="spellEnd"/>
      <w:r>
        <w:rPr>
          <w:rFonts w:ascii="Times New Roman" w:hAnsi="Times New Roman"/>
          <w:sz w:val="24"/>
          <w:szCs w:val="24"/>
        </w:rPr>
        <w:t xml:space="preserve"> ograniczyła się do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kilku potyczek z lokalnymi plemionami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94"/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Toteż wyzwaniem dla senatu i zwalczających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się frakcji, stał się</w:t>
      </w:r>
      <w:r>
        <w:rPr>
          <w:rFonts w:ascii="Times New Roman" w:hAnsi="Times New Roman"/>
          <w:sz w:val="24"/>
          <w:szCs w:val="24"/>
        </w:rPr>
        <w:t xml:space="preserve"> problem dostaw zboża. Rzym czerpał je z </w:t>
      </w:r>
      <w:r w:rsidRPr="00200735">
        <w:rPr>
          <w:rFonts w:ascii="Times New Roman" w:hAnsi="Times New Roman"/>
          <w:color w:val="auto"/>
          <w:sz w:val="24"/>
          <w:szCs w:val="24"/>
        </w:rPr>
        <w:t>trzech prowincji</w:t>
      </w:r>
      <w:r w:rsidR="00F8296F">
        <w:rPr>
          <w:rStyle w:val="Odwoanieprzypisudolnego"/>
          <w:rFonts w:ascii="Times New Roman" w:hAnsi="Times New Roman"/>
          <w:color w:val="auto"/>
          <w:sz w:val="24"/>
          <w:szCs w:val="24"/>
        </w:rPr>
        <w:footnoteReference w:id="95"/>
      </w:r>
      <w:r w:rsidRPr="00200735">
        <w:rPr>
          <w:rFonts w:ascii="Times New Roman" w:hAnsi="Times New Roman"/>
          <w:color w:val="auto"/>
          <w:sz w:val="24"/>
          <w:szCs w:val="24"/>
        </w:rPr>
        <w:t>, spośród których w Afryce dopiero zakończono wojnę, a zamieszki i lokalne konflikty targały dwiema kolejnymi – Sycylią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96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i Sardynią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97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Dodatkowo sytuację pogarszały grasujące i rozzuchwalone bandy piratów, które nierzadko przejmowały skądinąd nieregularne transporty. Nie wolno też zapomnieć, że północna Italia  żywiła już dziesiąty rok legionistów stojących w obronie stolicy przed najazdem barbarzyńców, a po ich klęskach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plądrowali ją najeźdźcy; w efekcie ceny szybowały jeszcze bardziej w górę.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189C" w:rsidRPr="00200735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pewnością kluczowe dla domu </w:t>
      </w:r>
      <w:proofErr w:type="spellStart"/>
      <w:r>
        <w:rPr>
          <w:rFonts w:ascii="Times New Roman" w:hAnsi="Times New Roman"/>
          <w:sz w:val="24"/>
          <w:szCs w:val="24"/>
        </w:rPr>
        <w:t>Cecyliuszy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Metellusów</w:t>
      </w:r>
      <w:proofErr w:type="spellEnd"/>
      <w:r>
        <w:rPr>
          <w:rFonts w:ascii="Times New Roman" w:hAnsi="Times New Roman"/>
          <w:sz w:val="24"/>
          <w:szCs w:val="24"/>
        </w:rPr>
        <w:t xml:space="preserve"> oraz pozostałych wrogów Mariusza, stało się skuteczne rozwiązanie problemu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annony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 pierwszym kroku od obowiązków kwestora w porcie Ostii odsunięto L. </w:t>
      </w:r>
      <w:proofErr w:type="spellStart"/>
      <w:r>
        <w:rPr>
          <w:rFonts w:ascii="Times New Roman" w:hAnsi="Times New Roman"/>
          <w:sz w:val="24"/>
          <w:szCs w:val="24"/>
        </w:rPr>
        <w:t>Apulejusza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Saturninusa</w:t>
      </w:r>
      <w:proofErr w:type="spellEnd"/>
      <w:r>
        <w:rPr>
          <w:rFonts w:ascii="Times New Roman" w:hAnsi="Times New Roman"/>
          <w:sz w:val="24"/>
          <w:szCs w:val="24"/>
        </w:rPr>
        <w:t xml:space="preserve">, a jego następcą został wspominany już wielokrotnie M. Emiliusz </w:t>
      </w:r>
      <w:proofErr w:type="spellStart"/>
      <w:r>
        <w:rPr>
          <w:rFonts w:ascii="Times New Roman" w:hAnsi="Times New Roman"/>
          <w:sz w:val="24"/>
          <w:szCs w:val="24"/>
        </w:rPr>
        <w:t>Skaurus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8"/>
      </w:r>
      <w:r>
        <w:rPr>
          <w:rFonts w:ascii="Times New Roman" w:hAnsi="Times New Roman"/>
          <w:sz w:val="24"/>
          <w:szCs w:val="24"/>
        </w:rPr>
        <w:t xml:space="preserve">. Jasnym sygnałem dla plebsu i wielu </w:t>
      </w:r>
      <w:r>
        <w:rPr>
          <w:rFonts w:ascii="Times New Roman" w:hAnsi="Times New Roman"/>
          <w:i/>
          <w:iCs/>
          <w:sz w:val="24"/>
          <w:szCs w:val="24"/>
        </w:rPr>
        <w:t>patres</w:t>
      </w:r>
      <w:r>
        <w:rPr>
          <w:rFonts w:ascii="Times New Roman" w:hAnsi="Times New Roman"/>
          <w:sz w:val="24"/>
          <w:szCs w:val="24"/>
        </w:rPr>
        <w:t xml:space="preserve"> był fakt, że funkcji jaką obejmowali ludzie w okolicach trzydziestego roku życia, podejmował się sam </w:t>
      </w:r>
      <w:proofErr w:type="spellStart"/>
      <w:r>
        <w:rPr>
          <w:rFonts w:ascii="Times New Roman" w:hAnsi="Times New Roman"/>
          <w:sz w:val="24"/>
          <w:szCs w:val="24"/>
        </w:rPr>
        <w:t>princeps</w:t>
      </w:r>
      <w:proofErr w:type="spellEnd"/>
      <w:r>
        <w:rPr>
          <w:rFonts w:ascii="Times New Roman" w:hAnsi="Times New Roman"/>
          <w:sz w:val="24"/>
          <w:szCs w:val="24"/>
        </w:rPr>
        <w:t xml:space="preserve"> senatu. </w:t>
      </w:r>
    </w:p>
    <w:p w:rsidR="0039189C" w:rsidRDefault="003032C1">
      <w:pPr>
        <w:spacing w:after="0" w:line="360" w:lineRule="auto"/>
        <w:ind w:firstLine="708"/>
        <w:jc w:val="both"/>
      </w:pPr>
      <w:r w:rsidRPr="00200735">
        <w:rPr>
          <w:rFonts w:ascii="Times New Roman" w:hAnsi="Times New Roman"/>
          <w:color w:val="auto"/>
          <w:sz w:val="24"/>
          <w:szCs w:val="24"/>
        </w:rPr>
        <w:t xml:space="preserve">Wiele wskazuje, że to osoby związane z </w:t>
      </w:r>
      <w:proofErr w:type="spellStart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>factio</w:t>
      </w:r>
      <w:proofErr w:type="spellEnd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>Metelli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stały za oskarżeniami kierowanymi wobec namiestników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prowincji, z których sprowadzano najwięcej zboża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Zadbano, aby głośna stała się sprawa złupienia Sardynii przez Tytusa </w:t>
      </w:r>
      <w:proofErr w:type="spellStart"/>
      <w:r>
        <w:rPr>
          <w:rFonts w:ascii="Times New Roman" w:hAnsi="Times New Roman"/>
          <w:sz w:val="24"/>
          <w:szCs w:val="24"/>
        </w:rPr>
        <w:t>Albucjusza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9"/>
      </w:r>
      <w:r>
        <w:rPr>
          <w:rFonts w:ascii="Times New Roman" w:hAnsi="Times New Roman"/>
          <w:sz w:val="24"/>
          <w:szCs w:val="24"/>
        </w:rPr>
        <w:t xml:space="preserve">, który dopuścił się takich zdzierstw, że miał go zamiar oskarżać jego własny kwestor, wspominany już Pompejusz </w:t>
      </w:r>
      <w:proofErr w:type="spellStart"/>
      <w:r>
        <w:rPr>
          <w:rFonts w:ascii="Times New Roman" w:hAnsi="Times New Roman"/>
          <w:sz w:val="24"/>
          <w:szCs w:val="24"/>
        </w:rPr>
        <w:t>Strabon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0"/>
      </w:r>
      <w:r>
        <w:rPr>
          <w:rFonts w:ascii="Times New Roman" w:hAnsi="Times New Roman"/>
          <w:sz w:val="24"/>
          <w:szCs w:val="24"/>
        </w:rPr>
        <w:t xml:space="preserve">. W 103 roku postawiono go przed trybunałem </w:t>
      </w:r>
      <w:r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repetundis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1"/>
      </w:r>
      <w:r>
        <w:rPr>
          <w:rFonts w:ascii="Times New Roman" w:hAnsi="Times New Roman"/>
          <w:sz w:val="24"/>
          <w:szCs w:val="24"/>
        </w:rPr>
        <w:t xml:space="preserve">, a był </w:t>
      </w:r>
      <w:r>
        <w:rPr>
          <w:rFonts w:ascii="Times New Roman" w:hAnsi="Times New Roman"/>
          <w:sz w:val="24"/>
          <w:szCs w:val="24"/>
        </w:rPr>
        <w:lastRenderedPageBreak/>
        <w:t>to senator, który politycznie współpracował z Mariuszem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2"/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Albucjusz</w:t>
      </w:r>
      <w:proofErr w:type="spellEnd"/>
      <w:r>
        <w:rPr>
          <w:rFonts w:ascii="Times New Roman" w:hAnsi="Times New Roman"/>
          <w:sz w:val="24"/>
          <w:szCs w:val="24"/>
        </w:rPr>
        <w:t xml:space="preserve"> został skazany i resztę życia spędził w Atenach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3"/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Jego następca pozostaje nieznany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104"/>
      </w:r>
      <w:r>
        <w:rPr>
          <w:rFonts w:ascii="Times New Roman" w:hAnsi="Times New Roman"/>
          <w:color w:val="000000"/>
          <w:sz w:val="24"/>
          <w:szCs w:val="24"/>
          <w:u w:color="000000"/>
        </w:rPr>
        <w:t>, jednakże nic nie wiemy o dalszych ekscesach na Sardynii i Korsyce.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Do wybuchu powstania niewolników doszło na Sycylii, a zarzuty korupcyjne stawiano namiestnikowi P. Licyniuszowi Nerwie pretorowi roku 104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5"/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Odwołano go z zajmowanego stanowiska, a 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jedyna informacja źródłowa wskazuje, że i on mógł pozostawać w kręgu stronników Mariusza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  <w:vertAlign w:val="superscript"/>
        </w:rPr>
        <w:footnoteReference w:id="106"/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. Nowym namiestnikiem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Sycylii został szwagier</w:t>
      </w:r>
      <w:r>
        <w:rPr>
          <w:rFonts w:ascii="Times New Roman" w:hAnsi="Times New Roman"/>
          <w:sz w:val="24"/>
          <w:szCs w:val="24"/>
        </w:rPr>
        <w:t xml:space="preserve"> Kw. Cecyliusza </w:t>
      </w:r>
      <w:proofErr w:type="spellStart"/>
      <w:r>
        <w:rPr>
          <w:rFonts w:ascii="Times New Roman" w:hAnsi="Times New Roman"/>
          <w:sz w:val="24"/>
          <w:szCs w:val="24"/>
        </w:rPr>
        <w:t>Metellusa</w:t>
      </w:r>
      <w:proofErr w:type="spellEnd"/>
      <w:r>
        <w:rPr>
          <w:rFonts w:ascii="Times New Roman" w:hAnsi="Times New Roman"/>
          <w:sz w:val="24"/>
          <w:szCs w:val="24"/>
        </w:rPr>
        <w:t xml:space="preserve"> Numidyjskiego – L.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Licyniusz Lukullus, pretor roku 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107"/>
      </w:r>
      <w:r>
        <w:rPr>
          <w:rFonts w:ascii="Times New Roman" w:hAnsi="Times New Roman"/>
          <w:color w:val="000000"/>
          <w:sz w:val="24"/>
          <w:szCs w:val="24"/>
          <w:u w:color="000000"/>
        </w:rPr>
        <w:t>, którego zadaniem było stłumienie buntu niewolników. Pomyślne przeprowadzenie przez niego kampanii wojennej zwiększało sprawne zdławienie zamieszek w Kampanii</w:t>
      </w:r>
      <w:r>
        <w:rPr>
          <w:rFonts w:ascii="Times New Roman" w:hAnsi="Times New Roman"/>
          <w:sz w:val="24"/>
          <w:szCs w:val="24"/>
        </w:rPr>
        <w:t>. Podczas pełnienia urzędu pretora Lukullus zwalczał w Italii niewielkie powstanie niewolników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8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91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Rywalizacja wyborcza</w:t>
      </w:r>
    </w:p>
    <w:p w:rsidR="0039189C" w:rsidRPr="00200735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Wydarzenia te ukazały, że wpływy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senacie wciąż były potężne – a także, iż to ta grupa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wzięła na siebie ciężar rywalizacji z Mariuszem i jego stronnikami. Problemem dla domu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pozostawał fakt, że o wyniku wyborów miała zdecydować klasa średnia zamiast kilkudziesięciu rodów</w:t>
      </w:r>
      <w:r>
        <w:rPr>
          <w:rFonts w:ascii="Times New Roman" w:hAnsi="Times New Roman"/>
          <w:sz w:val="24"/>
          <w:szCs w:val="24"/>
        </w:rPr>
        <w:t>. Tymczasem w Rzymie panowało podobno powszechne przekonanie, że następny rok przyniesie zbrojne starcie z hordami „barbarzyńców”, więc nikt nie wyobrażał sobie wskazania innego głównodowodzącego niż Mariusz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9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</w:pPr>
      <w:r w:rsidRPr="00200735">
        <w:rPr>
          <w:rFonts w:ascii="Times New Roman" w:hAnsi="Times New Roman"/>
          <w:color w:val="auto"/>
          <w:sz w:val="24"/>
          <w:szCs w:val="24"/>
        </w:rPr>
        <w:t xml:space="preserve">Tuż przed wyborami dobiegły do stolicy dobiegły informacje z obozu wojskowego w Galii Przedalpejskiej, gdzie żołnierze spędzali zimę. Na jaw wyszła homoseksualna afera, w wyniku której siostrzeniec Mariusza został zamordowany przez niższego rangą dowódcę, </w:t>
      </w:r>
      <w:r>
        <w:rPr>
          <w:rFonts w:ascii="Times New Roman" w:hAnsi="Times New Roman"/>
          <w:sz w:val="24"/>
          <w:szCs w:val="24"/>
        </w:rPr>
        <w:t xml:space="preserve">broniącego się przed napastowaniem. Głównodowodzący nie tylko uniewinnił zabójcę, ale jeszcze go uhonorował, czym ściągnął na siebie niechęć własnej siostry, a jednocześnie zaskarbił szacunek wyborców, którzy po raz kolejny przyznali mu konsulat </w:t>
      </w:r>
      <w:r>
        <w:rPr>
          <w:rFonts w:ascii="Times New Roman" w:hAnsi="Times New Roman"/>
          <w:i/>
          <w:iCs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absentia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0"/>
      </w:r>
      <w:r>
        <w:rPr>
          <w:rFonts w:ascii="Times New Roman" w:hAnsi="Times New Roman"/>
          <w:sz w:val="24"/>
          <w:szCs w:val="24"/>
        </w:rPr>
        <w:t>. Ze stwierdzenia Plutarcha (</w:t>
      </w:r>
      <w:proofErr w:type="spellStart"/>
      <w:r>
        <w:rPr>
          <w:rFonts w:ascii="Times New Roman" w:hAnsi="Times New Roman"/>
          <w:sz w:val="24"/>
          <w:szCs w:val="24"/>
        </w:rPr>
        <w:t>μετιόντων</w:t>
      </w:r>
      <w:proofErr w:type="spellEnd"/>
      <w:r>
        <w:rPr>
          <w:rFonts w:ascii="Times New Roman" w:hAnsi="Times New Roman"/>
          <w:sz w:val="24"/>
          <w:szCs w:val="24"/>
        </w:rPr>
        <w:t xml:space="preserve"> δ</w:t>
      </w:r>
      <w:r>
        <w:rPr>
          <w:rFonts w:ascii="Times New Roman" w:hAnsi="Times New Roman"/>
          <w:sz w:val="24"/>
          <w:szCs w:val="24"/>
          <w:rtl/>
          <w:lang w:val="ar-SA"/>
        </w:rPr>
        <w:t xml:space="preserve">ὲ </w:t>
      </w:r>
      <w:r>
        <w:rPr>
          <w:rFonts w:ascii="Times New Roman" w:hAnsi="Times New Roman"/>
          <w:sz w:val="24"/>
          <w:szCs w:val="24"/>
        </w:rPr>
        <w:t>π</w:t>
      </w:r>
      <w:proofErr w:type="spellStart"/>
      <w:r>
        <w:rPr>
          <w:rFonts w:ascii="Times New Roman" w:hAnsi="Times New Roman"/>
          <w:sz w:val="24"/>
          <w:szCs w:val="24"/>
        </w:rPr>
        <w:t>ολλ</w:t>
      </w:r>
      <w:proofErr w:type="spellEnd"/>
      <w:r>
        <w:rPr>
          <w:rFonts w:ascii="Times New Roman" w:hAnsi="Times New Roman"/>
          <w:sz w:val="24"/>
          <w:szCs w:val="24"/>
          <w:rtl/>
          <w:lang w:val="ar-SA"/>
        </w:rPr>
        <w:t>ῶ</w:t>
      </w:r>
      <w:r>
        <w:rPr>
          <w:rFonts w:ascii="Times New Roman" w:hAnsi="Times New Roman"/>
          <w:sz w:val="24"/>
          <w:szCs w:val="24"/>
        </w:rPr>
        <w:t>ν κα</w:t>
      </w:r>
      <w:r>
        <w:rPr>
          <w:rFonts w:ascii="Times New Roman" w:hAnsi="Times New Roman"/>
          <w:sz w:val="24"/>
          <w:szCs w:val="24"/>
          <w:rtl/>
          <w:lang w:val="ar-SA"/>
        </w:rPr>
        <w:t>ὶ ἀ</w:t>
      </w:r>
      <w:r>
        <w:rPr>
          <w:rFonts w:ascii="Times New Roman" w:hAnsi="Times New Roman"/>
          <w:sz w:val="24"/>
          <w:szCs w:val="24"/>
        </w:rPr>
        <w:t>γαθ</w:t>
      </w:r>
      <w:r>
        <w:rPr>
          <w:rFonts w:ascii="Times New Roman" w:hAnsi="Times New Roman"/>
          <w:sz w:val="24"/>
          <w:szCs w:val="24"/>
          <w:rtl/>
          <w:lang w:val="ar-SA"/>
        </w:rPr>
        <w:t>ῶ</w:t>
      </w:r>
      <w:r>
        <w:rPr>
          <w:rFonts w:ascii="Times New Roman" w:hAnsi="Times New Roman"/>
          <w:sz w:val="24"/>
          <w:szCs w:val="24"/>
        </w:rPr>
        <w:t>ν τ</w:t>
      </w:r>
      <w:r>
        <w:rPr>
          <w:rFonts w:ascii="Times New Roman" w:hAnsi="Times New Roman"/>
          <w:sz w:val="24"/>
          <w:szCs w:val="24"/>
          <w:rtl/>
          <w:lang w:val="ar-SA"/>
        </w:rPr>
        <w:t>ὴ</w:t>
      </w:r>
      <w:r>
        <w:rPr>
          <w:rFonts w:ascii="Times New Roman" w:hAnsi="Times New Roman"/>
          <w:sz w:val="24"/>
          <w:szCs w:val="24"/>
        </w:rPr>
        <w:t xml:space="preserve">ν </w:t>
      </w:r>
      <w:r>
        <w:rPr>
          <w:rFonts w:ascii="Times New Roman" w:hAnsi="Times New Roman"/>
          <w:sz w:val="24"/>
          <w:szCs w:val="24"/>
          <w:rtl/>
          <w:lang w:val="ar-SA"/>
        </w:rPr>
        <w:t>ὑ</w:t>
      </w:r>
      <w:r>
        <w:rPr>
          <w:rFonts w:ascii="Times New Roman" w:hAnsi="Times New Roman"/>
          <w:sz w:val="24"/>
          <w:szCs w:val="24"/>
        </w:rPr>
        <w:t>πα</w:t>
      </w:r>
      <w:proofErr w:type="spellStart"/>
      <w:r>
        <w:rPr>
          <w:rFonts w:ascii="Times New Roman" w:hAnsi="Times New Roman"/>
          <w:sz w:val="24"/>
          <w:szCs w:val="24"/>
        </w:rPr>
        <w:t>τεί</w:t>
      </w:r>
      <w:proofErr w:type="spellEnd"/>
      <w:r>
        <w:rPr>
          <w:rFonts w:ascii="Times New Roman" w:hAnsi="Times New Roman"/>
          <w:sz w:val="24"/>
          <w:szCs w:val="24"/>
        </w:rPr>
        <w:t>αν)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1"/>
      </w:r>
      <w:r>
        <w:rPr>
          <w:rFonts w:ascii="Times New Roman" w:hAnsi="Times New Roman"/>
          <w:sz w:val="24"/>
          <w:szCs w:val="24"/>
        </w:rPr>
        <w:t xml:space="preserve"> wynika, że rywalizacja o urząd konsula na rok 103 była znacznie mniej zacięta, niż rok później. To sugeruje, że dominująca pozycja Mariusza by</w:t>
      </w:r>
      <w:bookmarkStart w:id="9" w:name="_Hlk480671351"/>
      <w:r>
        <w:rPr>
          <w:rFonts w:ascii="Times New Roman" w:hAnsi="Times New Roman"/>
          <w:sz w:val="24"/>
          <w:szCs w:val="24"/>
        </w:rPr>
        <w:t>ła w tym czasie nie do podważenia. Pozosta</w:t>
      </w:r>
      <w:bookmarkEnd w:id="9"/>
      <w:r>
        <w:rPr>
          <w:rFonts w:ascii="Times New Roman" w:hAnsi="Times New Roman"/>
          <w:sz w:val="24"/>
          <w:szCs w:val="24"/>
        </w:rPr>
        <w:t xml:space="preserve">wało też jasnym, że drugi konsul będzie musiał się liczyć z udziałem w ciężkiej wojnie bez nadziei na łupy i pozostanie w cieniu wodza z </w:t>
      </w:r>
      <w:proofErr w:type="spellStart"/>
      <w:r>
        <w:rPr>
          <w:rFonts w:ascii="Times New Roman" w:hAnsi="Times New Roman"/>
          <w:sz w:val="24"/>
          <w:szCs w:val="24"/>
        </w:rPr>
        <w:t>Arpinum</w:t>
      </w:r>
      <w:proofErr w:type="spellEnd"/>
      <w:r>
        <w:rPr>
          <w:rFonts w:ascii="Times New Roman" w:hAnsi="Times New Roman"/>
          <w:sz w:val="24"/>
          <w:szCs w:val="24"/>
        </w:rPr>
        <w:t xml:space="preserve">. Być może część kandydatów z tego powodu zrezygnowała ze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starań o najwyższy urząd w państwie. Ta informacja może być kluczem do zrozumienia, dlaczego komicja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centurialne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drugim konsulem wybrały L. Aureliusza </w:t>
      </w:r>
      <w:r w:rsidRPr="00200735">
        <w:rPr>
          <w:rFonts w:ascii="Times New Roman" w:hAnsi="Times New Roman"/>
          <w:color w:val="auto"/>
          <w:sz w:val="24"/>
          <w:szCs w:val="24"/>
        </w:rPr>
        <w:lastRenderedPageBreak/>
        <w:t>Orestesa</w:t>
      </w:r>
      <w:r w:rsidRPr="0020073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112"/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Źródła milczą na jego temat i można jedynie domniemywać, że był synem konsula ze 126 roku. Gdyby był kandydatem stojącym w opozycji 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do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Mariusza, to należałoby się spodziewać, że ta próbowałaby go – tak jak rok później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Lutacjusza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Katulusa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– ustanowić konsulem równym rangą Mariuszowi i wysłać na wojnę. </w:t>
      </w:r>
      <w:r>
        <w:rPr>
          <w:rFonts w:ascii="Times New Roman" w:hAnsi="Times New Roman"/>
          <w:sz w:val="24"/>
          <w:szCs w:val="24"/>
        </w:rPr>
        <w:t>Być może brak informacji źródłowych wynika stąd, że Aureliusz Orestes nie cieszył się dobrym stanem zdrowia i zmarł w drugiej połowie roku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3"/>
      </w:r>
      <w:r>
        <w:rPr>
          <w:rFonts w:ascii="Times New Roman" w:hAnsi="Times New Roman"/>
          <w:sz w:val="24"/>
          <w:szCs w:val="24"/>
        </w:rPr>
        <w:t xml:space="preserve">. Jak się jednak wydaje, Orestes i jego ród nie byli u kresu II wieku pozbawieni znaczenia, choć trudno dociec z jaką grupą należałoby ich łączyć.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Wiemy jednak, że pod dowództwem ojca L. Aureliusza Orestesa, konsula roku 126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114"/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służył na Sardynii późniejszy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princeps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senatu M. Emiliusz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Skaurus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</w:rPr>
        <w:footnoteReference w:id="115"/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sz w:val="24"/>
          <w:szCs w:val="24"/>
        </w:rPr>
        <w:t xml:space="preserve"> Należy też pamiętać, że konsul z roku 103 był trzecim z kolei przedstawicielem tej gałęzi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gens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Aurelia,</w:t>
      </w:r>
      <w:r>
        <w:rPr>
          <w:rFonts w:ascii="Times New Roman" w:hAnsi="Times New Roman"/>
          <w:sz w:val="24"/>
          <w:szCs w:val="24"/>
        </w:rPr>
        <w:t xml:space="preserve"> który doszedł do najwyższego stanowiska w państwie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6"/>
      </w:r>
      <w:r>
        <w:rPr>
          <w:rFonts w:ascii="Times New Roman" w:hAnsi="Times New Roman"/>
          <w:sz w:val="24"/>
          <w:szCs w:val="24"/>
        </w:rPr>
        <w:t xml:space="preserve">, co dowodzi niemałego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politycznego</w:t>
      </w:r>
      <w:r>
        <w:rPr>
          <w:rFonts w:ascii="Times New Roman" w:hAnsi="Times New Roman"/>
          <w:sz w:val="24"/>
          <w:szCs w:val="24"/>
        </w:rPr>
        <w:t xml:space="preserve"> znaczenia i znacznej ilości klientów. Brak wzmianek źródłowych o Orestesie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7"/>
      </w:r>
      <w:r>
        <w:rPr>
          <w:rFonts w:ascii="Times New Roman" w:hAnsi="Times New Roman"/>
          <w:sz w:val="24"/>
          <w:szCs w:val="24"/>
        </w:rPr>
        <w:t xml:space="preserve"> jest zapewne po części efektem ogólnej szczupłości źródeł oraz wygaśnięcia rodu – niewykluczone, że z powodu przedwczesnej śmierci Orestesa w trakcie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sprawowania urzędu konsula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8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efektach wyborów pretorów nie można powiedzieć nic pewnego. Mógł być w tym roku wybrany L. Waleriusz </w:t>
      </w:r>
      <w:proofErr w:type="spellStart"/>
      <w:r>
        <w:rPr>
          <w:rFonts w:ascii="Times New Roman" w:hAnsi="Times New Roman"/>
          <w:sz w:val="24"/>
          <w:szCs w:val="24"/>
        </w:rPr>
        <w:t>Flakkus</w:t>
      </w:r>
      <w:proofErr w:type="spellEnd"/>
      <w:r>
        <w:rPr>
          <w:rFonts w:ascii="Times New Roman" w:hAnsi="Times New Roman"/>
          <w:sz w:val="24"/>
          <w:szCs w:val="24"/>
        </w:rPr>
        <w:t>, jeżeli założymy, że pełnił preturę na trzy lata przed swoim konsulatem w roku 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9"/>
      </w:r>
      <w:r>
        <w:rPr>
          <w:rFonts w:ascii="Times New Roman" w:hAnsi="Times New Roman"/>
          <w:sz w:val="24"/>
          <w:szCs w:val="24"/>
        </w:rPr>
        <w:t xml:space="preserve">. Jedno wątpliwe źródło podaje także, że jakiś </w:t>
      </w:r>
      <w:proofErr w:type="spellStart"/>
      <w:r>
        <w:rPr>
          <w:rFonts w:ascii="Times New Roman" w:hAnsi="Times New Roman"/>
          <w:sz w:val="24"/>
          <w:szCs w:val="24"/>
        </w:rPr>
        <w:t>Glaucja</w:t>
      </w:r>
      <w:proofErr w:type="spellEnd"/>
      <w:r>
        <w:rPr>
          <w:rFonts w:ascii="Times New Roman" w:hAnsi="Times New Roman"/>
          <w:sz w:val="24"/>
          <w:szCs w:val="24"/>
        </w:rPr>
        <w:t xml:space="preserve"> był </w:t>
      </w:r>
      <w:r>
        <w:rPr>
          <w:rFonts w:ascii="Times New Roman" w:hAnsi="Times New Roman"/>
          <w:sz w:val="24"/>
          <w:szCs w:val="24"/>
        </w:rPr>
        <w:lastRenderedPageBreak/>
        <w:t xml:space="preserve">pretorem, przy czym z pewnością należy wykluczyć G. </w:t>
      </w:r>
      <w:proofErr w:type="spellStart"/>
      <w:r>
        <w:rPr>
          <w:rFonts w:ascii="Times New Roman" w:hAnsi="Times New Roman"/>
          <w:sz w:val="24"/>
          <w:szCs w:val="24"/>
        </w:rPr>
        <w:t>Serwiliusza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Glaucję</w:t>
      </w:r>
      <w:proofErr w:type="spellEnd"/>
      <w:r>
        <w:rPr>
          <w:rFonts w:ascii="Times New Roman" w:hAnsi="Times New Roman"/>
          <w:sz w:val="24"/>
          <w:szCs w:val="24"/>
        </w:rPr>
        <w:t>, pretora roku 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0"/>
      </w:r>
      <w:r w:rsidR="00E37DD6">
        <w:rPr>
          <w:rFonts w:ascii="Times New Roman" w:hAnsi="Times New Roman"/>
          <w:sz w:val="24"/>
          <w:szCs w:val="24"/>
        </w:rPr>
        <w:t>. Istnieje też</w:t>
      </w:r>
      <w:r>
        <w:rPr>
          <w:rFonts w:ascii="Times New Roman" w:hAnsi="Times New Roman"/>
          <w:sz w:val="24"/>
          <w:szCs w:val="24"/>
        </w:rPr>
        <w:t xml:space="preserve"> przypuszczenie, że kolejnym mógł być skądinąd nam nieznany </w:t>
      </w:r>
      <w:proofErr w:type="spellStart"/>
      <w:r>
        <w:rPr>
          <w:rFonts w:ascii="Times New Roman" w:hAnsi="Times New Roman"/>
          <w:sz w:val="24"/>
          <w:szCs w:val="24"/>
        </w:rPr>
        <w:t>Wibiusz</w:t>
      </w:r>
      <w:proofErr w:type="spellEnd"/>
      <w:r>
        <w:rPr>
          <w:rFonts w:ascii="Times New Roman" w:hAnsi="Times New Roman"/>
          <w:sz w:val="24"/>
          <w:szCs w:val="24"/>
        </w:rPr>
        <w:t>, który później w Mesenie pełnił funkcję propretora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1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Natomiast elekcja trybunów plebejskich nie przyniosła zdecydowanego zwycięstwa żadnej ze stron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sz w:val="24"/>
          <w:szCs w:val="24"/>
        </w:rPr>
        <w:t xml:space="preserve"> Jak pokazały wydarzenia następnego roku – Mariusz mógł polegać na L. </w:t>
      </w:r>
      <w:proofErr w:type="spellStart"/>
      <w:r>
        <w:rPr>
          <w:rFonts w:ascii="Times New Roman" w:hAnsi="Times New Roman"/>
          <w:sz w:val="24"/>
          <w:szCs w:val="24"/>
        </w:rPr>
        <w:t>Apulejuszu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Saturninusie</w:t>
      </w:r>
      <w:proofErr w:type="spellEnd"/>
      <w:r>
        <w:rPr>
          <w:rFonts w:ascii="Times New Roman" w:hAnsi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/>
          <w:sz w:val="24"/>
          <w:szCs w:val="24"/>
        </w:rPr>
        <w:t>Gajuszu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Norbanusie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2"/>
      </w:r>
      <w:r>
        <w:rPr>
          <w:rFonts w:ascii="Times New Roman" w:hAnsi="Times New Roman"/>
          <w:sz w:val="24"/>
          <w:szCs w:val="24"/>
        </w:rPr>
        <w:t xml:space="preserve">. Opozycja wobec konsula przeforsowała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na stanowiska trybunów</w:t>
      </w:r>
      <w:r>
        <w:rPr>
          <w:rFonts w:ascii="Times New Roman" w:hAnsi="Times New Roman"/>
          <w:sz w:val="24"/>
          <w:szCs w:val="24"/>
        </w:rPr>
        <w:t xml:space="preserve"> związanych z różnymi domami arystokratycznymi: Tytusa </w:t>
      </w:r>
      <w:proofErr w:type="spellStart"/>
      <w:r>
        <w:rPr>
          <w:rFonts w:ascii="Times New Roman" w:hAnsi="Times New Roman"/>
          <w:sz w:val="24"/>
          <w:szCs w:val="24"/>
        </w:rPr>
        <w:t>Didiusza</w:t>
      </w:r>
      <w:proofErr w:type="spellEnd"/>
      <w:r>
        <w:rPr>
          <w:rFonts w:ascii="Times New Roman" w:hAnsi="Times New Roman"/>
          <w:sz w:val="24"/>
          <w:szCs w:val="24"/>
        </w:rPr>
        <w:t xml:space="preserve">, L. Aureliusza </w:t>
      </w:r>
      <w:proofErr w:type="spellStart"/>
      <w:r>
        <w:rPr>
          <w:rFonts w:ascii="Times New Roman" w:hAnsi="Times New Roman"/>
          <w:sz w:val="24"/>
          <w:szCs w:val="24"/>
        </w:rPr>
        <w:t>Kottę</w:t>
      </w:r>
      <w:proofErr w:type="spellEnd"/>
      <w:r>
        <w:rPr>
          <w:rFonts w:ascii="Times New Roman" w:hAnsi="Times New Roman"/>
          <w:sz w:val="24"/>
          <w:szCs w:val="24"/>
        </w:rPr>
        <w:t>, L. (</w:t>
      </w:r>
      <w:proofErr w:type="spellStart"/>
      <w:r>
        <w:rPr>
          <w:rFonts w:ascii="Times New Roman" w:hAnsi="Times New Roman"/>
          <w:sz w:val="24"/>
          <w:szCs w:val="24"/>
        </w:rPr>
        <w:t>Antistiusza</w:t>
      </w:r>
      <w:proofErr w:type="spellEnd"/>
      <w:r>
        <w:rPr>
          <w:rFonts w:ascii="Times New Roman" w:hAnsi="Times New Roman"/>
          <w:sz w:val="24"/>
          <w:szCs w:val="24"/>
        </w:rPr>
        <w:t xml:space="preserve">?) </w:t>
      </w:r>
      <w:proofErr w:type="spellStart"/>
      <w:r>
        <w:rPr>
          <w:rFonts w:ascii="Times New Roman" w:hAnsi="Times New Roman"/>
          <w:sz w:val="24"/>
          <w:szCs w:val="24"/>
        </w:rPr>
        <w:t>Reginusa</w:t>
      </w:r>
      <w:proofErr w:type="spellEnd"/>
      <w:r>
        <w:rPr>
          <w:rFonts w:ascii="Times New Roman" w:hAnsi="Times New Roman"/>
          <w:sz w:val="24"/>
          <w:szCs w:val="24"/>
        </w:rPr>
        <w:t xml:space="preserve"> i M. (?) </w:t>
      </w:r>
      <w:proofErr w:type="spellStart"/>
      <w:r>
        <w:rPr>
          <w:rFonts w:ascii="Times New Roman" w:hAnsi="Times New Roman"/>
          <w:sz w:val="24"/>
          <w:szCs w:val="24"/>
        </w:rPr>
        <w:t>Bebiusza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Tamfilusa</w:t>
      </w:r>
      <w:proofErr w:type="spellEnd"/>
      <w:r>
        <w:rPr>
          <w:rFonts w:ascii="Times New Roman" w:hAnsi="Times New Roman"/>
          <w:sz w:val="24"/>
          <w:szCs w:val="24"/>
        </w:rPr>
        <w:t>?)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3"/>
      </w:r>
      <w:r>
        <w:rPr>
          <w:rFonts w:ascii="Times New Roman" w:hAnsi="Times New Roman"/>
          <w:sz w:val="24"/>
          <w:szCs w:val="24"/>
        </w:rPr>
        <w:t>. Każdego roku wybierano także dwudziestu czterech trybunów wojskowych, którymi zostawali najczęściej młodzi ludzie z arystokratycznych domów. Zapewne najstarszym z wybranych w roku 104 i jedynym nam znanym był L. Korneliusz Sulla, który przybył do Rzymu, by przypilnować interesów Mariusza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4"/>
      </w:r>
      <w:r>
        <w:rPr>
          <w:rFonts w:ascii="Times New Roman" w:hAnsi="Times New Roman"/>
          <w:sz w:val="24"/>
          <w:szCs w:val="24"/>
        </w:rPr>
        <w:t xml:space="preserve">. </w:t>
      </w:r>
      <w:bookmarkStart w:id="10" w:name="_GoBack"/>
      <w:bookmarkEnd w:id="10"/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Jeżeli spojrzeć na wybory pod kątem rywalizacji Mariusza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to znacznie więcej powodów do zadowolenia miał wódz z </w:t>
      </w:r>
      <w:proofErr w:type="spellStart"/>
      <w:r>
        <w:rPr>
          <w:rFonts w:ascii="Times New Roman" w:hAnsi="Times New Roman"/>
          <w:sz w:val="24"/>
          <w:szCs w:val="24"/>
        </w:rPr>
        <w:t>Arpinum</w:t>
      </w:r>
      <w:proofErr w:type="spellEnd"/>
      <w:r>
        <w:rPr>
          <w:rFonts w:ascii="Times New Roman" w:hAnsi="Times New Roman"/>
          <w:sz w:val="24"/>
          <w:szCs w:val="24"/>
        </w:rPr>
        <w:t xml:space="preserve">, który po raz trzeci zdobył konsulat. Wspierani przez niego ludzie przeszli też w rywalizacji o stanowiska trybunów plebejskich oraz wojskowych. W tym </w:t>
      </w:r>
      <w:r w:rsidRPr="008835EB">
        <w:rPr>
          <w:rFonts w:ascii="Times New Roman" w:hAnsi="Times New Roman"/>
          <w:color w:val="auto"/>
          <w:sz w:val="24"/>
          <w:szCs w:val="24"/>
        </w:rPr>
        <w:t xml:space="preserve">kontekście sukcesy domu </w:t>
      </w:r>
      <w:proofErr w:type="spellStart"/>
      <w:r w:rsidRPr="008835EB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8835E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835EB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8835EB">
        <w:rPr>
          <w:rFonts w:ascii="Times New Roman" w:hAnsi="Times New Roman"/>
          <w:color w:val="auto"/>
          <w:sz w:val="24"/>
          <w:szCs w:val="24"/>
        </w:rPr>
        <w:t xml:space="preserve"> były bardzo </w:t>
      </w:r>
      <w:r w:rsidRPr="008835EB">
        <w:rPr>
          <w:rFonts w:ascii="Times New Roman" w:hAnsi="Times New Roman"/>
          <w:color w:val="auto"/>
          <w:sz w:val="24"/>
          <w:szCs w:val="24"/>
        </w:rPr>
        <w:lastRenderedPageBreak/>
        <w:t xml:space="preserve">skromne. Nawet jeżeli uznać Aureliusza Orestesa za senatora związanego z ich obozem, to nie mógł on albo nie chciał przedsięwziąć żadnych konfrontacyjnych działań wobec Mariusza. Jak pokazały wydarzenia w roku 103, sytuację uratowało to, że dwójka wybitnych młodych ludzi – Tytus </w:t>
      </w:r>
      <w:proofErr w:type="spellStart"/>
      <w:r w:rsidRPr="008835EB">
        <w:rPr>
          <w:rFonts w:ascii="Times New Roman" w:hAnsi="Times New Roman"/>
          <w:color w:val="auto"/>
          <w:sz w:val="24"/>
          <w:szCs w:val="24"/>
        </w:rPr>
        <w:t>Didiusz</w:t>
      </w:r>
      <w:proofErr w:type="spellEnd"/>
      <w:r w:rsidRPr="008835EB">
        <w:rPr>
          <w:rFonts w:ascii="Times New Roman" w:hAnsi="Times New Roman"/>
          <w:color w:val="auto"/>
          <w:sz w:val="24"/>
          <w:szCs w:val="24"/>
        </w:rPr>
        <w:t xml:space="preserve"> i L. Aureliusz Kotta – znalazła się </w:t>
      </w:r>
      <w:r>
        <w:rPr>
          <w:rFonts w:ascii="Times New Roman" w:hAnsi="Times New Roman"/>
          <w:sz w:val="24"/>
          <w:szCs w:val="24"/>
        </w:rPr>
        <w:t xml:space="preserve">wśród wybranych trybunów plebejskich.  </w:t>
      </w:r>
    </w:p>
    <w:p w:rsidR="0039189C" w:rsidRDefault="00391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39189C" w:rsidRDefault="003032C1">
      <w:pPr>
        <w:spacing w:after="0" w:line="360" w:lineRule="auto"/>
        <w:ind w:firstLine="708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Konkluzje</w:t>
      </w:r>
    </w:p>
    <w:p w:rsidR="0039189C" w:rsidRPr="00200735" w:rsidRDefault="003032C1">
      <w:pPr>
        <w:spacing w:after="0" w:line="360" w:lineRule="auto"/>
        <w:ind w:firstLine="708"/>
        <w:jc w:val="both"/>
        <w:rPr>
          <w:color w:val="auto"/>
        </w:rPr>
      </w:pP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W roku 104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celem </w:t>
      </w:r>
      <w:r w:rsidRPr="00200735">
        <w:rPr>
          <w:rFonts w:ascii="Times New Roman" w:hAnsi="Times New Roman"/>
          <w:color w:val="auto"/>
          <w:sz w:val="24"/>
          <w:szCs w:val="24"/>
          <w:u w:color="00B050"/>
        </w:rPr>
        <w:t>domu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Cecyliuszy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Metellusów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było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utrzymanie politycznych wpływów w senacie i odbudowa nadszarpniętej pozycji wśród plebsu.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Nie złamał ich </w:t>
      </w:r>
      <w:r w:rsidRPr="00200735">
        <w:rPr>
          <w:rFonts w:ascii="Times New Roman" w:hAnsi="Times New Roman"/>
          <w:color w:val="auto"/>
          <w:sz w:val="24"/>
          <w:szCs w:val="24"/>
          <w:u w:color="00B050"/>
        </w:rPr>
        <w:t xml:space="preserve">drugi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konsulat Mariusza, który wyniósł jego i ludzi z nim związanych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>na najwyższe stanowiska w państwie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. Choć nie bez strat, </w:t>
      </w:r>
      <w:proofErr w:type="spellStart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>factio</w:t>
      </w:r>
      <w:proofErr w:type="spellEnd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>Metelli</w:t>
      </w:r>
      <w:proofErr w:type="spellEnd"/>
      <w:r w:rsidRPr="00200735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200735">
        <w:rPr>
          <w:rFonts w:ascii="Times New Roman" w:hAnsi="Times New Roman"/>
          <w:color w:val="auto"/>
          <w:sz w:val="24"/>
          <w:szCs w:val="24"/>
        </w:rPr>
        <w:t>przetrwała pomimo potężnego ataku wszystkich wrogów, którzy uaktywnili się przy tej okazji oraz</w:t>
      </w:r>
      <w:r w:rsidRPr="00200735">
        <w:rPr>
          <w:rFonts w:ascii="Times New Roman" w:hAnsi="Times New Roman"/>
          <w:color w:val="auto"/>
          <w:sz w:val="24"/>
          <w:szCs w:val="24"/>
          <w:u w:color="00B050"/>
        </w:rPr>
        <w:t xml:space="preserve">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śmierci najwybitniejszego żyjącego przedstawiciela rodu w postaci najwyższego pontyfika L. Cecyliusza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</w:rPr>
        <w:t>Metellusa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</w:rPr>
        <w:t xml:space="preserve"> Dalmatyńskiego. Daje się jednak w 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związku z tym zauważyć, że obiektem ataku w roku 104 byli nie tyle senatorowie potężnego domu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Cecyliuszy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Metellusów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, co wszyscy ich najbliżsi współpracownicy, przy czym najmocniej i najczęściej walczono z M. Emiliuszem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Skaurusem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. Z tego powodu potrzebował on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jakiegoś urzędu, nawet tak niskiej rangi jak kwestura, który jednak zapewniał mu </w:t>
      </w:r>
      <w:r w:rsidRPr="00200735">
        <w:rPr>
          <w:rFonts w:ascii="Times New Roman" w:hAnsi="Times New Roman"/>
          <w:color w:val="auto"/>
          <w:sz w:val="24"/>
          <w:szCs w:val="24"/>
          <w:u w:color="FF0000"/>
        </w:rPr>
        <w:t xml:space="preserve">bezpieczeństwo przed oskarżeniami wnoszonymi do trybunałów. </w:t>
      </w:r>
      <w:r w:rsidRPr="0020073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9189C" w:rsidRDefault="003032C1">
      <w:pPr>
        <w:spacing w:after="0" w:line="360" w:lineRule="auto"/>
        <w:ind w:firstLine="708"/>
        <w:jc w:val="both"/>
      </w:pPr>
      <w:r w:rsidRPr="00200735">
        <w:rPr>
          <w:rFonts w:ascii="Times New Roman" w:hAnsi="Times New Roman"/>
          <w:color w:val="auto"/>
          <w:sz w:val="24"/>
          <w:szCs w:val="24"/>
        </w:rPr>
        <w:t xml:space="preserve">Ale </w:t>
      </w:r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potężnemu domowi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Cecyliuszy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 </w:t>
      </w:r>
      <w:proofErr w:type="spellStart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>Metellusów</w:t>
      </w:r>
      <w:proofErr w:type="spellEnd"/>
      <w:r w:rsidRPr="00200735">
        <w:rPr>
          <w:rFonts w:ascii="Times New Roman" w:hAnsi="Times New Roman"/>
          <w:color w:val="auto"/>
          <w:sz w:val="24"/>
          <w:szCs w:val="24"/>
          <w:u w:color="000000"/>
        </w:rPr>
        <w:t xml:space="preserve"> udało się coś więcej niż tylko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przetrwać. Kluczem do osłabienia pozycji Mariusza w późniejszych</w:t>
      </w:r>
      <w:r>
        <w:rPr>
          <w:rFonts w:ascii="Times New Roman" w:hAnsi="Times New Roman"/>
          <w:sz w:val="24"/>
          <w:szCs w:val="24"/>
        </w:rPr>
        <w:t xml:space="preserve"> latach, stało się przejęcie kontroli nad strategiczną kwestią zaopatrzenia Rzymu w zboże i nad prowincjami, z których to zboże było dostarczane. Choć nie mamy pewności w ocenie powiązań wszystkich aktorów ówczesnej sceny politycznej, to można sądzić, że na przełomie 104/103 roku trzech ludzi Mariusza zostało odsuniętych od pełnienia obowiązków, a zastąpiło ich przynajmniej dwóch senatorów powiązanych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factio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Metelli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9189C" w:rsidRDefault="003032C1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Wydarzenia z roku 104 stanowiły też podstawę do zawiązania szerszego porozumienia przeciwko Mariuszowi, którego efekty daje się zauważyć w kolejnych latach.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Wówczas </w:t>
      </w:r>
      <w:r>
        <w:rPr>
          <w:rFonts w:ascii="Times New Roman" w:hAnsi="Times New Roman"/>
          <w:sz w:val="24"/>
          <w:szCs w:val="24"/>
        </w:rPr>
        <w:t xml:space="preserve">jednak kluczowe okazało się przejęcie inicjatywy przez Kw. Cecyliusza </w:t>
      </w:r>
      <w:proofErr w:type="spellStart"/>
      <w:r>
        <w:rPr>
          <w:rFonts w:ascii="Times New Roman" w:hAnsi="Times New Roman"/>
          <w:sz w:val="24"/>
          <w:szCs w:val="24"/>
        </w:rPr>
        <w:t>Metellusa</w:t>
      </w:r>
      <w:proofErr w:type="spellEnd"/>
      <w:r>
        <w:rPr>
          <w:rFonts w:ascii="Times New Roman" w:hAnsi="Times New Roman"/>
          <w:sz w:val="24"/>
          <w:szCs w:val="24"/>
        </w:rPr>
        <w:t xml:space="preserve"> Numidyjskiego, który dopiero po śmierci starszego brata wyszedł z politycznego cienia. To zaś wykracza poza ramy czasowe przyjęte w tym artykule. </w:t>
      </w:r>
    </w:p>
    <w:p w:rsidR="0039189C" w:rsidRDefault="003918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Default="003918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89C" w:rsidRDefault="0039189C">
      <w:pPr>
        <w:ind w:firstLine="708"/>
        <w:jc w:val="both"/>
      </w:pPr>
    </w:p>
    <w:sectPr w:rsidR="0039189C">
      <w:footerReference w:type="default" r:id="rId9"/>
      <w:pgSz w:w="11900" w:h="16840"/>
      <w:pgMar w:top="1418" w:right="1418" w:bottom="1900" w:left="1418" w:header="0" w:footer="18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B0" w:rsidRDefault="009B17B0">
      <w:pPr>
        <w:spacing w:after="0" w:line="240" w:lineRule="auto"/>
      </w:pPr>
      <w:r>
        <w:separator/>
      </w:r>
    </w:p>
  </w:endnote>
  <w:endnote w:type="continuationSeparator" w:id="0">
    <w:p w:rsidR="009B17B0" w:rsidRDefault="009B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732156"/>
      <w:docPartObj>
        <w:docPartGallery w:val="Page Numbers (Bottom of Page)"/>
        <w:docPartUnique/>
      </w:docPartObj>
    </w:sdtPr>
    <w:sdtEndPr/>
    <w:sdtContent>
      <w:p w:rsidR="008835EB" w:rsidRDefault="00883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D6">
          <w:rPr>
            <w:noProof/>
          </w:rPr>
          <w:t>24</w:t>
        </w:r>
        <w:r>
          <w:fldChar w:fldCharType="end"/>
        </w:r>
      </w:p>
    </w:sdtContent>
  </w:sdt>
  <w:p w:rsidR="0039189C" w:rsidRDefault="0039189C">
    <w:pPr>
      <w:pStyle w:val="Stopka"/>
      <w:tabs>
        <w:tab w:val="clear" w:pos="9072"/>
        <w:tab w:val="right" w:pos="904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B0" w:rsidRDefault="009B17B0">
      <w:r>
        <w:separator/>
      </w:r>
    </w:p>
  </w:footnote>
  <w:footnote w:type="continuationSeparator" w:id="0">
    <w:p w:rsidR="009B17B0" w:rsidRDefault="009B17B0">
      <w:r>
        <w:continuationSeparator/>
      </w:r>
    </w:p>
  </w:footnote>
  <w:footnote w:type="continuationNotice" w:id="1">
    <w:p w:rsidR="009B17B0" w:rsidRDefault="009B17B0"/>
  </w:footnote>
  <w:footnote w:id="2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Por. </w:t>
      </w:r>
      <w:proofErr w:type="spellStart"/>
      <w:r>
        <w:rPr>
          <w:rFonts w:eastAsia="Arial Unicode MS" w:cs="Arial Unicode MS"/>
        </w:rPr>
        <w:t>Cic</w:t>
      </w:r>
      <w:proofErr w:type="spellEnd"/>
      <w:r>
        <w:rPr>
          <w:rFonts w:eastAsia="Arial Unicode MS" w:cs="Arial Unicode MS"/>
        </w:rPr>
        <w:t xml:space="preserve">., </w:t>
      </w:r>
      <w:r>
        <w:rPr>
          <w:rFonts w:eastAsia="Arial Unicode MS" w:cs="Arial Unicode MS"/>
          <w:i/>
          <w:iCs/>
        </w:rPr>
        <w:t xml:space="preserve">De rep., </w:t>
      </w:r>
      <w:r>
        <w:rPr>
          <w:rFonts w:eastAsia="Arial Unicode MS" w:cs="Arial Unicode MS"/>
        </w:rPr>
        <w:t xml:space="preserve">1.44, 51-53. </w:t>
      </w:r>
    </w:p>
  </w:footnote>
  <w:footnote w:id="3">
    <w:p w:rsidR="0039189C" w:rsidRDefault="003032C1">
      <w:pPr>
        <w:pStyle w:val="Tekstprzypisudolnego"/>
        <w:jc w:val="both"/>
      </w:pPr>
      <w:r>
        <w:rPr>
          <w:i/>
          <w:iCs/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M. </w:t>
      </w:r>
      <w:proofErr w:type="spellStart"/>
      <w:r>
        <w:rPr>
          <w:lang w:val="en-US"/>
        </w:rPr>
        <w:t>Gelzer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op. cit., </w:t>
      </w:r>
      <w:r>
        <w:rPr>
          <w:lang w:val="en-US"/>
        </w:rPr>
        <w:t xml:space="preserve">s. 44-49. </w:t>
      </w:r>
    </w:p>
  </w:footnote>
  <w:footnote w:id="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t xml:space="preserve"> Wszystkie daty w tekście odnoszą się do czasów przed Chrystusem. </w:t>
      </w:r>
    </w:p>
  </w:footnote>
  <w:footnote w:id="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rPr>
          <w:color w:val="FF0000"/>
          <w:u w:color="FF0000"/>
        </w:rPr>
        <w:t xml:space="preserve"> </w:t>
      </w:r>
      <w:r>
        <w:t xml:space="preserve">W kontekście reguł rządzących życiem politycznym Republiki Rzymskiej, zob. </w:t>
      </w:r>
      <w:proofErr w:type="spellStart"/>
      <w:r>
        <w:t>szczeg</w:t>
      </w:r>
      <w:proofErr w:type="spellEnd"/>
      <w:r>
        <w:t xml:space="preserve">.: F. </w:t>
      </w:r>
      <w:proofErr w:type="spellStart"/>
      <w:r>
        <w:t>Münzer</w:t>
      </w:r>
      <w:proofErr w:type="spellEnd"/>
      <w:r>
        <w:t xml:space="preserve">, </w:t>
      </w:r>
      <w:proofErr w:type="spellStart"/>
      <w:r>
        <w:rPr>
          <w:i/>
          <w:iCs/>
        </w:rPr>
        <w:t>Römische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Adelsparteien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Adelsfamilien</w:t>
      </w:r>
      <w:proofErr w:type="spellEnd"/>
      <w:r>
        <w:t xml:space="preserve">, Stuttgart 1920. Por. także: R. </w:t>
      </w:r>
      <w:proofErr w:type="spellStart"/>
      <w:r>
        <w:t>Syme</w:t>
      </w:r>
      <w:proofErr w:type="spellEnd"/>
      <w:r>
        <w:t xml:space="preserve">, </w:t>
      </w:r>
      <w:r>
        <w:rPr>
          <w:i/>
          <w:iCs/>
        </w:rPr>
        <w:t xml:space="preserve">Rewolucja rzymska, </w:t>
      </w:r>
      <w:r>
        <w:t xml:space="preserve">przeł. </w:t>
      </w:r>
      <w:r>
        <w:rPr>
          <w:lang w:val="en-US"/>
        </w:rPr>
        <w:t xml:space="preserve">A. </w:t>
      </w:r>
      <w:proofErr w:type="spellStart"/>
      <w:r>
        <w:rPr>
          <w:lang w:val="en-US"/>
        </w:rPr>
        <w:t>Baziór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Poznań</w:t>
      </w:r>
      <w:proofErr w:type="spellEnd"/>
      <w:r>
        <w:rPr>
          <w:lang w:val="en-US"/>
        </w:rPr>
        <w:t xml:space="preserve"> 2009,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 xml:space="preserve">. s. 10-27; L. R. Taylor, </w:t>
      </w:r>
      <w:r>
        <w:rPr>
          <w:i/>
          <w:iCs/>
          <w:lang w:val="en-US"/>
        </w:rPr>
        <w:t xml:space="preserve">Party Politics in the Age of </w:t>
      </w:r>
      <w:proofErr w:type="spellStart"/>
      <w:r>
        <w:rPr>
          <w:i/>
          <w:iCs/>
          <w:lang w:val="en-US"/>
        </w:rPr>
        <w:t>Ceasar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Berkeley 1949; M. </w:t>
      </w:r>
      <w:proofErr w:type="spellStart"/>
      <w:r>
        <w:rPr>
          <w:lang w:val="en-US"/>
        </w:rPr>
        <w:t>Gelzer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The Roman Nobility</w:t>
      </w:r>
      <w:r>
        <w:rPr>
          <w:lang w:val="en-US"/>
        </w:rPr>
        <w:t xml:space="preserve">, trans. R. </w:t>
      </w:r>
      <w:proofErr w:type="spellStart"/>
      <w:r>
        <w:rPr>
          <w:lang w:val="en-US"/>
        </w:rPr>
        <w:t>Seager</w:t>
      </w:r>
      <w:proofErr w:type="spellEnd"/>
      <w:r>
        <w:rPr>
          <w:lang w:val="en-US"/>
        </w:rPr>
        <w:t xml:space="preserve">, Oxford 1969, s. 123-136; R. </w:t>
      </w:r>
      <w:proofErr w:type="spellStart"/>
      <w:r>
        <w:rPr>
          <w:lang w:val="en-US"/>
        </w:rPr>
        <w:t>Seager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Factio</w:t>
      </w:r>
      <w:proofErr w:type="spellEnd"/>
      <w:r>
        <w:rPr>
          <w:i/>
          <w:iCs/>
          <w:lang w:val="en-US"/>
        </w:rPr>
        <w:t>: Some Observations</w:t>
      </w:r>
      <w:r>
        <w:rPr>
          <w:lang w:val="en-US"/>
        </w:rPr>
        <w:t xml:space="preserve">, „The Journal of Roman Studies” 1972, 62, s. 53-58.  </w:t>
      </w:r>
    </w:p>
  </w:footnote>
  <w:footnote w:id="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t xml:space="preserve"> Por. R. </w:t>
      </w:r>
      <w:proofErr w:type="spellStart"/>
      <w:r>
        <w:t>Syme</w:t>
      </w:r>
      <w:proofErr w:type="spellEnd"/>
      <w:r>
        <w:t xml:space="preserve">, </w:t>
      </w:r>
      <w:r>
        <w:rPr>
          <w:i/>
          <w:iCs/>
        </w:rPr>
        <w:t>op. cit.</w:t>
      </w:r>
      <w:r>
        <w:t xml:space="preserve">, s. 10 i n.; E. </w:t>
      </w:r>
      <w:proofErr w:type="spellStart"/>
      <w:r>
        <w:t>Flaig</w:t>
      </w:r>
      <w:proofErr w:type="spellEnd"/>
      <w:r>
        <w:t>,</w:t>
      </w:r>
      <w:r>
        <w:rPr>
          <w:i/>
          <w:iCs/>
        </w:rPr>
        <w:t xml:space="preserve"> Zrytualizowana polityka. Znaki, gesty i władza w starożytnym Rzymie, </w:t>
      </w:r>
      <w:r>
        <w:t xml:space="preserve">przeł. L. Mrozewicz, A. Pawlicka, Poznań 2013, s. 27-31. </w:t>
      </w:r>
    </w:p>
  </w:footnote>
  <w:footnote w:id="7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Szersze syntezy w temacie działalności braci </w:t>
      </w:r>
      <w:proofErr w:type="spellStart"/>
      <w:r>
        <w:t>Grakchów</w:t>
      </w:r>
      <w:proofErr w:type="spellEnd"/>
      <w:r>
        <w:t xml:space="preserve">, zob. np.: H. </w:t>
      </w:r>
      <w:proofErr w:type="spellStart"/>
      <w:r>
        <w:t>Heftner</w:t>
      </w:r>
      <w:proofErr w:type="spellEnd"/>
      <w:r>
        <w:t xml:space="preserve">, </w:t>
      </w:r>
      <w:r>
        <w:rPr>
          <w:i/>
          <w:iCs/>
        </w:rPr>
        <w:t xml:space="preserve">Von den </w:t>
      </w:r>
      <w:proofErr w:type="spellStart"/>
      <w:r>
        <w:rPr>
          <w:i/>
          <w:iCs/>
        </w:rPr>
        <w:t>Gracchen</w:t>
      </w:r>
      <w:proofErr w:type="spellEnd"/>
      <w:r>
        <w:rPr>
          <w:i/>
          <w:iCs/>
        </w:rPr>
        <w:t xml:space="preserve"> bis Sulla</w:t>
      </w:r>
      <w:r>
        <w:t xml:space="preserve">, Regensburg 2006, s. 42-84; A. Ziółkowski, </w:t>
      </w:r>
      <w:r>
        <w:rPr>
          <w:i/>
          <w:iCs/>
        </w:rPr>
        <w:t xml:space="preserve">Historia Rzymu, </w:t>
      </w:r>
      <w:r>
        <w:t xml:space="preserve">Poznań 2008, s. 298-316; K. </w:t>
      </w:r>
      <w:proofErr w:type="spellStart"/>
      <w:r>
        <w:t>Bringmann</w:t>
      </w:r>
      <w:proofErr w:type="spellEnd"/>
      <w:r>
        <w:t xml:space="preserve">, </w:t>
      </w:r>
      <w:r>
        <w:rPr>
          <w:i/>
          <w:iCs/>
        </w:rPr>
        <w:t>Historia Republiki Rzymskiej</w:t>
      </w:r>
      <w:r>
        <w:t xml:space="preserve">, przeł. </w:t>
      </w:r>
      <w:r>
        <w:rPr>
          <w:lang w:val="en-US"/>
        </w:rPr>
        <w:t xml:space="preserve">A. </w:t>
      </w:r>
      <w:proofErr w:type="spellStart"/>
      <w:r>
        <w:rPr>
          <w:lang w:val="en-US"/>
        </w:rPr>
        <w:t>Gierlińska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Poznań</w:t>
      </w:r>
      <w:proofErr w:type="spellEnd"/>
      <w:r>
        <w:rPr>
          <w:lang w:val="en-US"/>
        </w:rPr>
        <w:t xml:space="preserve">. 2010, s. 185-210. </w:t>
      </w:r>
    </w:p>
  </w:footnote>
  <w:footnote w:id="8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Plaut</w:t>
      </w:r>
      <w:proofErr w:type="spellEnd"/>
      <w:r>
        <w:rPr>
          <w:lang w:val="en-US"/>
        </w:rPr>
        <w:t xml:space="preserve">., </w:t>
      </w:r>
      <w:proofErr w:type="spellStart"/>
      <w:r>
        <w:rPr>
          <w:i/>
          <w:iCs/>
          <w:lang w:val="en-US"/>
        </w:rPr>
        <w:t>Bacch</w:t>
      </w:r>
      <w:proofErr w:type="spellEnd"/>
      <w:r>
        <w:rPr>
          <w:lang w:val="en-US"/>
        </w:rPr>
        <w:t xml:space="preserve">., 843; </w:t>
      </w:r>
      <w:r>
        <w:rPr>
          <w:i/>
          <w:iCs/>
          <w:lang w:val="en-US"/>
        </w:rPr>
        <w:t xml:space="preserve">Cist., </w:t>
      </w:r>
      <w:r>
        <w:rPr>
          <w:lang w:val="en-US"/>
        </w:rPr>
        <w:t xml:space="preserve">493; </w:t>
      </w:r>
      <w:proofErr w:type="spellStart"/>
      <w:r>
        <w:rPr>
          <w:i/>
          <w:iCs/>
          <w:lang w:val="en-US"/>
        </w:rPr>
        <w:t>Rud</w:t>
      </w:r>
      <w:proofErr w:type="spellEnd"/>
      <w:r>
        <w:rPr>
          <w:lang w:val="en-US"/>
        </w:rPr>
        <w:t xml:space="preserve">., 1371; Cat., </w:t>
      </w:r>
      <w:r>
        <w:rPr>
          <w:i/>
          <w:iCs/>
          <w:lang w:val="en-US"/>
        </w:rPr>
        <w:t xml:space="preserve">De </w:t>
      </w:r>
      <w:proofErr w:type="spellStart"/>
      <w:r>
        <w:rPr>
          <w:i/>
          <w:iCs/>
          <w:lang w:val="en-US"/>
        </w:rPr>
        <w:t>agr</w:t>
      </w:r>
      <w:proofErr w:type="spellEnd"/>
      <w:r>
        <w:rPr>
          <w:i/>
          <w:iCs/>
          <w:lang w:val="en-US"/>
        </w:rPr>
        <w:t>.,</w:t>
      </w:r>
      <w:r>
        <w:rPr>
          <w:lang w:val="en-US"/>
        </w:rPr>
        <w:t xml:space="preserve"> 126P. </w:t>
      </w:r>
      <w:r>
        <w:t xml:space="preserve">Por. J. </w:t>
      </w:r>
      <w:proofErr w:type="spellStart"/>
      <w:r>
        <w:t>Korpanty</w:t>
      </w:r>
      <w:proofErr w:type="spellEnd"/>
      <w:r>
        <w:rPr>
          <w:i/>
          <w:iCs/>
        </w:rPr>
        <w:t>, Studia nad łacińską terminologią polityczno-socjalną okresu Republiki Rzymskiej</w:t>
      </w:r>
      <w:r>
        <w:t xml:space="preserve">, Wrocław-Warszawa-Kraków-Gdańsk 1976, s. 87, przyp. </w:t>
      </w:r>
      <w:r>
        <w:rPr>
          <w:lang w:val="en-US"/>
        </w:rPr>
        <w:t xml:space="preserve">7-10. </w:t>
      </w:r>
    </w:p>
  </w:footnote>
  <w:footnote w:id="9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lang w:val="en-US"/>
        </w:rPr>
        <w:tab/>
        <w:t xml:space="preserve"> Por., Aug., </w:t>
      </w:r>
      <w:r>
        <w:rPr>
          <w:i/>
          <w:iCs/>
          <w:lang w:val="en-US"/>
        </w:rPr>
        <w:t xml:space="preserve">Res gest., </w:t>
      </w:r>
      <w:r>
        <w:rPr>
          <w:lang w:val="en-US"/>
        </w:rPr>
        <w:t>1.1.</w:t>
      </w:r>
    </w:p>
  </w:footnote>
  <w:footnote w:id="10">
    <w:p w:rsidR="0039189C" w:rsidRDefault="003032C1">
      <w:pPr>
        <w:pStyle w:val="Tekstprzypisudolnego"/>
      </w:pPr>
      <w:r>
        <w:rPr>
          <w:i/>
          <w:iCs/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Rhet. ad Her., </w:t>
      </w:r>
      <w:r>
        <w:rPr>
          <w:lang w:val="en-US"/>
        </w:rPr>
        <w:t xml:space="preserve">1.5.8; 2.26.40. </w:t>
      </w:r>
    </w:p>
  </w:footnote>
  <w:footnote w:id="1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Sall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>Cat.,</w:t>
      </w:r>
      <w:r>
        <w:rPr>
          <w:lang w:val="en-US"/>
        </w:rPr>
        <w:t xml:space="preserve">18.4; 32.3; 51.32, 40; 54.6; </w:t>
      </w:r>
      <w:r>
        <w:rPr>
          <w:i/>
          <w:iCs/>
          <w:lang w:val="en-US"/>
        </w:rPr>
        <w:t xml:space="preserve">BI, </w:t>
      </w:r>
      <w:r>
        <w:rPr>
          <w:lang w:val="en-US"/>
        </w:rPr>
        <w:t xml:space="preserve">8.1; 15.4; 28.4; 29.2; 31.4, 15; 41.1, 6; 77.1; </w:t>
      </w:r>
      <w:r>
        <w:rPr>
          <w:i/>
          <w:iCs/>
          <w:lang w:val="en-US"/>
        </w:rPr>
        <w:t xml:space="preserve">Hist., </w:t>
      </w:r>
      <w:r>
        <w:rPr>
          <w:lang w:val="en-US"/>
        </w:rPr>
        <w:t>3.48.3M, 8M</w:t>
      </w:r>
      <w:r w:rsidR="002B61E6">
        <w:rPr>
          <w:lang w:val="en-US"/>
        </w:rPr>
        <w:t>.</w:t>
      </w:r>
    </w:p>
  </w:footnote>
  <w:footnote w:id="1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De rep., </w:t>
      </w:r>
      <w:r>
        <w:rPr>
          <w:lang w:val="en-US"/>
        </w:rPr>
        <w:t xml:space="preserve">1.44, 68, 69; 3.23, 44; </w:t>
      </w:r>
      <w:r>
        <w:rPr>
          <w:i/>
          <w:iCs/>
          <w:lang w:val="en-US"/>
        </w:rPr>
        <w:t xml:space="preserve">De inv., </w:t>
      </w:r>
      <w:r>
        <w:rPr>
          <w:lang w:val="en-US"/>
        </w:rPr>
        <w:t xml:space="preserve">1.102; </w:t>
      </w:r>
      <w:r>
        <w:rPr>
          <w:i/>
          <w:iCs/>
          <w:lang w:val="en-US"/>
        </w:rPr>
        <w:t xml:space="preserve">De off., </w:t>
      </w:r>
      <w:r>
        <w:rPr>
          <w:lang w:val="en-US"/>
        </w:rPr>
        <w:t xml:space="preserve">1.64; </w:t>
      </w:r>
      <w:r>
        <w:rPr>
          <w:i/>
          <w:iCs/>
          <w:lang w:val="en-US"/>
        </w:rPr>
        <w:t xml:space="preserve">Brut., </w:t>
      </w:r>
      <w:r>
        <w:rPr>
          <w:lang w:val="en-US"/>
        </w:rPr>
        <w:t xml:space="preserve">164; </w:t>
      </w:r>
      <w:r>
        <w:rPr>
          <w:i/>
          <w:iCs/>
          <w:lang w:val="en-US"/>
        </w:rPr>
        <w:t xml:space="preserve">ad Att., </w:t>
      </w:r>
      <w:r>
        <w:rPr>
          <w:lang w:val="en-US"/>
        </w:rPr>
        <w:t xml:space="preserve">7.9.4; </w:t>
      </w:r>
      <w:r>
        <w:rPr>
          <w:i/>
          <w:iCs/>
          <w:lang w:val="en-US"/>
        </w:rPr>
        <w:t xml:space="preserve">ad fam., </w:t>
      </w:r>
      <w:r>
        <w:rPr>
          <w:lang w:val="en-US"/>
        </w:rPr>
        <w:t xml:space="preserve">8.15.2; </w:t>
      </w:r>
      <w:r>
        <w:rPr>
          <w:i/>
          <w:iCs/>
          <w:lang w:val="en-US"/>
        </w:rPr>
        <w:t xml:space="preserve">In </w:t>
      </w:r>
      <w:proofErr w:type="spellStart"/>
      <w:r>
        <w:rPr>
          <w:i/>
          <w:iCs/>
          <w:lang w:val="en-US"/>
        </w:rPr>
        <w:t>Pis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7; </w:t>
      </w:r>
      <w:r>
        <w:rPr>
          <w:i/>
          <w:iCs/>
          <w:lang w:val="en-US"/>
        </w:rPr>
        <w:t xml:space="preserve">In </w:t>
      </w:r>
      <w:proofErr w:type="spellStart"/>
      <w:r>
        <w:rPr>
          <w:i/>
          <w:iCs/>
          <w:lang w:val="en-US"/>
        </w:rPr>
        <w:t>Verr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4.133. </w:t>
      </w:r>
    </w:p>
  </w:footnote>
  <w:footnote w:id="13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proofErr w:type="spellStart"/>
      <w:r>
        <w:rPr>
          <w:lang w:val="en-US"/>
        </w:rPr>
        <w:t>Ceas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BC, </w:t>
      </w:r>
      <w:r>
        <w:rPr>
          <w:lang w:val="en-US"/>
        </w:rPr>
        <w:t xml:space="preserve">1.22.5; 3.35.2; </w:t>
      </w:r>
      <w:r>
        <w:rPr>
          <w:i/>
          <w:iCs/>
          <w:lang w:val="en-US"/>
        </w:rPr>
        <w:t xml:space="preserve">BG, </w:t>
      </w:r>
      <w:r>
        <w:rPr>
          <w:lang w:val="en-US"/>
        </w:rPr>
        <w:t xml:space="preserve">1.31.3; 5.56.3; 6.12.1, 22.3; </w:t>
      </w:r>
      <w:proofErr w:type="spellStart"/>
      <w:r>
        <w:rPr>
          <w:lang w:val="en-US"/>
        </w:rPr>
        <w:t>Hirt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BG, </w:t>
      </w:r>
      <w:r>
        <w:rPr>
          <w:lang w:val="en-US"/>
        </w:rPr>
        <w:t xml:space="preserve">8.50.2. </w:t>
      </w:r>
    </w:p>
  </w:footnote>
  <w:footnote w:id="1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L. R. Taylor, </w:t>
      </w:r>
      <w:r>
        <w:rPr>
          <w:i/>
          <w:iCs/>
          <w:lang w:val="en-US"/>
        </w:rPr>
        <w:t>op. cit.</w:t>
      </w:r>
      <w:r>
        <w:rPr>
          <w:lang w:val="en-US"/>
        </w:rPr>
        <w:t xml:space="preserve">, s. 189,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</w:t>
      </w:r>
      <w:r>
        <w:t xml:space="preserve">34. Pierwszy raz termin </w:t>
      </w:r>
      <w:proofErr w:type="spellStart"/>
      <w:r>
        <w:rPr>
          <w:i/>
          <w:iCs/>
        </w:rPr>
        <w:t>factio</w:t>
      </w:r>
      <w:proofErr w:type="spellEnd"/>
      <w:r>
        <w:t xml:space="preserve"> pojawia się w </w:t>
      </w:r>
      <w:r>
        <w:rPr>
          <w:i/>
          <w:iCs/>
        </w:rPr>
        <w:t xml:space="preserve">Ab </w:t>
      </w:r>
      <w:proofErr w:type="spellStart"/>
      <w:r>
        <w:rPr>
          <w:i/>
          <w:iCs/>
        </w:rPr>
        <w:t>urbe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condita</w:t>
      </w:r>
      <w:proofErr w:type="spellEnd"/>
      <w:r>
        <w:rPr>
          <w:i/>
          <w:iCs/>
        </w:rPr>
        <w:t xml:space="preserve">, </w:t>
      </w:r>
      <w:r>
        <w:t xml:space="preserve">przy okazji opisu wydarzeń z roku 505, zob. </w:t>
      </w:r>
      <w:r>
        <w:rPr>
          <w:lang w:val="en-US"/>
        </w:rPr>
        <w:t>Liv., 2.16.4.</w:t>
      </w:r>
      <w:r>
        <w:rPr>
          <w:i/>
          <w:iCs/>
          <w:lang w:val="en-US"/>
        </w:rPr>
        <w:t xml:space="preserve"> </w:t>
      </w:r>
    </w:p>
  </w:footnote>
  <w:footnote w:id="1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Zob</w:t>
      </w:r>
      <w:proofErr w:type="spellEnd"/>
      <w:r>
        <w:rPr>
          <w:lang w:val="en-US"/>
        </w:rPr>
        <w:t xml:space="preserve">. np. R. </w:t>
      </w:r>
      <w:proofErr w:type="spellStart"/>
      <w:r>
        <w:rPr>
          <w:lang w:val="en-US"/>
        </w:rPr>
        <w:t>Syme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Sallust, </w:t>
      </w:r>
      <w:r>
        <w:rPr>
          <w:lang w:val="en-US"/>
        </w:rPr>
        <w:t xml:space="preserve">Berkeley-Los Angeles 1964, s. 16-28;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 and the criminal courts 149-78 BC</w:t>
      </w:r>
      <w:r>
        <w:rPr>
          <w:lang w:val="en-US"/>
        </w:rPr>
        <w:t xml:space="preserve">, Berkeley 1968, s. 1-7 </w:t>
      </w:r>
      <w:r>
        <w:rPr>
          <w:i/>
          <w:iCs/>
          <w:lang w:val="en-US"/>
        </w:rPr>
        <w:t>passim</w:t>
      </w:r>
      <w:r>
        <w:rPr>
          <w:lang w:val="en-US"/>
        </w:rPr>
        <w:t xml:space="preserve">,  R. </w:t>
      </w:r>
      <w:proofErr w:type="spellStart"/>
      <w:r>
        <w:rPr>
          <w:lang w:val="en-US"/>
        </w:rPr>
        <w:t>Seager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</w:t>
      </w:r>
      <w:r>
        <w:rPr>
          <w:lang w:val="en-US"/>
        </w:rPr>
        <w:t xml:space="preserve">, s. 53-58; J. </w:t>
      </w:r>
      <w:proofErr w:type="spellStart"/>
      <w:r>
        <w:rPr>
          <w:lang w:val="en-US"/>
        </w:rPr>
        <w:t>Korpanty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</w:t>
      </w:r>
      <w:r>
        <w:rPr>
          <w:lang w:val="en-US"/>
        </w:rPr>
        <w:t xml:space="preserve">, s. 86-92; P.A. Brunt, </w:t>
      </w:r>
      <w:r>
        <w:rPr>
          <w:i/>
          <w:iCs/>
          <w:lang w:val="en-US"/>
        </w:rPr>
        <w:t>The Fall of the Roman Republic and Related Essays</w:t>
      </w:r>
      <w:r>
        <w:rPr>
          <w:lang w:val="en-US"/>
        </w:rPr>
        <w:t xml:space="preserve">, Oxford 1988, s. 443-502; A.W. </w:t>
      </w:r>
      <w:proofErr w:type="spellStart"/>
      <w:r>
        <w:rPr>
          <w:lang w:val="en-US"/>
        </w:rPr>
        <w:t>Lintott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The Constitution of the Roman Republic</w:t>
      </w:r>
      <w:r>
        <w:rPr>
          <w:lang w:val="en-US"/>
        </w:rPr>
        <w:t xml:space="preserve">, Oxford 2002,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 xml:space="preserve">. s. 147-148; S. </w:t>
      </w:r>
      <w:proofErr w:type="spellStart"/>
      <w:r>
        <w:rPr>
          <w:lang w:val="en-US"/>
        </w:rPr>
        <w:t>Śnieżewski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Salustiusz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historia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Rzymu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Kraków</w:t>
      </w:r>
      <w:proofErr w:type="spellEnd"/>
      <w:r>
        <w:rPr>
          <w:lang w:val="en-US"/>
        </w:rPr>
        <w:t xml:space="preserve"> 2003, s. 173-179. </w:t>
      </w:r>
    </w:p>
  </w:footnote>
  <w:footnote w:id="16">
    <w:p w:rsidR="0039189C" w:rsidRPr="008835EB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Sall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BI, </w:t>
      </w:r>
      <w:r>
        <w:rPr>
          <w:lang w:val="en-US"/>
        </w:rPr>
        <w:t xml:space="preserve">63.6: </w:t>
      </w:r>
      <w:proofErr w:type="spellStart"/>
      <w:r>
        <w:rPr>
          <w:i/>
          <w:iCs/>
          <w:lang w:val="en-US"/>
        </w:rPr>
        <w:t>consulatum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nobilit</w:t>
      </w:r>
      <w:r w:rsidR="008835EB">
        <w:rPr>
          <w:i/>
          <w:iCs/>
          <w:lang w:val="en-US"/>
        </w:rPr>
        <w:t>as</w:t>
      </w:r>
      <w:proofErr w:type="spellEnd"/>
      <w:r w:rsidR="008835EB">
        <w:rPr>
          <w:i/>
          <w:iCs/>
          <w:lang w:val="en-US"/>
        </w:rPr>
        <w:t xml:space="preserve"> inter se per </w:t>
      </w:r>
      <w:proofErr w:type="spellStart"/>
      <w:r w:rsidR="008835EB">
        <w:rPr>
          <w:i/>
          <w:iCs/>
          <w:lang w:val="en-US"/>
        </w:rPr>
        <w:t>manus</w:t>
      </w:r>
      <w:proofErr w:type="spellEnd"/>
      <w:r w:rsidR="008835EB">
        <w:rPr>
          <w:i/>
          <w:iCs/>
          <w:lang w:val="en-US"/>
        </w:rPr>
        <w:t xml:space="preserve"> </w:t>
      </w:r>
      <w:proofErr w:type="spellStart"/>
      <w:r w:rsidR="008835EB">
        <w:rPr>
          <w:i/>
          <w:iCs/>
          <w:lang w:val="en-US"/>
        </w:rPr>
        <w:t>tradebat</w:t>
      </w:r>
      <w:proofErr w:type="spellEnd"/>
      <w:r w:rsidR="008835EB">
        <w:rPr>
          <w:i/>
          <w:iCs/>
          <w:lang w:val="en-US"/>
        </w:rPr>
        <w:t xml:space="preserve"> </w:t>
      </w:r>
      <w:r w:rsidR="008835EB">
        <w:rPr>
          <w:iCs/>
          <w:lang w:val="en-US"/>
        </w:rPr>
        <w:t>(</w:t>
      </w:r>
      <w:proofErr w:type="spellStart"/>
      <w:r w:rsidR="008835EB">
        <w:rPr>
          <w:iCs/>
          <w:lang w:val="en-US"/>
        </w:rPr>
        <w:t>tłum</w:t>
      </w:r>
      <w:proofErr w:type="spellEnd"/>
      <w:r w:rsidR="008835EB">
        <w:rPr>
          <w:iCs/>
          <w:lang w:val="en-US"/>
        </w:rPr>
        <w:t xml:space="preserve">. w </w:t>
      </w:r>
      <w:proofErr w:type="spellStart"/>
      <w:r w:rsidR="008835EB">
        <w:rPr>
          <w:iCs/>
          <w:lang w:val="en-US"/>
        </w:rPr>
        <w:t>tekście</w:t>
      </w:r>
      <w:proofErr w:type="spellEnd"/>
      <w:r w:rsidR="008835EB">
        <w:rPr>
          <w:iCs/>
          <w:lang w:val="en-US"/>
        </w:rPr>
        <w:t xml:space="preserve"> E. </w:t>
      </w:r>
      <w:proofErr w:type="spellStart"/>
      <w:r w:rsidR="008835EB">
        <w:rPr>
          <w:iCs/>
          <w:lang w:val="en-US"/>
        </w:rPr>
        <w:t>Zwolski</w:t>
      </w:r>
      <w:proofErr w:type="spellEnd"/>
      <w:r w:rsidR="008835EB">
        <w:rPr>
          <w:iCs/>
          <w:lang w:val="en-US"/>
        </w:rPr>
        <w:t xml:space="preserve">). </w:t>
      </w:r>
    </w:p>
  </w:footnote>
  <w:footnote w:id="17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Zob</w:t>
      </w:r>
      <w:proofErr w:type="spellEnd"/>
      <w:r>
        <w:rPr>
          <w:lang w:val="en-US"/>
        </w:rPr>
        <w:t xml:space="preserve">. E. </w:t>
      </w:r>
      <w:proofErr w:type="spellStart"/>
      <w:r>
        <w:rPr>
          <w:lang w:val="en-US"/>
        </w:rPr>
        <w:t>Flaig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50-54.</w:t>
      </w:r>
    </w:p>
  </w:footnote>
  <w:footnote w:id="18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Poprzednim </w:t>
      </w:r>
      <w:r>
        <w:rPr>
          <w:i/>
          <w:iCs/>
        </w:rPr>
        <w:t>homo novus</w:t>
      </w:r>
      <w:r>
        <w:t xml:space="preserve">, który sprawował konsulat, był w roku 141 Kw. </w:t>
      </w:r>
      <w:proofErr w:type="spellStart"/>
      <w:r>
        <w:rPr>
          <w:lang w:val="en-US"/>
        </w:rPr>
        <w:t>Pompejusz</w:t>
      </w:r>
      <w:proofErr w:type="spellEnd"/>
      <w:r>
        <w:rPr>
          <w:lang w:val="en-US"/>
        </w:rPr>
        <w:t xml:space="preserve">: T.R.S. Broughton, </w:t>
      </w:r>
      <w:r>
        <w:rPr>
          <w:i/>
          <w:iCs/>
          <w:lang w:val="en-US"/>
        </w:rPr>
        <w:t>The Magistrates of the Roman Republic</w:t>
      </w:r>
      <w:r>
        <w:rPr>
          <w:lang w:val="en-US"/>
        </w:rPr>
        <w:t>, I, New York 1951-1952 (</w:t>
      </w:r>
      <w:proofErr w:type="spellStart"/>
      <w:r>
        <w:rPr>
          <w:lang w:val="en-US"/>
        </w:rPr>
        <w:t>dalej</w:t>
      </w:r>
      <w:proofErr w:type="spellEnd"/>
      <w:r>
        <w:rPr>
          <w:lang w:val="en-US"/>
        </w:rPr>
        <w:t xml:space="preserve">: MRR I), s. 447. </w:t>
      </w:r>
    </w:p>
  </w:footnote>
  <w:footnote w:id="19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MRR I, s. 550. </w:t>
      </w:r>
    </w:p>
  </w:footnote>
  <w:footnote w:id="20">
    <w:p w:rsidR="0039189C" w:rsidRDefault="003032C1">
      <w:pPr>
        <w:pStyle w:val="Tekstprzypisudolnego"/>
        <w:spacing w:after="0"/>
        <w:jc w:val="both"/>
      </w:pPr>
      <w:r>
        <w:rPr>
          <w:sz w:val="24"/>
          <w:szCs w:val="24"/>
          <w:vertAlign w:val="superscript"/>
        </w:rPr>
        <w:footnoteRef/>
      </w:r>
      <w:r>
        <w:tab/>
        <w:t xml:space="preserve"> Na tle badań dotyczących ostatniego wieku Republiki, wydarzenia polityczne w 104 roku doczekały się stosunkowo niewielkiej ilości studiów. Wciąż niewyeksploatowane w literaturze przedmiotu wydają się przede wszystkim uwarunkowania politycznej działalności przeciwników Mariusza w tym okresie. Dotychczas rok 104 analizowano głównie z perspektywy z nieformalnego przywódcy </w:t>
      </w:r>
      <w:proofErr w:type="spellStart"/>
      <w:r>
        <w:rPr>
          <w:i/>
          <w:iCs/>
        </w:rPr>
        <w:t>factio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Metelli</w:t>
      </w:r>
      <w:proofErr w:type="spellEnd"/>
      <w:r>
        <w:t xml:space="preserve">: </w:t>
      </w:r>
      <w:proofErr w:type="spellStart"/>
      <w:r>
        <w:t>princepsa</w:t>
      </w:r>
      <w:proofErr w:type="spellEnd"/>
      <w:r>
        <w:t xml:space="preserve"> senatu M. Emiliusza </w:t>
      </w:r>
      <w:proofErr w:type="spellStart"/>
      <w:r>
        <w:t>Skaurusa</w:t>
      </w:r>
      <w:proofErr w:type="spellEnd"/>
      <w:r>
        <w:t xml:space="preserve"> – zob. np. </w:t>
      </w:r>
      <w:r>
        <w:rPr>
          <w:lang w:val="en-US"/>
        </w:rPr>
        <w:t xml:space="preserve">G. Bloch, </w:t>
      </w:r>
      <w:r>
        <w:rPr>
          <w:i/>
          <w:iCs/>
          <w:lang w:val="en-US"/>
        </w:rPr>
        <w:t xml:space="preserve">M. </w:t>
      </w:r>
      <w:proofErr w:type="spellStart"/>
      <w:r>
        <w:rPr>
          <w:i/>
          <w:iCs/>
          <w:lang w:val="en-US"/>
        </w:rPr>
        <w:t>Aemilius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Scaurus</w:t>
      </w:r>
      <w:proofErr w:type="spellEnd"/>
      <w:r>
        <w:rPr>
          <w:i/>
          <w:iCs/>
          <w:lang w:val="en-US"/>
        </w:rPr>
        <w:t>,</w:t>
      </w:r>
      <w:r>
        <w:rPr>
          <w:lang w:val="en-US"/>
        </w:rPr>
        <w:t xml:space="preserve"> „</w:t>
      </w:r>
      <w:proofErr w:type="spellStart"/>
      <w:r>
        <w:rPr>
          <w:lang w:val="en-US"/>
        </w:rPr>
        <w:t>Melanges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D’Histoire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Ancienne</w:t>
      </w:r>
      <w:proofErr w:type="spellEnd"/>
      <w:r>
        <w:rPr>
          <w:lang w:val="en-US"/>
        </w:rPr>
        <w:t xml:space="preserve">” 1909, 25, s. 15-21; R. M. Geer, </w:t>
      </w:r>
      <w:r>
        <w:rPr>
          <w:i/>
          <w:iCs/>
          <w:lang w:val="en-US"/>
        </w:rPr>
        <w:t xml:space="preserve">M. </w:t>
      </w:r>
      <w:proofErr w:type="spellStart"/>
      <w:r>
        <w:rPr>
          <w:i/>
          <w:iCs/>
          <w:lang w:val="en-US"/>
        </w:rPr>
        <w:t>Aemilius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Scaurus</w:t>
      </w:r>
      <w:proofErr w:type="spellEnd"/>
      <w:r>
        <w:rPr>
          <w:i/>
          <w:iCs/>
          <w:lang w:val="en-US"/>
        </w:rPr>
        <w:t xml:space="preserve"> (Suet. Nero 2.1. and </w:t>
      </w:r>
      <w:proofErr w:type="spellStart"/>
      <w:r>
        <w:rPr>
          <w:i/>
          <w:iCs/>
          <w:lang w:val="en-US"/>
        </w:rPr>
        <w:t>Ascon</w:t>
      </w:r>
      <w:proofErr w:type="spellEnd"/>
      <w:r>
        <w:rPr>
          <w:i/>
          <w:iCs/>
          <w:lang w:val="en-US"/>
        </w:rPr>
        <w:t xml:space="preserve">. ad </w:t>
      </w:r>
      <w:proofErr w:type="spellStart"/>
      <w:r>
        <w:rPr>
          <w:i/>
          <w:iCs/>
          <w:lang w:val="en-US"/>
        </w:rPr>
        <w:t>Cic</w:t>
      </w:r>
      <w:proofErr w:type="spellEnd"/>
      <w:r>
        <w:rPr>
          <w:i/>
          <w:iCs/>
          <w:lang w:val="en-US"/>
        </w:rPr>
        <w:t xml:space="preserve">. pro </w:t>
      </w:r>
      <w:proofErr w:type="spellStart"/>
      <w:r>
        <w:rPr>
          <w:i/>
          <w:iCs/>
          <w:lang w:val="en-US"/>
        </w:rPr>
        <w:t>Scauro</w:t>
      </w:r>
      <w:proofErr w:type="spellEnd"/>
      <w:r>
        <w:rPr>
          <w:i/>
          <w:iCs/>
          <w:lang w:val="en-US"/>
        </w:rPr>
        <w:t xml:space="preserve"> 1)</w:t>
      </w:r>
      <w:r>
        <w:rPr>
          <w:lang w:val="en-US"/>
        </w:rPr>
        <w:t xml:space="preserve">, „Classical Philology” 1929, 24, s. 292-294; Ch. Henderson, </w:t>
      </w:r>
      <w:r>
        <w:rPr>
          <w:i/>
          <w:iCs/>
          <w:lang w:val="en-US"/>
        </w:rPr>
        <w:t xml:space="preserve">The Career of the Younger M. </w:t>
      </w:r>
      <w:proofErr w:type="spellStart"/>
      <w:r>
        <w:rPr>
          <w:i/>
          <w:iCs/>
          <w:lang w:val="en-US"/>
        </w:rPr>
        <w:t>Aemilius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Scaurus</w:t>
      </w:r>
      <w:proofErr w:type="spellEnd"/>
      <w:r>
        <w:rPr>
          <w:lang w:val="en-US"/>
        </w:rPr>
        <w:t xml:space="preserve">, „Classical Journal” 1958, 53, 5, s. 194-206; M.G. Morgan, </w:t>
      </w:r>
      <w:r>
        <w:rPr>
          <w:i/>
          <w:iCs/>
          <w:lang w:val="en-US"/>
        </w:rPr>
        <w:t xml:space="preserve">The Rise and Fall of the </w:t>
      </w:r>
      <w:proofErr w:type="spellStart"/>
      <w:r>
        <w:rPr>
          <w:i/>
          <w:iCs/>
          <w:lang w:val="en-US"/>
        </w:rPr>
        <w:t>Caecilii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Metelli</w:t>
      </w:r>
      <w:proofErr w:type="spellEnd"/>
      <w:r>
        <w:rPr>
          <w:i/>
          <w:iCs/>
          <w:lang w:val="en-US"/>
        </w:rPr>
        <w:t>, 284–46 B.C.,</w:t>
      </w:r>
      <w:r>
        <w:rPr>
          <w:lang w:val="en-US"/>
        </w:rPr>
        <w:t xml:space="preserve"> Exeter 1961,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 xml:space="preserve">. s. 210-215;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Exile of </w:t>
      </w:r>
      <w:proofErr w:type="spellStart"/>
      <w:r>
        <w:rPr>
          <w:i/>
          <w:iCs/>
          <w:lang w:val="en-US"/>
        </w:rPr>
        <w:t>Metellus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Numidicus</w:t>
      </w:r>
      <w:proofErr w:type="spellEnd"/>
      <w:r>
        <w:rPr>
          <w:lang w:val="en-US"/>
        </w:rPr>
        <w:t>, „</w:t>
      </w:r>
      <w:proofErr w:type="spellStart"/>
      <w:r>
        <w:rPr>
          <w:lang w:val="en-US"/>
        </w:rPr>
        <w:t>Latomus</w:t>
      </w:r>
      <w:proofErr w:type="spellEnd"/>
      <w:r>
        <w:rPr>
          <w:lang w:val="en-US"/>
        </w:rPr>
        <w:t xml:space="preserve">” 1965, 24, s. 576-580; J. van </w:t>
      </w:r>
      <w:proofErr w:type="spellStart"/>
      <w:r>
        <w:rPr>
          <w:lang w:val="en-US"/>
        </w:rPr>
        <w:t>Ooteghem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Les </w:t>
      </w:r>
      <w:proofErr w:type="spellStart"/>
      <w:r>
        <w:rPr>
          <w:i/>
          <w:iCs/>
          <w:lang w:val="en-US"/>
        </w:rPr>
        <w:t>Caecilii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Metelli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de la </w:t>
      </w:r>
      <w:proofErr w:type="spellStart"/>
      <w:r>
        <w:rPr>
          <w:i/>
          <w:iCs/>
          <w:lang w:val="en-US"/>
        </w:rPr>
        <w:t>République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Bruxelles</w:t>
      </w:r>
      <w:proofErr w:type="spellEnd"/>
      <w:r>
        <w:rPr>
          <w:lang w:val="en-US"/>
        </w:rPr>
        <w:t xml:space="preserve"> 1967, s. 116-118; I. </w:t>
      </w:r>
      <w:proofErr w:type="spellStart"/>
      <w:r>
        <w:rPr>
          <w:lang w:val="en-US"/>
        </w:rPr>
        <w:t>Shatzman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Scaurus</w:t>
      </w:r>
      <w:proofErr w:type="spellEnd"/>
      <w:r>
        <w:rPr>
          <w:i/>
          <w:iCs/>
          <w:lang w:val="en-US"/>
        </w:rPr>
        <w:t xml:space="preserve">, Marius and the </w:t>
      </w:r>
      <w:proofErr w:type="spellStart"/>
      <w:r>
        <w:rPr>
          <w:i/>
          <w:iCs/>
          <w:lang w:val="en-US"/>
        </w:rPr>
        <w:t>Metelli</w:t>
      </w:r>
      <w:proofErr w:type="spellEnd"/>
      <w:r>
        <w:rPr>
          <w:i/>
          <w:iCs/>
          <w:lang w:val="en-US"/>
        </w:rPr>
        <w:t xml:space="preserve">: a </w:t>
      </w:r>
      <w:proofErr w:type="spellStart"/>
      <w:r>
        <w:rPr>
          <w:i/>
          <w:iCs/>
          <w:lang w:val="en-US"/>
        </w:rPr>
        <w:t>Prosopographical</w:t>
      </w:r>
      <w:proofErr w:type="spellEnd"/>
      <w:r>
        <w:rPr>
          <w:i/>
          <w:iCs/>
          <w:lang w:val="en-US"/>
        </w:rPr>
        <w:t xml:space="preserve"> Factional Case, </w:t>
      </w:r>
      <w:r>
        <w:rPr>
          <w:lang w:val="en-US"/>
        </w:rPr>
        <w:t>„Ancient Society” 1974, 5, s. 200-205;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B. Marshall, </w:t>
      </w:r>
      <w:r>
        <w:rPr>
          <w:i/>
          <w:iCs/>
          <w:lang w:val="en-US"/>
        </w:rPr>
        <w:t>Two Court Cases in the Late Second Century B.C.,</w:t>
      </w:r>
      <w:r>
        <w:rPr>
          <w:lang w:val="en-US"/>
        </w:rPr>
        <w:t xml:space="preserve"> „The American Journal of Philology” 1977, 98, 4, s. 417-423; R. L. Bates, </w:t>
      </w:r>
      <w:r>
        <w:rPr>
          <w:i/>
          <w:iCs/>
          <w:lang w:val="en-US"/>
        </w:rPr>
        <w:t xml:space="preserve">Rex in </w:t>
      </w:r>
      <w:proofErr w:type="spellStart"/>
      <w:r>
        <w:rPr>
          <w:i/>
          <w:iCs/>
          <w:lang w:val="en-US"/>
        </w:rPr>
        <w:t>Senatu</w:t>
      </w:r>
      <w:proofErr w:type="spellEnd"/>
      <w:r>
        <w:rPr>
          <w:lang w:val="en-US"/>
        </w:rPr>
        <w:t>:</w:t>
      </w:r>
      <w:r>
        <w:rPr>
          <w:i/>
          <w:iCs/>
          <w:lang w:val="en-US"/>
        </w:rPr>
        <w:t xml:space="preserve"> A Political Biography of M. </w:t>
      </w:r>
      <w:proofErr w:type="spellStart"/>
      <w:r>
        <w:rPr>
          <w:i/>
          <w:iCs/>
          <w:lang w:val="en-US"/>
        </w:rPr>
        <w:t>Aemilius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Scaurus</w:t>
      </w:r>
      <w:proofErr w:type="spellEnd"/>
      <w:r>
        <w:rPr>
          <w:lang w:val="en-US"/>
        </w:rPr>
        <w:t xml:space="preserve">, „American Philosophical Society” 1986, 130, s. 264-266; L. A. Burckhardt, </w:t>
      </w:r>
      <w:proofErr w:type="spellStart"/>
      <w:r>
        <w:rPr>
          <w:i/>
          <w:iCs/>
          <w:lang w:val="en-US"/>
        </w:rPr>
        <w:t>Politische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Strategien</w:t>
      </w:r>
      <w:proofErr w:type="spellEnd"/>
      <w:r>
        <w:rPr>
          <w:i/>
          <w:iCs/>
          <w:lang w:val="en-US"/>
        </w:rPr>
        <w:t xml:space="preserve"> der </w:t>
      </w:r>
      <w:proofErr w:type="spellStart"/>
      <w:r>
        <w:rPr>
          <w:i/>
          <w:iCs/>
          <w:lang w:val="en-US"/>
        </w:rPr>
        <w:t>Optimaten</w:t>
      </w:r>
      <w:proofErr w:type="spellEnd"/>
      <w:r>
        <w:rPr>
          <w:i/>
          <w:iCs/>
          <w:lang w:val="en-US"/>
        </w:rPr>
        <w:t xml:space="preserve"> in der </w:t>
      </w:r>
      <w:proofErr w:type="spellStart"/>
      <w:r>
        <w:rPr>
          <w:i/>
          <w:iCs/>
          <w:lang w:val="en-US"/>
        </w:rPr>
        <w:t>späten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römischen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Republik</w:t>
      </w:r>
      <w:proofErr w:type="spellEnd"/>
      <w:r>
        <w:rPr>
          <w:lang w:val="en-US"/>
        </w:rPr>
        <w:t xml:space="preserve">, Stuttgart 1988, s. 141-149; M. </w:t>
      </w:r>
      <w:proofErr w:type="spellStart"/>
      <w:r>
        <w:rPr>
          <w:lang w:val="en-US"/>
        </w:rPr>
        <w:t>Piegdoń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Przedstawiciele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rzymskich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rodów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wobec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podporządkowanych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terenów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przykładzie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działań</w:t>
      </w:r>
      <w:proofErr w:type="spellEnd"/>
      <w:r>
        <w:rPr>
          <w:i/>
          <w:iCs/>
          <w:lang w:val="en-US"/>
        </w:rPr>
        <w:t xml:space="preserve"> gens </w:t>
      </w:r>
      <w:proofErr w:type="spellStart"/>
      <w:r>
        <w:rPr>
          <w:i/>
          <w:iCs/>
          <w:lang w:val="en-US"/>
        </w:rPr>
        <w:t>Aemilia</w:t>
      </w:r>
      <w:proofErr w:type="spellEnd"/>
      <w:r>
        <w:rPr>
          <w:i/>
          <w:iCs/>
          <w:lang w:val="en-US"/>
        </w:rPr>
        <w:t xml:space="preserve"> w </w:t>
      </w:r>
      <w:proofErr w:type="spellStart"/>
      <w:r>
        <w:rPr>
          <w:i/>
          <w:iCs/>
          <w:lang w:val="en-US"/>
        </w:rPr>
        <w:t>Cisalpinie</w:t>
      </w:r>
      <w:proofErr w:type="spellEnd"/>
      <w:r>
        <w:rPr>
          <w:i/>
          <w:iCs/>
          <w:lang w:val="en-US"/>
        </w:rPr>
        <w:t xml:space="preserve"> w II w. </w:t>
      </w:r>
      <w:proofErr w:type="spellStart"/>
      <w:r>
        <w:rPr>
          <w:i/>
          <w:iCs/>
          <w:lang w:val="en-US"/>
        </w:rPr>
        <w:t>p.n.e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 xml:space="preserve">, w: M. </w:t>
      </w:r>
      <w:proofErr w:type="spellStart"/>
      <w:r>
        <w:rPr>
          <w:lang w:val="en-US"/>
        </w:rPr>
        <w:t>Cieśluk</w:t>
      </w:r>
      <w:proofErr w:type="spellEnd"/>
      <w:r>
        <w:rPr>
          <w:lang w:val="en-US"/>
        </w:rPr>
        <w:t xml:space="preserve"> (red.), </w:t>
      </w:r>
      <w:proofErr w:type="spellStart"/>
      <w:r>
        <w:rPr>
          <w:i/>
          <w:iCs/>
          <w:lang w:val="en-US"/>
        </w:rPr>
        <w:t>Elity</w:t>
      </w:r>
      <w:proofErr w:type="spellEnd"/>
      <w:r>
        <w:rPr>
          <w:i/>
          <w:iCs/>
          <w:lang w:val="en-US"/>
        </w:rPr>
        <w:t xml:space="preserve"> w </w:t>
      </w:r>
      <w:proofErr w:type="spellStart"/>
      <w:r>
        <w:rPr>
          <w:i/>
          <w:iCs/>
          <w:lang w:val="en-US"/>
        </w:rPr>
        <w:t>świecie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starożytnym</w:t>
      </w:r>
      <w:proofErr w:type="spellEnd"/>
      <w:r>
        <w:rPr>
          <w:lang w:val="en-US"/>
        </w:rPr>
        <w:t xml:space="preserve">, Szczecin 2015,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>. s. 144-147.</w:t>
      </w:r>
      <w:r>
        <w:rPr>
          <w:i/>
          <w:iCs/>
          <w:lang w:val="en-US"/>
        </w:rPr>
        <w:t xml:space="preserve"> </w:t>
      </w:r>
      <w:r>
        <w:t xml:space="preserve">Podkreślenie niezwykle istotnej roli wydarzeń z roku 104 w przemianach politycznych schyłku Republiki zostało w przeszłości najmocniej wyeksponowane przez E.S. </w:t>
      </w:r>
      <w:proofErr w:type="spellStart"/>
      <w:r>
        <w:t>Gruena</w:t>
      </w:r>
      <w:proofErr w:type="spellEnd"/>
      <w:r>
        <w:t xml:space="preserve"> (E.S. </w:t>
      </w:r>
      <w:proofErr w:type="spellStart"/>
      <w:r>
        <w:t>Gruen</w:t>
      </w:r>
      <w:proofErr w:type="spellEnd"/>
      <w:r>
        <w:t xml:space="preserve">, </w:t>
      </w:r>
      <w:proofErr w:type="spellStart"/>
      <w:r>
        <w:rPr>
          <w:i/>
          <w:iCs/>
        </w:rPr>
        <w:t>Politics</w:t>
      </w:r>
      <w:proofErr w:type="spellEnd"/>
      <w:r>
        <w:rPr>
          <w:i/>
          <w:iCs/>
        </w:rPr>
        <w:t xml:space="preserve"> and the </w:t>
      </w:r>
      <w:proofErr w:type="spellStart"/>
      <w:r>
        <w:rPr>
          <w:i/>
          <w:iCs/>
        </w:rPr>
        <w:t>Courts</w:t>
      </w:r>
      <w:proofErr w:type="spellEnd"/>
      <w:r>
        <w:rPr>
          <w:i/>
          <w:iCs/>
        </w:rPr>
        <w:t xml:space="preserve"> in 104 B.C., </w:t>
      </w:r>
      <w:r>
        <w:t>„</w:t>
      </w:r>
      <w:proofErr w:type="spellStart"/>
      <w:r>
        <w:t>Transactions</w:t>
      </w:r>
      <w:proofErr w:type="spellEnd"/>
      <w:r>
        <w:t xml:space="preserve"> and </w:t>
      </w:r>
      <w:proofErr w:type="spellStart"/>
      <w:r>
        <w:t>Proceedings</w:t>
      </w:r>
      <w:proofErr w:type="spellEnd"/>
      <w:r>
        <w:t xml:space="preserve"> of the American </w:t>
      </w:r>
      <w:proofErr w:type="spellStart"/>
      <w:r>
        <w:t>Philological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” 1964, 95, s. 99-110. Fundamentalna jest też jego praca: E.S. </w:t>
      </w:r>
      <w:proofErr w:type="spellStart"/>
      <w:r>
        <w:t>Gruen</w:t>
      </w:r>
      <w:proofErr w:type="spellEnd"/>
      <w:r>
        <w:t xml:space="preserve">, </w:t>
      </w:r>
      <w:r>
        <w:rPr>
          <w:i/>
          <w:iCs/>
        </w:rPr>
        <w:t xml:space="preserve">Roman </w:t>
      </w:r>
      <w:proofErr w:type="spellStart"/>
      <w:r>
        <w:rPr>
          <w:i/>
          <w:iCs/>
        </w:rPr>
        <w:t>Politics</w:t>
      </w:r>
      <w:proofErr w:type="spellEnd"/>
      <w:r>
        <w:rPr>
          <w:i/>
          <w:iCs/>
        </w:rPr>
        <w:t xml:space="preserve">…, </w:t>
      </w:r>
      <w:r>
        <w:t xml:space="preserve">ed. cit., </w:t>
      </w:r>
      <w:proofErr w:type="spellStart"/>
      <w:r>
        <w:t>szczeg</w:t>
      </w:r>
      <w:proofErr w:type="spellEnd"/>
      <w:r>
        <w:t xml:space="preserve">. s. 163-177). Z kolei największy wpływ na właściwe postrzeganie społecznej historii Republiki z okresu tzw. </w:t>
      </w:r>
      <w:r>
        <w:rPr>
          <w:lang w:val="en-US"/>
        </w:rPr>
        <w:t>„</w:t>
      </w:r>
      <w:r>
        <w:t>dominacji Mariusza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latach</w:t>
      </w:r>
      <w:proofErr w:type="spellEnd"/>
      <w:r>
        <w:rPr>
          <w:lang w:val="en-US"/>
        </w:rPr>
        <w:t xml:space="preserve"> 108-100</w:t>
      </w:r>
      <w:r>
        <w:t xml:space="preserve"> wnieśli tak wybitni znawcy tematu jak F. </w:t>
      </w:r>
      <w:proofErr w:type="spellStart"/>
      <w:r>
        <w:t>Münzer</w:t>
      </w:r>
      <w:proofErr w:type="spellEnd"/>
      <w:r>
        <w:t xml:space="preserve"> (F. </w:t>
      </w:r>
      <w:proofErr w:type="spellStart"/>
      <w:r>
        <w:t>Münzer</w:t>
      </w:r>
      <w:proofErr w:type="spellEnd"/>
      <w:r>
        <w:t xml:space="preserve">, </w:t>
      </w:r>
      <w:r>
        <w:rPr>
          <w:i/>
          <w:iCs/>
        </w:rPr>
        <w:t>op. cit.,</w:t>
      </w:r>
      <w:r>
        <w:t xml:space="preserve"> </w:t>
      </w:r>
      <w:proofErr w:type="spellStart"/>
      <w:r>
        <w:t>szczeg</w:t>
      </w:r>
      <w:proofErr w:type="spellEnd"/>
      <w:r>
        <w:t xml:space="preserve">. s. 283-297) i E. Badian (E. Badian, </w:t>
      </w:r>
      <w:proofErr w:type="spellStart"/>
      <w:r>
        <w:rPr>
          <w:i/>
          <w:iCs/>
        </w:rPr>
        <w:t>Foreign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Clientale</w:t>
      </w:r>
      <w:proofErr w:type="spellEnd"/>
      <w:r>
        <w:rPr>
          <w:i/>
          <w:iCs/>
        </w:rPr>
        <w:t xml:space="preserve"> (264-70 B.C.), </w:t>
      </w:r>
      <w:r>
        <w:t xml:space="preserve">Oxford 1958, </w:t>
      </w:r>
      <w:proofErr w:type="spellStart"/>
      <w:r>
        <w:t>szczeg</w:t>
      </w:r>
      <w:proofErr w:type="spellEnd"/>
      <w:r>
        <w:t xml:space="preserve">. s. 198nn; E. Badian, </w:t>
      </w:r>
      <w:proofErr w:type="spellStart"/>
      <w:r>
        <w:rPr>
          <w:i/>
          <w:iCs/>
        </w:rPr>
        <w:t>Marius</w:t>
      </w:r>
      <w:proofErr w:type="spellEnd"/>
      <w:r>
        <w:rPr>
          <w:i/>
          <w:iCs/>
        </w:rPr>
        <w:t xml:space="preserve"> and the Nobles</w:t>
      </w:r>
      <w:r>
        <w:t xml:space="preserve">, „Durham University </w:t>
      </w:r>
      <w:proofErr w:type="spellStart"/>
      <w:r>
        <w:t>Journal</w:t>
      </w:r>
      <w:proofErr w:type="spellEnd"/>
      <w:r>
        <w:t xml:space="preserve">” 1964, 36, s. 141-154.; E. Badian, </w:t>
      </w:r>
      <w:proofErr w:type="spellStart"/>
      <w:r>
        <w:rPr>
          <w:i/>
          <w:iCs/>
        </w:rPr>
        <w:t>Studies</w:t>
      </w:r>
      <w:proofErr w:type="spellEnd"/>
      <w:r>
        <w:rPr>
          <w:i/>
          <w:iCs/>
        </w:rPr>
        <w:t xml:space="preserve"> in Greek and Roman </w:t>
      </w:r>
      <w:proofErr w:type="spellStart"/>
      <w:r>
        <w:rPr>
          <w:i/>
          <w:iCs/>
        </w:rPr>
        <w:t>history</w:t>
      </w:r>
      <w:proofErr w:type="spellEnd"/>
      <w:r>
        <w:t xml:space="preserve">, Oxford 1964, </w:t>
      </w:r>
      <w:proofErr w:type="spellStart"/>
      <w:r>
        <w:t>szczeg</w:t>
      </w:r>
      <w:proofErr w:type="spellEnd"/>
      <w:r>
        <w:t xml:space="preserve">. s. 34-53; E. Badian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Death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Saturninus</w:t>
      </w:r>
      <w:proofErr w:type="spellEnd"/>
      <w:r>
        <w:t>, „</w:t>
      </w:r>
      <w:proofErr w:type="spellStart"/>
      <w:r>
        <w:t>Chiron</w:t>
      </w:r>
      <w:proofErr w:type="spellEnd"/>
      <w:r>
        <w:t xml:space="preserve">” 1984, 14, s. 101-147). Z oczywistych względów wielkim wsparciem przy badaniach nad wydarzeniami z roku 104 są też analizy poczynione przez biografów Mariusza. Do najważniejszych należą: T.F. </w:t>
      </w:r>
      <w:proofErr w:type="spellStart"/>
      <w:r>
        <w:t>Carney</w:t>
      </w:r>
      <w:proofErr w:type="spellEnd"/>
      <w:r>
        <w:t xml:space="preserve">, 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Biography</w:t>
      </w:r>
      <w:proofErr w:type="spellEnd"/>
      <w:r>
        <w:rPr>
          <w:i/>
          <w:iCs/>
        </w:rPr>
        <w:t xml:space="preserve"> of C. </w:t>
      </w:r>
      <w:proofErr w:type="spellStart"/>
      <w:r>
        <w:rPr>
          <w:i/>
          <w:iCs/>
        </w:rPr>
        <w:t>Marius</w:t>
      </w:r>
      <w:proofErr w:type="spellEnd"/>
      <w:r>
        <w:rPr>
          <w:i/>
          <w:iCs/>
        </w:rPr>
        <w:t xml:space="preserve">, </w:t>
      </w:r>
      <w:r>
        <w:t xml:space="preserve">Chicago 1961, </w:t>
      </w:r>
      <w:proofErr w:type="spellStart"/>
      <w:r>
        <w:t>szczeg</w:t>
      </w:r>
      <w:proofErr w:type="spellEnd"/>
      <w:r>
        <w:t xml:space="preserve">. s. 32-35; P. </w:t>
      </w:r>
      <w:proofErr w:type="spellStart"/>
      <w:r>
        <w:t>Kildahl</w:t>
      </w:r>
      <w:proofErr w:type="spellEnd"/>
      <w:r>
        <w:t xml:space="preserve">, </w:t>
      </w:r>
      <w:proofErr w:type="spellStart"/>
      <w:r>
        <w:rPr>
          <w:i/>
          <w:iCs/>
        </w:rPr>
        <w:t>Caius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Marius</w:t>
      </w:r>
      <w:proofErr w:type="spellEnd"/>
      <w:r>
        <w:t xml:space="preserve">, New York 1968, s. 105-107; R. Evans, </w:t>
      </w:r>
      <w:proofErr w:type="spellStart"/>
      <w:r>
        <w:rPr>
          <w:i/>
          <w:iCs/>
        </w:rPr>
        <w:t>Gaius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Marius</w:t>
      </w:r>
      <w:proofErr w:type="spellEnd"/>
      <w:r>
        <w:rPr>
          <w:i/>
          <w:iCs/>
        </w:rPr>
        <w:t xml:space="preserve">. </w:t>
      </w:r>
      <w:r>
        <w:rPr>
          <w:i/>
          <w:iCs/>
          <w:lang w:val="en-US"/>
        </w:rPr>
        <w:t>A political Biography</w:t>
      </w:r>
      <w:r>
        <w:rPr>
          <w:lang w:val="en-US"/>
        </w:rPr>
        <w:t xml:space="preserve">, Pretoria 1994,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 xml:space="preserve">. s. 78-82, 152-168; M. </w:t>
      </w:r>
      <w:proofErr w:type="spellStart"/>
      <w:r>
        <w:rPr>
          <w:lang w:val="en-US"/>
        </w:rPr>
        <w:t>Labitzke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Marius. Der </w:t>
      </w:r>
      <w:proofErr w:type="spellStart"/>
      <w:r>
        <w:rPr>
          <w:i/>
          <w:iCs/>
          <w:lang w:val="en-US"/>
        </w:rPr>
        <w:t>verleumdete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Retter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Roms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Münster</w:t>
      </w:r>
      <w:proofErr w:type="spellEnd"/>
      <w:r>
        <w:rPr>
          <w:lang w:val="en-US"/>
        </w:rPr>
        <w:t xml:space="preserve"> 2013,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 xml:space="preserve">. s. 102-123. </w:t>
      </w:r>
    </w:p>
  </w:footnote>
  <w:footnote w:id="2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Vell</w:t>
      </w:r>
      <w:proofErr w:type="spellEnd"/>
      <w:r>
        <w:rPr>
          <w:lang w:val="en-US"/>
        </w:rPr>
        <w:t xml:space="preserve">., 2.11.3: </w:t>
      </w:r>
      <w:proofErr w:type="spellStart"/>
      <w:r>
        <w:rPr>
          <w:i/>
          <w:iCs/>
          <w:lang w:val="en-US"/>
        </w:rPr>
        <w:t>Ut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paulo</w:t>
      </w:r>
      <w:proofErr w:type="spellEnd"/>
      <w:r>
        <w:rPr>
          <w:i/>
          <w:iCs/>
          <w:lang w:val="en-US"/>
        </w:rPr>
        <w:t xml:space="preserve"> ante </w:t>
      </w:r>
      <w:proofErr w:type="spellStart"/>
      <w:r>
        <w:rPr>
          <w:i/>
          <w:iCs/>
          <w:lang w:val="en-US"/>
        </w:rPr>
        <w:t>Domitiae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familiae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ita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Caeciliae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notanda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claritudo</w:t>
      </w:r>
      <w:proofErr w:type="spellEnd"/>
      <w:r>
        <w:rPr>
          <w:i/>
          <w:iCs/>
          <w:lang w:val="en-US"/>
        </w:rPr>
        <w:t xml:space="preserve"> est. </w:t>
      </w:r>
      <w:proofErr w:type="spellStart"/>
      <w:r>
        <w:rPr>
          <w:i/>
          <w:iCs/>
          <w:lang w:val="en-US"/>
        </w:rPr>
        <w:t>Quippe</w:t>
      </w:r>
      <w:proofErr w:type="spellEnd"/>
      <w:r>
        <w:rPr>
          <w:i/>
          <w:iCs/>
          <w:lang w:val="en-US"/>
        </w:rPr>
        <w:t xml:space="preserve"> intra </w:t>
      </w:r>
      <w:proofErr w:type="spellStart"/>
      <w:r>
        <w:rPr>
          <w:i/>
          <w:iCs/>
          <w:lang w:val="en-US"/>
        </w:rPr>
        <w:t>duodecim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ferme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annos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huius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temporis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consules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fuere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Metelli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aut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censores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aut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triumpharunt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amplius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duodecies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ut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appareat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quemadmodum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urbium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imperiorumque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ita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gentium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nunc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florere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fortunam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nunc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senescere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nunc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interire</w:t>
      </w:r>
      <w:proofErr w:type="spellEnd"/>
      <w:r>
        <w:rPr>
          <w:lang w:val="en-US"/>
        </w:rPr>
        <w:t xml:space="preserve"> („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chwilą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Domicjuszów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pragnę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zwrócić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uwagę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świetność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Cecyliuszów</w:t>
      </w:r>
      <w:proofErr w:type="spellEnd"/>
      <w:r>
        <w:rPr>
          <w:lang w:val="en-US"/>
        </w:rPr>
        <w:t xml:space="preserve">. </w:t>
      </w:r>
      <w:r>
        <w:t xml:space="preserve">W tym okresie, w ciągu około dwunastu lat więcej niż dwunastu </w:t>
      </w:r>
      <w:proofErr w:type="spellStart"/>
      <w:r>
        <w:t>Metellusów</w:t>
      </w:r>
      <w:proofErr w:type="spellEnd"/>
      <w:r>
        <w:t xml:space="preserve"> było bądź konsulami, bądź cenzorami, bądź zaszczyconymi triumfem wodzami. Z tego widać, że szczęście poszczególnych rodów, podobnie jak szczęście miast i państw, ma swój etap rozkwitu, starości, upadku”; przeł. E. </w:t>
      </w:r>
      <w:proofErr w:type="spellStart"/>
      <w:r>
        <w:t>Zwolski</w:t>
      </w:r>
      <w:proofErr w:type="spellEnd"/>
      <w:r>
        <w:t xml:space="preserve">). </w:t>
      </w:r>
    </w:p>
  </w:footnote>
  <w:footnote w:id="2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tab/>
        <w:t xml:space="preserve">Osiągnięte magistratury przez synów Kw. Cecyliusza </w:t>
      </w:r>
      <w:proofErr w:type="spellStart"/>
      <w:r>
        <w:t>Metellusa</w:t>
      </w:r>
      <w:proofErr w:type="spellEnd"/>
      <w:r>
        <w:t xml:space="preserve"> Macedońskiego (cos. 143) oraz L. Cecyliusza </w:t>
      </w:r>
      <w:proofErr w:type="spellStart"/>
      <w:r>
        <w:t>Metellusa</w:t>
      </w:r>
      <w:proofErr w:type="spellEnd"/>
      <w:r>
        <w:t xml:space="preserve"> </w:t>
      </w:r>
      <w:proofErr w:type="spellStart"/>
      <w:r>
        <w:t>Kalwusa</w:t>
      </w:r>
      <w:proofErr w:type="spellEnd"/>
      <w:r>
        <w:t xml:space="preserve"> (cos. 142): Kw. </w:t>
      </w:r>
      <w:proofErr w:type="spellStart"/>
      <w:r>
        <w:rPr>
          <w:lang w:val="en-US"/>
        </w:rPr>
        <w:t>Cecyliusz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Balearyjski</w:t>
      </w:r>
      <w:proofErr w:type="spellEnd"/>
      <w:r>
        <w:rPr>
          <w:lang w:val="en-US"/>
        </w:rPr>
        <w:t xml:space="preserve"> (cos. 123, </w:t>
      </w:r>
      <w:proofErr w:type="spellStart"/>
      <w:r>
        <w:rPr>
          <w:lang w:val="en-US"/>
        </w:rPr>
        <w:t>cens</w:t>
      </w:r>
      <w:proofErr w:type="spellEnd"/>
      <w:r>
        <w:rPr>
          <w:lang w:val="en-US"/>
        </w:rPr>
        <w:t xml:space="preserve">. 120), L. </w:t>
      </w:r>
      <w:proofErr w:type="spellStart"/>
      <w:r>
        <w:rPr>
          <w:lang w:val="en-US"/>
        </w:rPr>
        <w:t>Cecyliusz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Dalmatyński</w:t>
      </w:r>
      <w:proofErr w:type="spellEnd"/>
      <w:r>
        <w:rPr>
          <w:lang w:val="en-US"/>
        </w:rPr>
        <w:t xml:space="preserve"> (cos. 119, </w:t>
      </w:r>
      <w:proofErr w:type="spellStart"/>
      <w:r>
        <w:rPr>
          <w:lang w:val="en-US"/>
        </w:rPr>
        <w:t>cens</w:t>
      </w:r>
      <w:proofErr w:type="spellEnd"/>
      <w:r>
        <w:rPr>
          <w:lang w:val="en-US"/>
        </w:rPr>
        <w:t xml:space="preserve">. 115, Pont. Max. c. 114), L. </w:t>
      </w:r>
      <w:proofErr w:type="spellStart"/>
      <w:r>
        <w:rPr>
          <w:lang w:val="en-US"/>
        </w:rPr>
        <w:t>Cecyliusz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Diadematus</w:t>
      </w:r>
      <w:proofErr w:type="spellEnd"/>
      <w:r>
        <w:rPr>
          <w:lang w:val="en-US"/>
        </w:rPr>
        <w:t xml:space="preserve"> (cos. 117), M. </w:t>
      </w:r>
      <w:proofErr w:type="spellStart"/>
      <w:r>
        <w:rPr>
          <w:lang w:val="en-US"/>
        </w:rPr>
        <w:t>Cecyliusz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Metellus</w:t>
      </w:r>
      <w:proofErr w:type="spellEnd"/>
      <w:r>
        <w:rPr>
          <w:lang w:val="en-US"/>
        </w:rPr>
        <w:t xml:space="preserve"> (cos. 115), G. </w:t>
      </w:r>
      <w:proofErr w:type="spellStart"/>
      <w:r>
        <w:rPr>
          <w:lang w:val="en-US"/>
        </w:rPr>
        <w:t>Cecyliusz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Metellus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Kaprariusz</w:t>
      </w:r>
      <w:proofErr w:type="spellEnd"/>
      <w:r>
        <w:rPr>
          <w:lang w:val="en-US"/>
        </w:rPr>
        <w:t xml:space="preserve"> (cos. 113, </w:t>
      </w:r>
      <w:proofErr w:type="spellStart"/>
      <w:r>
        <w:rPr>
          <w:lang w:val="en-US"/>
        </w:rPr>
        <w:t>cens</w:t>
      </w:r>
      <w:proofErr w:type="spellEnd"/>
      <w:r>
        <w:rPr>
          <w:lang w:val="en-US"/>
        </w:rPr>
        <w:t xml:space="preserve">. </w:t>
      </w:r>
      <w:r>
        <w:t xml:space="preserve">102), Kw. Cecyliusz </w:t>
      </w:r>
      <w:proofErr w:type="spellStart"/>
      <w:r>
        <w:t>Metellus</w:t>
      </w:r>
      <w:proofErr w:type="spellEnd"/>
      <w:r>
        <w:t xml:space="preserve"> Numidyjski (cos. 109, </w:t>
      </w:r>
      <w:proofErr w:type="spellStart"/>
      <w:r>
        <w:t>cens</w:t>
      </w:r>
      <w:proofErr w:type="spellEnd"/>
      <w:r>
        <w:t xml:space="preserve">. 102). Triumfu nie odbył jedynie </w:t>
      </w:r>
      <w:proofErr w:type="spellStart"/>
      <w:r>
        <w:t>Diadematus</w:t>
      </w:r>
      <w:proofErr w:type="spellEnd"/>
      <w:r>
        <w:t>, patrz MRR I, s. 512, 523, 525, 528, 529, 531, 534, 535, 541, 545, 554, 567.</w:t>
      </w:r>
    </w:p>
  </w:footnote>
  <w:footnote w:id="2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Na temat domu </w:t>
      </w:r>
      <w:proofErr w:type="spellStart"/>
      <w:r>
        <w:t>Cecyliuszy</w:t>
      </w:r>
      <w:proofErr w:type="spellEnd"/>
      <w:r>
        <w:t xml:space="preserve"> </w:t>
      </w:r>
      <w:proofErr w:type="spellStart"/>
      <w:r>
        <w:t>Metellusów</w:t>
      </w:r>
      <w:proofErr w:type="spellEnd"/>
      <w:r>
        <w:t xml:space="preserve"> i </w:t>
      </w:r>
      <w:proofErr w:type="spellStart"/>
      <w:r>
        <w:rPr>
          <w:i/>
          <w:iCs/>
        </w:rPr>
        <w:t>factio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Metelli</w:t>
      </w:r>
      <w:proofErr w:type="spellEnd"/>
      <w:r>
        <w:rPr>
          <w:i/>
          <w:iCs/>
        </w:rPr>
        <w:t>,</w:t>
      </w:r>
      <w:r>
        <w:t xml:space="preserve"> zob. W. </w:t>
      </w:r>
      <w:proofErr w:type="spellStart"/>
      <w:r>
        <w:t>Drumann</w:t>
      </w:r>
      <w:proofErr w:type="spellEnd"/>
      <w:r>
        <w:t xml:space="preserve">, P. </w:t>
      </w:r>
      <w:proofErr w:type="spellStart"/>
      <w:r>
        <w:t>Groebe</w:t>
      </w:r>
      <w:proofErr w:type="spellEnd"/>
      <w:r>
        <w:t xml:space="preserve">, </w:t>
      </w:r>
      <w:proofErr w:type="spellStart"/>
      <w:r>
        <w:rPr>
          <w:i/>
          <w:iCs/>
        </w:rPr>
        <w:t>Geschichte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Roms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seinem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Ubergange</w:t>
      </w:r>
      <w:proofErr w:type="spellEnd"/>
      <w:r>
        <w:rPr>
          <w:i/>
          <w:iCs/>
        </w:rPr>
        <w:t xml:space="preserve"> von der repub1ikanischen </w:t>
      </w:r>
      <w:proofErr w:type="spellStart"/>
      <w:r>
        <w:rPr>
          <w:i/>
          <w:iCs/>
        </w:rPr>
        <w:t>zur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monarchischen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Verfassung</w:t>
      </w:r>
      <w:proofErr w:type="spellEnd"/>
      <w:r>
        <w:t xml:space="preserve">, vol. </w:t>
      </w:r>
      <w:r>
        <w:rPr>
          <w:lang w:val="en-US"/>
        </w:rPr>
        <w:t xml:space="preserve">II, Leipzig 1902, s. 18-33; M.G. Morgan,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156-225;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Roman Politics…, </w:t>
      </w:r>
      <w:r>
        <w:rPr>
          <w:lang w:val="en-US"/>
        </w:rPr>
        <w:t xml:space="preserve">ed. cit., G.C. Sampson, </w:t>
      </w:r>
      <w:r>
        <w:rPr>
          <w:i/>
          <w:iCs/>
          <w:lang w:val="en-US"/>
        </w:rPr>
        <w:t xml:space="preserve">The Crisis of Rome. The Jugurthine and Northern Wars and the Rise of Marius, </w:t>
      </w:r>
      <w:proofErr w:type="spellStart"/>
      <w:r>
        <w:rPr>
          <w:lang w:val="en-US"/>
        </w:rPr>
        <w:t>Barnsley</w:t>
      </w:r>
      <w:proofErr w:type="spellEnd"/>
      <w:r>
        <w:rPr>
          <w:lang w:val="en-US"/>
        </w:rPr>
        <w:t xml:space="preserve"> 2010, s. 212-214.</w:t>
      </w:r>
    </w:p>
  </w:footnote>
  <w:footnote w:id="2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Kwestia celtyckości Cymbrów wydaje się obecnie całkowicie przesądzona, zob. K. </w:t>
      </w:r>
      <w:proofErr w:type="spellStart"/>
      <w:r>
        <w:t>Bringmann</w:t>
      </w:r>
      <w:proofErr w:type="spellEnd"/>
      <w:r>
        <w:t xml:space="preserve">, </w:t>
      </w:r>
      <w:r>
        <w:rPr>
          <w:i/>
          <w:iCs/>
        </w:rPr>
        <w:t>op. cit.,</w:t>
      </w:r>
      <w:r>
        <w:t xml:space="preserve"> s. 214-217; A. Ziółkowski, </w:t>
      </w:r>
      <w:r>
        <w:rPr>
          <w:i/>
          <w:iCs/>
        </w:rPr>
        <w:t>Historia Powszechna. Starożytność</w:t>
      </w:r>
      <w:r>
        <w:t xml:space="preserve">, Poznań 2013, s. 1298-1300, a szerzej np. </w:t>
      </w:r>
      <w:r>
        <w:rPr>
          <w:lang w:val="en-US"/>
        </w:rPr>
        <w:t xml:space="preserve">P.S. Wells, </w:t>
      </w:r>
      <w:r>
        <w:rPr>
          <w:i/>
          <w:iCs/>
          <w:lang w:val="en-US"/>
        </w:rPr>
        <w:t>Beyond Celts, Germans and Scythians. Archeology and Identity in Iron Age Europe</w:t>
      </w:r>
      <w:r>
        <w:rPr>
          <w:lang w:val="en-US"/>
        </w:rPr>
        <w:t xml:space="preserve">, London 2001; J. Collins, </w:t>
      </w:r>
      <w:r>
        <w:rPr>
          <w:i/>
          <w:iCs/>
          <w:lang w:val="en-US"/>
        </w:rPr>
        <w:t>The Celts. Origins, Myths &amp; Inventions</w:t>
      </w:r>
      <w:r>
        <w:rPr>
          <w:lang w:val="en-US"/>
        </w:rPr>
        <w:t xml:space="preserve">, Stroud 2004. </w:t>
      </w:r>
    </w:p>
  </w:footnote>
  <w:footnote w:id="2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Zob</w:t>
      </w:r>
      <w:proofErr w:type="spellEnd"/>
      <w:r>
        <w:rPr>
          <w:lang w:val="en-US"/>
        </w:rPr>
        <w:t xml:space="preserve">. np. E. </w:t>
      </w:r>
      <w:proofErr w:type="spellStart"/>
      <w:r>
        <w:rPr>
          <w:lang w:val="en-US"/>
        </w:rPr>
        <w:t>Koestermann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Der Zug der </w:t>
      </w:r>
      <w:proofErr w:type="spellStart"/>
      <w:r>
        <w:rPr>
          <w:i/>
          <w:iCs/>
          <w:lang w:val="en-US"/>
        </w:rPr>
        <w:t>Cimbern</w:t>
      </w:r>
      <w:proofErr w:type="spellEnd"/>
      <w:r>
        <w:rPr>
          <w:lang w:val="en-US"/>
        </w:rPr>
        <w:t xml:space="preserve">, „Gymnasium” 1969, 76,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 xml:space="preserve">. s. 310-315; T. </w:t>
      </w:r>
      <w:proofErr w:type="spellStart"/>
      <w:r>
        <w:rPr>
          <w:lang w:val="en-US"/>
        </w:rPr>
        <w:t>Luginbühl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Les </w:t>
      </w:r>
      <w:proofErr w:type="spellStart"/>
      <w:r>
        <w:rPr>
          <w:i/>
          <w:iCs/>
          <w:lang w:val="en-US"/>
        </w:rPr>
        <w:t>Cimbres</w:t>
      </w:r>
      <w:proofErr w:type="spellEnd"/>
      <w:r>
        <w:rPr>
          <w:i/>
          <w:iCs/>
          <w:lang w:val="en-US"/>
        </w:rPr>
        <w:t xml:space="preserve"> et les </w:t>
      </w:r>
      <w:proofErr w:type="spellStart"/>
      <w:r>
        <w:rPr>
          <w:i/>
          <w:iCs/>
          <w:lang w:val="en-US"/>
        </w:rPr>
        <w:t>Teutons</w:t>
      </w:r>
      <w:proofErr w:type="spellEnd"/>
      <w:r>
        <w:rPr>
          <w:i/>
          <w:iCs/>
          <w:lang w:val="en-US"/>
        </w:rPr>
        <w:t xml:space="preserve">, histoire </w:t>
      </w:r>
      <w:proofErr w:type="spellStart"/>
      <w:r>
        <w:rPr>
          <w:i/>
          <w:iCs/>
          <w:lang w:val="en-US"/>
        </w:rPr>
        <w:t>d’une</w:t>
      </w:r>
      <w:proofErr w:type="spellEnd"/>
      <w:r>
        <w:rPr>
          <w:i/>
          <w:iCs/>
          <w:lang w:val="en-US"/>
        </w:rPr>
        <w:t xml:space="preserve"> migration, </w:t>
      </w:r>
      <w:r>
        <w:rPr>
          <w:lang w:val="en-US"/>
        </w:rPr>
        <w:t>„</w:t>
      </w:r>
      <w:proofErr w:type="spellStart"/>
      <w:r>
        <w:rPr>
          <w:lang w:val="en-US"/>
        </w:rPr>
        <w:t>Chronozones</w:t>
      </w:r>
      <w:proofErr w:type="spellEnd"/>
      <w:r>
        <w:rPr>
          <w:lang w:val="en-US"/>
        </w:rPr>
        <w:t xml:space="preserve">” 1995, 2, s. 14-29; D. </w:t>
      </w:r>
      <w:proofErr w:type="spellStart"/>
      <w:r>
        <w:rPr>
          <w:lang w:val="en-US"/>
        </w:rPr>
        <w:t>Timpe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Römisch-germanische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Begegnung</w:t>
      </w:r>
      <w:proofErr w:type="spellEnd"/>
      <w:r>
        <w:rPr>
          <w:i/>
          <w:iCs/>
          <w:lang w:val="en-US"/>
        </w:rPr>
        <w:t xml:space="preserve"> in der </w:t>
      </w:r>
      <w:proofErr w:type="spellStart"/>
      <w:r>
        <w:rPr>
          <w:i/>
          <w:iCs/>
          <w:lang w:val="en-US"/>
        </w:rPr>
        <w:t>späten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Republik</w:t>
      </w:r>
      <w:proofErr w:type="spellEnd"/>
      <w:r>
        <w:rPr>
          <w:i/>
          <w:iCs/>
          <w:lang w:val="en-US"/>
        </w:rPr>
        <w:t xml:space="preserve"> und </w:t>
      </w:r>
      <w:proofErr w:type="spellStart"/>
      <w:r>
        <w:rPr>
          <w:i/>
          <w:iCs/>
          <w:lang w:val="en-US"/>
        </w:rPr>
        <w:t>frühen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Kaiserzeit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München</w:t>
      </w:r>
      <w:proofErr w:type="spellEnd"/>
      <w:r>
        <w:rPr>
          <w:lang w:val="en-US"/>
        </w:rPr>
        <w:t xml:space="preserve">-Leipzig 2006, s. 42-66; A. </w:t>
      </w:r>
      <w:proofErr w:type="spellStart"/>
      <w:r>
        <w:rPr>
          <w:lang w:val="en-US"/>
        </w:rPr>
        <w:t>Ziółkowski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Historia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Rzymu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ed. cit., s. 320. </w:t>
      </w:r>
    </w:p>
  </w:footnote>
  <w:footnote w:id="2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np. G. </w:t>
      </w:r>
      <w:proofErr w:type="spellStart"/>
      <w:r>
        <w:rPr>
          <w:lang w:val="en-US"/>
        </w:rPr>
        <w:t>Dobesch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Die </w:t>
      </w:r>
      <w:proofErr w:type="spellStart"/>
      <w:r>
        <w:rPr>
          <w:i/>
          <w:iCs/>
          <w:lang w:val="en-US"/>
        </w:rPr>
        <w:t>Kimbern</w:t>
      </w:r>
      <w:proofErr w:type="spellEnd"/>
      <w:r>
        <w:rPr>
          <w:i/>
          <w:iCs/>
          <w:lang w:val="en-US"/>
        </w:rPr>
        <w:t xml:space="preserve"> in den </w:t>
      </w:r>
      <w:proofErr w:type="spellStart"/>
      <w:r>
        <w:rPr>
          <w:i/>
          <w:iCs/>
          <w:lang w:val="en-US"/>
        </w:rPr>
        <w:t>Ostalpen</w:t>
      </w:r>
      <w:proofErr w:type="spellEnd"/>
      <w:r>
        <w:rPr>
          <w:i/>
          <w:iCs/>
          <w:lang w:val="en-US"/>
        </w:rPr>
        <w:t xml:space="preserve"> und die </w:t>
      </w:r>
      <w:proofErr w:type="spellStart"/>
      <w:r>
        <w:rPr>
          <w:i/>
          <w:iCs/>
          <w:lang w:val="en-US"/>
        </w:rPr>
        <w:t>Schlacht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bei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Noreia</w:t>
      </w:r>
      <w:proofErr w:type="spellEnd"/>
      <w:r>
        <w:rPr>
          <w:lang w:val="en-US"/>
        </w:rPr>
        <w:t xml:space="preserve">, [w:] </w:t>
      </w:r>
      <w:r>
        <w:rPr>
          <w:i/>
          <w:iCs/>
          <w:lang w:val="en-US"/>
        </w:rPr>
        <w:t xml:space="preserve">Mitt. der </w:t>
      </w:r>
      <w:proofErr w:type="spellStart"/>
      <w:r>
        <w:rPr>
          <w:i/>
          <w:iCs/>
          <w:lang w:val="en-US"/>
        </w:rPr>
        <w:t>österreichischen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Arbeitsgemeinschaft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für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Urund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Frühgesch</w:t>
      </w:r>
      <w:proofErr w:type="spellEnd"/>
      <w:r>
        <w:rPr>
          <w:lang w:val="en-US"/>
        </w:rPr>
        <w:t xml:space="preserve">, 1982, 32, s. 51-78; G. Neumann, Th. </w:t>
      </w:r>
      <w:proofErr w:type="spellStart"/>
      <w:r>
        <w:rPr>
          <w:lang w:val="en-US"/>
        </w:rPr>
        <w:t>Grünewald</w:t>
      </w:r>
      <w:proofErr w:type="spellEnd"/>
      <w:r>
        <w:rPr>
          <w:lang w:val="en-US"/>
        </w:rPr>
        <w:t>, J. Martens</w:t>
      </w:r>
      <w:r>
        <w:rPr>
          <w:i/>
          <w:iCs/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Kimbern</w:t>
      </w:r>
      <w:proofErr w:type="spellEnd"/>
      <w:r>
        <w:rPr>
          <w:lang w:val="en-US"/>
        </w:rPr>
        <w:t>, „</w:t>
      </w:r>
      <w:proofErr w:type="spellStart"/>
      <w:r>
        <w:rPr>
          <w:lang w:val="en-US"/>
        </w:rPr>
        <w:t>Reallexikon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Germanischen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Altertumskunde</w:t>
      </w:r>
      <w:proofErr w:type="spellEnd"/>
      <w:r>
        <w:rPr>
          <w:lang w:val="en-US"/>
        </w:rPr>
        <w:t xml:space="preserve">” 2000, 16, s. 493–504; R. Evans, </w:t>
      </w:r>
      <w:r>
        <w:rPr>
          <w:i/>
          <w:iCs/>
          <w:lang w:val="en-US"/>
        </w:rPr>
        <w:t xml:space="preserve">Rome’s </w:t>
      </w:r>
      <w:proofErr w:type="spellStart"/>
      <w:r>
        <w:rPr>
          <w:i/>
          <w:iCs/>
          <w:lang w:val="en-US"/>
        </w:rPr>
        <w:t>Cimbric</w:t>
      </w:r>
      <w:proofErr w:type="spellEnd"/>
      <w:r>
        <w:rPr>
          <w:i/>
          <w:iCs/>
          <w:lang w:val="en-US"/>
        </w:rPr>
        <w:t xml:space="preserve"> Wars (114-101 B.C.) and their impact on the Iberian Peninsula, </w:t>
      </w:r>
      <w:r>
        <w:rPr>
          <w:lang w:val="en-US"/>
        </w:rPr>
        <w:t>„</w:t>
      </w:r>
      <w:proofErr w:type="spellStart"/>
      <w:r>
        <w:rPr>
          <w:lang w:val="en-US"/>
        </w:rPr>
        <w:t>Acta</w:t>
      </w:r>
      <w:proofErr w:type="spellEnd"/>
      <w:r>
        <w:rPr>
          <w:lang w:val="en-US"/>
        </w:rPr>
        <w:t xml:space="preserve"> Classica” 2005, 48, s. 37-41. </w:t>
      </w:r>
    </w:p>
  </w:footnote>
  <w:footnote w:id="27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MRR I, s. 545. </w:t>
      </w:r>
    </w:p>
  </w:footnote>
  <w:footnote w:id="28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Ascon</w:t>
      </w:r>
      <w:proofErr w:type="spellEnd"/>
      <w:r>
        <w:rPr>
          <w:lang w:val="en-US"/>
        </w:rPr>
        <w:t xml:space="preserve">., 68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80C; Liv., </w:t>
      </w:r>
      <w:r>
        <w:rPr>
          <w:i/>
          <w:iCs/>
          <w:lang w:val="en-US"/>
        </w:rPr>
        <w:t>Per.,</w:t>
      </w:r>
      <w:r>
        <w:rPr>
          <w:lang w:val="en-US"/>
        </w:rPr>
        <w:t xml:space="preserve"> 65. </w:t>
      </w:r>
    </w:p>
  </w:footnote>
  <w:footnote w:id="29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MRR I, s. 550. </w:t>
      </w:r>
    </w:p>
  </w:footnote>
  <w:footnote w:id="30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Por. np. </w:t>
      </w:r>
      <w:r>
        <w:rPr>
          <w:lang w:val="en-US"/>
        </w:rPr>
        <w:t xml:space="preserve">G.C. Sampson, </w:t>
      </w:r>
      <w:r>
        <w:rPr>
          <w:i/>
          <w:iCs/>
          <w:lang w:val="en-US"/>
        </w:rPr>
        <w:t>op. cit.</w:t>
      </w:r>
      <w:r>
        <w:rPr>
          <w:lang w:val="en-US"/>
        </w:rPr>
        <w:t xml:space="preserve">, s. 130-141; R. Evans, </w:t>
      </w:r>
      <w:r>
        <w:rPr>
          <w:i/>
          <w:iCs/>
          <w:lang w:val="en-US"/>
        </w:rPr>
        <w:t xml:space="preserve">Fields of Death: Retracing Ancient Battlefields, </w:t>
      </w:r>
      <w:proofErr w:type="spellStart"/>
      <w:r>
        <w:rPr>
          <w:lang w:val="en-US"/>
        </w:rPr>
        <w:t>Barnsley</w:t>
      </w:r>
      <w:proofErr w:type="spellEnd"/>
      <w:r>
        <w:rPr>
          <w:lang w:val="en-US"/>
        </w:rPr>
        <w:t xml:space="preserve"> 2013, s. 133-138. </w:t>
      </w:r>
    </w:p>
  </w:footnote>
  <w:footnote w:id="3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 w:rsidR="00F8296F">
        <w:rPr>
          <w:lang w:val="en-US"/>
        </w:rPr>
        <w:t>Sall</w:t>
      </w:r>
      <w:proofErr w:type="spellEnd"/>
      <w:r w:rsidR="00F8296F">
        <w:rPr>
          <w:lang w:val="en-US"/>
        </w:rPr>
        <w:t xml:space="preserve">., </w:t>
      </w:r>
      <w:r w:rsidR="00F8296F">
        <w:rPr>
          <w:i/>
          <w:iCs/>
          <w:lang w:val="en-US"/>
        </w:rPr>
        <w:t xml:space="preserve">BI, </w:t>
      </w:r>
      <w:r w:rsidR="00F8296F">
        <w:rPr>
          <w:lang w:val="en-US"/>
        </w:rPr>
        <w:t xml:space="preserve">114.1; </w:t>
      </w:r>
      <w:proofErr w:type="spellStart"/>
      <w:r w:rsidR="00F8296F">
        <w:rPr>
          <w:lang w:val="en-US"/>
        </w:rPr>
        <w:t>Diod</w:t>
      </w:r>
      <w:proofErr w:type="spellEnd"/>
      <w:r w:rsidR="00F8296F">
        <w:rPr>
          <w:lang w:val="en-US"/>
        </w:rPr>
        <w:t xml:space="preserve">. Sic., 34-35.37; </w:t>
      </w:r>
      <w:proofErr w:type="spellStart"/>
      <w:r>
        <w:rPr>
          <w:lang w:val="en-US"/>
        </w:rPr>
        <w:t>Eutrop</w:t>
      </w:r>
      <w:proofErr w:type="spellEnd"/>
      <w:r>
        <w:rPr>
          <w:lang w:val="en-US"/>
        </w:rPr>
        <w:t>., 5.1.2;</w:t>
      </w:r>
      <w:r w:rsidR="00F8296F">
        <w:rPr>
          <w:lang w:val="en-US"/>
        </w:rPr>
        <w:t xml:space="preserve"> </w:t>
      </w:r>
      <w:proofErr w:type="spellStart"/>
      <w:r w:rsidR="00F8296F">
        <w:rPr>
          <w:lang w:val="en-US"/>
        </w:rPr>
        <w:t>Oros</w:t>
      </w:r>
      <w:proofErr w:type="spellEnd"/>
      <w:r w:rsidR="00F8296F">
        <w:rPr>
          <w:lang w:val="en-US"/>
        </w:rPr>
        <w:t>., 5.16.7</w:t>
      </w:r>
      <w:r>
        <w:rPr>
          <w:lang w:val="en-US"/>
        </w:rPr>
        <w:t xml:space="preserve">. </w:t>
      </w:r>
      <w:r>
        <w:t xml:space="preserve">Patrz. też: D. </w:t>
      </w:r>
      <w:proofErr w:type="spellStart"/>
      <w:r>
        <w:t>Słapek</w:t>
      </w:r>
      <w:proofErr w:type="spellEnd"/>
      <w:r>
        <w:t xml:space="preserve">, </w:t>
      </w:r>
      <w:r>
        <w:rPr>
          <w:i/>
          <w:iCs/>
        </w:rPr>
        <w:t xml:space="preserve">Rok 105 p.n.e. w rozwoju igrzysk gladiatorskich w republikańskim Rzymie, </w:t>
      </w:r>
      <w:r>
        <w:t xml:space="preserve">w: A. </w:t>
      </w:r>
      <w:proofErr w:type="spellStart"/>
      <w:r>
        <w:t>Kunisz</w:t>
      </w:r>
      <w:proofErr w:type="spellEnd"/>
      <w:r>
        <w:t xml:space="preserve"> (red.), </w:t>
      </w:r>
      <w:r>
        <w:rPr>
          <w:i/>
          <w:iCs/>
        </w:rPr>
        <w:t xml:space="preserve">W 2500-lecie powstania Republiki Rzymskiej, </w:t>
      </w:r>
      <w:r>
        <w:t xml:space="preserve">Katowice 1995, s. 110-121; H. </w:t>
      </w:r>
      <w:proofErr w:type="spellStart"/>
      <w:r>
        <w:t>Delbrück</w:t>
      </w:r>
      <w:proofErr w:type="spellEnd"/>
      <w:r>
        <w:t xml:space="preserve">, </w:t>
      </w:r>
      <w:r>
        <w:rPr>
          <w:i/>
          <w:iCs/>
        </w:rPr>
        <w:t xml:space="preserve">Antyczna sztuka wojenna. Republika Rzymska, </w:t>
      </w:r>
      <w:r>
        <w:t xml:space="preserve">przeł. P. </w:t>
      </w:r>
      <w:proofErr w:type="spellStart"/>
      <w:r>
        <w:t>Grysztar</w:t>
      </w:r>
      <w:proofErr w:type="spellEnd"/>
      <w:r>
        <w:t>, Oświęcim 2013, s. 170.</w:t>
      </w:r>
    </w:p>
  </w:footnote>
  <w:footnote w:id="3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t xml:space="preserve"> Plut., </w:t>
      </w:r>
      <w:proofErr w:type="spellStart"/>
      <w:r>
        <w:rPr>
          <w:i/>
          <w:iCs/>
        </w:rPr>
        <w:t>Luc</w:t>
      </w:r>
      <w:proofErr w:type="spellEnd"/>
      <w:r>
        <w:rPr>
          <w:i/>
          <w:iCs/>
        </w:rPr>
        <w:t xml:space="preserve">., </w:t>
      </w:r>
      <w:r>
        <w:t xml:space="preserve">27.8. </w:t>
      </w:r>
    </w:p>
  </w:footnote>
  <w:footnote w:id="3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Por. np. </w:t>
      </w:r>
      <w:r>
        <w:rPr>
          <w:lang w:val="en-US"/>
        </w:rPr>
        <w:t xml:space="preserve">J. </w:t>
      </w:r>
      <w:proofErr w:type="spellStart"/>
      <w:r>
        <w:rPr>
          <w:lang w:val="en-US"/>
        </w:rPr>
        <w:t>Lengle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Die </w:t>
      </w:r>
      <w:proofErr w:type="spellStart"/>
      <w:r>
        <w:rPr>
          <w:i/>
          <w:iCs/>
          <w:lang w:val="en-US"/>
        </w:rPr>
        <w:t>Verurteilung</w:t>
      </w:r>
      <w:proofErr w:type="spellEnd"/>
      <w:r>
        <w:rPr>
          <w:i/>
          <w:iCs/>
          <w:lang w:val="en-US"/>
        </w:rPr>
        <w:t xml:space="preserve"> der </w:t>
      </w:r>
      <w:proofErr w:type="spellStart"/>
      <w:r>
        <w:rPr>
          <w:i/>
          <w:iCs/>
          <w:lang w:val="en-US"/>
        </w:rPr>
        <w:t>Römischen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Feldherrn</w:t>
      </w:r>
      <w:proofErr w:type="spellEnd"/>
      <w:r>
        <w:rPr>
          <w:i/>
          <w:iCs/>
          <w:lang w:val="en-US"/>
        </w:rPr>
        <w:t xml:space="preserve"> von </w:t>
      </w:r>
      <w:proofErr w:type="spellStart"/>
      <w:r>
        <w:rPr>
          <w:i/>
          <w:iCs/>
          <w:lang w:val="en-US"/>
        </w:rPr>
        <w:t>Arausio</w:t>
      </w:r>
      <w:proofErr w:type="spellEnd"/>
      <w:r>
        <w:rPr>
          <w:lang w:val="en-US"/>
        </w:rPr>
        <w:t xml:space="preserve">, „Hermes” 1931, 66, 4, s. 302-316; P.A. Brunt, </w:t>
      </w:r>
      <w:r>
        <w:rPr>
          <w:i/>
          <w:iCs/>
          <w:lang w:val="en-US"/>
        </w:rPr>
        <w:t xml:space="preserve">Italian Manpower 225 B.C. – A.D. 14, </w:t>
      </w:r>
      <w:r>
        <w:rPr>
          <w:lang w:val="en-US"/>
        </w:rPr>
        <w:t xml:space="preserve">Oxford 1971, s. 685; G.C. Sampson, </w:t>
      </w:r>
      <w:r>
        <w:rPr>
          <w:i/>
          <w:iCs/>
          <w:lang w:val="en-US"/>
        </w:rPr>
        <w:t xml:space="preserve">op. cit., </w:t>
      </w:r>
      <w:r>
        <w:rPr>
          <w:lang w:val="en-US"/>
        </w:rPr>
        <w:t xml:space="preserve">s. 131-141. </w:t>
      </w:r>
    </w:p>
  </w:footnote>
  <w:footnote w:id="3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rPr>
          <w:lang w:val="en-US"/>
        </w:rPr>
        <w:tab/>
        <w:t xml:space="preserve"> Por. </w:t>
      </w:r>
      <w:r>
        <w:t xml:space="preserve">F. </w:t>
      </w:r>
      <w:proofErr w:type="spellStart"/>
      <w:r>
        <w:t>Münzer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op. cit., </w:t>
      </w:r>
      <w:r>
        <w:rPr>
          <w:lang w:val="en-US"/>
        </w:rPr>
        <w:t xml:space="preserve">252-253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podstawie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swobodnej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interpretacji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słów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Cycerona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Post red in </w:t>
      </w:r>
      <w:proofErr w:type="spellStart"/>
      <w:r>
        <w:rPr>
          <w:i/>
          <w:iCs/>
          <w:lang w:val="en-US"/>
        </w:rPr>
        <w:t>sen.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37; </w:t>
      </w:r>
      <w:r>
        <w:rPr>
          <w:i/>
          <w:iCs/>
          <w:lang w:val="en-US"/>
        </w:rPr>
        <w:t xml:space="preserve">Post red. ad </w:t>
      </w:r>
      <w:proofErr w:type="spellStart"/>
      <w:r>
        <w:rPr>
          <w:i/>
          <w:iCs/>
          <w:lang w:val="en-US"/>
        </w:rPr>
        <w:t>Quir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6. </w:t>
      </w:r>
      <w:proofErr w:type="spellStart"/>
      <w:r>
        <w:rPr>
          <w:lang w:val="en-US"/>
        </w:rPr>
        <w:t>Podobnie</w:t>
      </w:r>
      <w:proofErr w:type="spellEnd"/>
      <w:r>
        <w:rPr>
          <w:lang w:val="en-US"/>
        </w:rPr>
        <w:t xml:space="preserve"> E. </w:t>
      </w:r>
      <w:proofErr w:type="spellStart"/>
      <w:r>
        <w:rPr>
          <w:lang w:val="en-US"/>
        </w:rPr>
        <w:t>Badian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Studies in Greek…</w:t>
      </w:r>
      <w:r>
        <w:rPr>
          <w:lang w:val="en-US"/>
        </w:rPr>
        <w:t xml:space="preserve">, ed. cit., s. 66,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100 </w:t>
      </w:r>
      <w:r>
        <w:rPr>
          <w:i/>
          <w:iCs/>
          <w:lang w:val="en-US"/>
        </w:rPr>
        <w:t xml:space="preserve">contra </w:t>
      </w:r>
      <w:r>
        <w:rPr>
          <w:lang w:val="en-US"/>
        </w:rPr>
        <w:t xml:space="preserve">M.G. Morgan,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</w:t>
      </w:r>
      <w:r>
        <w:t xml:space="preserve">106, 132, 136. </w:t>
      </w:r>
    </w:p>
  </w:footnote>
  <w:footnote w:id="3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Zob</w:t>
      </w:r>
      <w:proofErr w:type="spellEnd"/>
      <w:r>
        <w:rPr>
          <w:lang w:val="en-US"/>
        </w:rPr>
        <w:t xml:space="preserve">.: E. </w:t>
      </w:r>
      <w:proofErr w:type="spellStart"/>
      <w:r>
        <w:rPr>
          <w:lang w:val="en-US"/>
        </w:rPr>
        <w:t>Badian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Studies in Greek…</w:t>
      </w:r>
      <w:r>
        <w:rPr>
          <w:lang w:val="en-US"/>
        </w:rPr>
        <w:t xml:space="preserve">, ed. cit., s. 324;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Roman Politics…, </w:t>
      </w:r>
      <w:r>
        <w:rPr>
          <w:lang w:val="en-US"/>
        </w:rPr>
        <w:t xml:space="preserve">ed. cit., s. 160-161; M. </w:t>
      </w:r>
      <w:proofErr w:type="spellStart"/>
      <w:r>
        <w:rPr>
          <w:lang w:val="en-US"/>
        </w:rPr>
        <w:t>Vardelli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La «</w:t>
      </w:r>
      <w:proofErr w:type="spellStart"/>
      <w:r>
        <w:rPr>
          <w:i/>
          <w:iCs/>
          <w:lang w:val="en-US"/>
        </w:rPr>
        <w:t>Factio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Metellana</w:t>
      </w:r>
      <w:proofErr w:type="spellEnd"/>
      <w:r>
        <w:rPr>
          <w:i/>
          <w:iCs/>
          <w:lang w:val="en-US"/>
        </w:rPr>
        <w:t xml:space="preserve">» </w:t>
      </w:r>
      <w:proofErr w:type="spellStart"/>
      <w:r>
        <w:rPr>
          <w:i/>
          <w:iCs/>
          <w:lang w:val="en-US"/>
        </w:rPr>
        <w:t>nei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primi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anni</w:t>
      </w:r>
      <w:proofErr w:type="spellEnd"/>
      <w:r>
        <w:rPr>
          <w:i/>
          <w:iCs/>
          <w:lang w:val="en-US"/>
        </w:rPr>
        <w:t xml:space="preserve"> del I </w:t>
      </w:r>
      <w:proofErr w:type="spellStart"/>
      <w:r>
        <w:rPr>
          <w:i/>
          <w:iCs/>
          <w:lang w:val="en-US"/>
        </w:rPr>
        <w:t>secolo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a.C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>„</w:t>
      </w:r>
      <w:proofErr w:type="spellStart"/>
      <w:r>
        <w:rPr>
          <w:lang w:val="en-US"/>
        </w:rPr>
        <w:t>Aevum</w:t>
      </w:r>
      <w:proofErr w:type="spellEnd"/>
      <w:r>
        <w:rPr>
          <w:lang w:val="en-US"/>
        </w:rPr>
        <w:t xml:space="preserve">” 1978, 52, s. 82; D.F. Epstein, </w:t>
      </w:r>
      <w:r>
        <w:rPr>
          <w:i/>
          <w:iCs/>
          <w:lang w:val="en-US"/>
        </w:rPr>
        <w:t>Personal enmity in Roman politics</w:t>
      </w:r>
      <w:r>
        <w:rPr>
          <w:lang w:val="en-US"/>
        </w:rPr>
        <w:t xml:space="preserve">, 218-43 B.C., London-New York-Sidney 1987, s. 117; R. </w:t>
      </w:r>
      <w:proofErr w:type="spellStart"/>
      <w:r>
        <w:rPr>
          <w:lang w:val="en-US"/>
        </w:rPr>
        <w:t>Kallet</w:t>
      </w:r>
      <w:proofErr w:type="spellEnd"/>
      <w:r>
        <w:rPr>
          <w:lang w:val="en-US"/>
        </w:rPr>
        <w:t xml:space="preserve">-Marx, </w:t>
      </w:r>
      <w:r>
        <w:rPr>
          <w:i/>
          <w:iCs/>
          <w:lang w:val="en-US"/>
        </w:rPr>
        <w:t xml:space="preserve">The Trial of </w:t>
      </w:r>
      <w:proofErr w:type="spellStart"/>
      <w:r>
        <w:rPr>
          <w:i/>
          <w:iCs/>
          <w:lang w:val="en-US"/>
        </w:rPr>
        <w:t>Rutilius</w:t>
      </w:r>
      <w:proofErr w:type="spellEnd"/>
      <w:r>
        <w:rPr>
          <w:i/>
          <w:iCs/>
          <w:lang w:val="en-US"/>
        </w:rPr>
        <w:t xml:space="preserve"> Rufus</w:t>
      </w:r>
      <w:r>
        <w:rPr>
          <w:lang w:val="en-US"/>
        </w:rPr>
        <w:t xml:space="preserve">, „Phoenix” 1990, 44, 2, s. 129-131. </w:t>
      </w:r>
    </w:p>
  </w:footnote>
  <w:footnote w:id="3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Front., </w:t>
      </w:r>
      <w:r>
        <w:rPr>
          <w:i/>
          <w:iCs/>
          <w:lang w:val="en-US"/>
        </w:rPr>
        <w:t xml:space="preserve">Strat., </w:t>
      </w:r>
      <w:r>
        <w:rPr>
          <w:lang w:val="en-US"/>
        </w:rPr>
        <w:t xml:space="preserve">4.2.2 z P.A. Brunt, </w:t>
      </w:r>
      <w:r>
        <w:rPr>
          <w:i/>
          <w:iCs/>
          <w:lang w:val="en-US"/>
        </w:rPr>
        <w:t>Italian…</w:t>
      </w:r>
      <w:r>
        <w:rPr>
          <w:lang w:val="en-US"/>
        </w:rPr>
        <w:t xml:space="preserve">, ed. cit., s. 430-431. </w:t>
      </w:r>
    </w:p>
  </w:footnote>
  <w:footnote w:id="37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t xml:space="preserve"> Por. D. </w:t>
      </w:r>
      <w:proofErr w:type="spellStart"/>
      <w:r>
        <w:t>Słapek</w:t>
      </w:r>
      <w:proofErr w:type="spellEnd"/>
      <w:r>
        <w:t xml:space="preserve">, </w:t>
      </w:r>
      <w:r>
        <w:rPr>
          <w:i/>
          <w:iCs/>
        </w:rPr>
        <w:t xml:space="preserve">op. cit., </w:t>
      </w:r>
      <w:proofErr w:type="spellStart"/>
      <w:r>
        <w:t>szczeg</w:t>
      </w:r>
      <w:proofErr w:type="spellEnd"/>
      <w:r>
        <w:t xml:space="preserve">. s. 110-112, 120-121. Rufus był też autorem pierwszego podręcznika wojskowego, który być może powstał wskutek klęsk zadanych Rzymowi przez ludy z Północy: Front., </w:t>
      </w:r>
      <w:r>
        <w:rPr>
          <w:i/>
          <w:iCs/>
        </w:rPr>
        <w:t>Strat.,</w:t>
      </w:r>
      <w:r>
        <w:t xml:space="preserve"> 4.2.2; Val. Max., 2.3.2. </w:t>
      </w:r>
    </w:p>
  </w:footnote>
  <w:footnote w:id="38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Plut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Mar., </w:t>
      </w:r>
      <w:r>
        <w:rPr>
          <w:lang w:val="en-US"/>
        </w:rPr>
        <w:t xml:space="preserve">27.5. </w:t>
      </w:r>
    </w:p>
  </w:footnote>
  <w:footnote w:id="39">
    <w:p w:rsidR="0039189C" w:rsidRDefault="003032C1">
      <w:pPr>
        <w:pStyle w:val="Tekstprzypisudolnego"/>
        <w:jc w:val="both"/>
      </w:pPr>
      <w:r>
        <w:rPr>
          <w:i/>
          <w:iCs/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Sall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BI, </w:t>
      </w:r>
      <w:r>
        <w:rPr>
          <w:lang w:val="en-US"/>
        </w:rPr>
        <w:t xml:space="preserve">64-65; </w:t>
      </w:r>
      <w:proofErr w:type="spellStart"/>
      <w:r>
        <w:rPr>
          <w:lang w:val="en-US"/>
        </w:rPr>
        <w:t>Vell</w:t>
      </w:r>
      <w:proofErr w:type="spellEnd"/>
      <w:r w:rsidR="00F8296F">
        <w:rPr>
          <w:lang w:val="en-US"/>
        </w:rPr>
        <w:t xml:space="preserve">., 2.11.1-2; </w:t>
      </w:r>
      <w:proofErr w:type="spellStart"/>
      <w:r w:rsidR="00F8296F" w:rsidRPr="00F8296F">
        <w:rPr>
          <w:lang w:val="en-US"/>
        </w:rPr>
        <w:t>Plut</w:t>
      </w:r>
      <w:proofErr w:type="spellEnd"/>
      <w:r w:rsidR="00F8296F" w:rsidRPr="00F8296F">
        <w:rPr>
          <w:lang w:val="en-US"/>
        </w:rPr>
        <w:t>., Mar., 7.3</w:t>
      </w:r>
      <w:r w:rsidR="00F8296F">
        <w:rPr>
          <w:lang w:val="en-US"/>
        </w:rPr>
        <w:t xml:space="preserve">; Cass. </w:t>
      </w:r>
      <w:proofErr w:type="spellStart"/>
      <w:r w:rsidR="00F8296F">
        <w:rPr>
          <w:lang w:val="en-US"/>
        </w:rPr>
        <w:t>Dio</w:t>
      </w:r>
      <w:proofErr w:type="spellEnd"/>
      <w:r w:rsidR="00F8296F">
        <w:rPr>
          <w:lang w:val="en-US"/>
        </w:rPr>
        <w:t>, 26.89.3</w:t>
      </w:r>
      <w:r>
        <w:rPr>
          <w:lang w:val="en-US"/>
        </w:rPr>
        <w:t xml:space="preserve">. Na </w:t>
      </w:r>
      <w:proofErr w:type="spellStart"/>
      <w:r>
        <w:rPr>
          <w:lang w:val="en-US"/>
        </w:rPr>
        <w:t>temat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nobiles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homines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novi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lang w:val="en-US"/>
        </w:rPr>
        <w:t>zob</w:t>
      </w:r>
      <w:proofErr w:type="spellEnd"/>
      <w:r>
        <w:rPr>
          <w:lang w:val="en-US"/>
        </w:rPr>
        <w:t xml:space="preserve">. np.: P.A. Brunt, </w:t>
      </w:r>
      <w:proofErr w:type="spellStart"/>
      <w:r>
        <w:rPr>
          <w:i/>
          <w:iCs/>
          <w:lang w:val="en-US"/>
        </w:rPr>
        <w:t>Nobilitas</w:t>
      </w:r>
      <w:proofErr w:type="spellEnd"/>
      <w:r>
        <w:rPr>
          <w:i/>
          <w:iCs/>
          <w:lang w:val="en-US"/>
        </w:rPr>
        <w:t xml:space="preserve"> and </w:t>
      </w:r>
      <w:proofErr w:type="spellStart"/>
      <w:r>
        <w:rPr>
          <w:i/>
          <w:iCs/>
          <w:lang w:val="en-US"/>
        </w:rPr>
        <w:t>Novitas</w:t>
      </w:r>
      <w:proofErr w:type="spellEnd"/>
      <w:r>
        <w:rPr>
          <w:lang w:val="en-US"/>
        </w:rPr>
        <w:t xml:space="preserve">, „The Journal of Roman Studies” 1982, 72, s. 1-17; D. R. Shackleton Bailey, </w:t>
      </w:r>
      <w:proofErr w:type="spellStart"/>
      <w:r>
        <w:rPr>
          <w:i/>
          <w:iCs/>
          <w:lang w:val="en-US"/>
        </w:rPr>
        <w:t>Nobiles</w:t>
      </w:r>
      <w:proofErr w:type="spellEnd"/>
      <w:r>
        <w:rPr>
          <w:i/>
          <w:iCs/>
          <w:lang w:val="en-US"/>
        </w:rPr>
        <w:t xml:space="preserve"> and Novi Reconsidered,</w:t>
      </w:r>
      <w:r>
        <w:rPr>
          <w:lang w:val="en-US"/>
        </w:rPr>
        <w:t xml:space="preserve"> The American Journal of Philology, 107,  2, 1986, s. 255-260; L.A. Burckhardt, </w:t>
      </w:r>
      <w:r>
        <w:rPr>
          <w:i/>
          <w:iCs/>
          <w:lang w:val="en-US"/>
        </w:rPr>
        <w:t xml:space="preserve">The Political Elite of the Roman Republic: Comments on Recent Discussion of the Concepts </w:t>
      </w:r>
      <w:proofErr w:type="spellStart"/>
      <w:r>
        <w:rPr>
          <w:lang w:val="en-US"/>
        </w:rPr>
        <w:t>Nobilitas</w:t>
      </w:r>
      <w:proofErr w:type="spellEnd"/>
      <w:r>
        <w:rPr>
          <w:lang w:val="en-US"/>
        </w:rPr>
        <w:t xml:space="preserve"> and Homo Novus</w:t>
      </w:r>
      <w:r>
        <w:rPr>
          <w:i/>
          <w:iCs/>
          <w:lang w:val="en-US"/>
        </w:rPr>
        <w:t>,</w:t>
      </w:r>
      <w:r>
        <w:rPr>
          <w:lang w:val="en-US"/>
        </w:rPr>
        <w:t xml:space="preserve"> „</w:t>
      </w:r>
      <w:proofErr w:type="spellStart"/>
      <w:r>
        <w:rPr>
          <w:lang w:val="en-US"/>
        </w:rPr>
        <w:t>Historia</w:t>
      </w:r>
      <w:proofErr w:type="spellEnd"/>
      <w:r>
        <w:rPr>
          <w:lang w:val="en-US"/>
        </w:rPr>
        <w:t xml:space="preserve">”, 39, 1, 1990, s. 77-99; T. </w:t>
      </w:r>
      <w:proofErr w:type="spellStart"/>
      <w:r>
        <w:rPr>
          <w:lang w:val="en-US"/>
        </w:rPr>
        <w:t>Aleksandrowicz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Kultura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intelektualna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rzymskich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konsulów</w:t>
      </w:r>
      <w:proofErr w:type="spellEnd"/>
      <w:r>
        <w:rPr>
          <w:i/>
          <w:iCs/>
          <w:lang w:val="en-US"/>
        </w:rPr>
        <w:t xml:space="preserve"> w </w:t>
      </w:r>
      <w:proofErr w:type="spellStart"/>
      <w:r>
        <w:rPr>
          <w:i/>
          <w:iCs/>
          <w:lang w:val="en-US"/>
        </w:rPr>
        <w:t>schyłkowym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okresie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Republiki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Katowice 2002, </w:t>
      </w:r>
      <w:proofErr w:type="spellStart"/>
      <w:r>
        <w:rPr>
          <w:lang w:val="en-US"/>
        </w:rPr>
        <w:t>szczeg</w:t>
      </w:r>
      <w:proofErr w:type="spellEnd"/>
      <w:r>
        <w:rPr>
          <w:lang w:val="en-US"/>
        </w:rPr>
        <w:t xml:space="preserve">. s. 17-19. </w:t>
      </w:r>
      <w:proofErr w:type="spellStart"/>
      <w:r>
        <w:rPr>
          <w:lang w:val="en-US"/>
        </w:rPr>
        <w:t>Odnośnie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Mariusza</w:t>
      </w:r>
      <w:proofErr w:type="spellEnd"/>
      <w:r>
        <w:rPr>
          <w:lang w:val="en-US"/>
        </w:rPr>
        <w:t xml:space="preserve"> z </w:t>
      </w:r>
      <w:proofErr w:type="spellStart"/>
      <w:r>
        <w:rPr>
          <w:i/>
          <w:iCs/>
          <w:lang w:val="en-US"/>
        </w:rPr>
        <w:t>nobilitas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lang w:val="en-US"/>
        </w:rPr>
        <w:t>zob</w:t>
      </w:r>
      <w:proofErr w:type="spellEnd"/>
      <w:r>
        <w:rPr>
          <w:lang w:val="en-US"/>
        </w:rPr>
        <w:t xml:space="preserve">. np. E. Frank, </w:t>
      </w:r>
      <w:r>
        <w:rPr>
          <w:i/>
          <w:iCs/>
          <w:lang w:val="en-US"/>
        </w:rPr>
        <w:t>Marius and the Roman Nobility</w:t>
      </w:r>
      <w:r>
        <w:rPr>
          <w:lang w:val="en-US"/>
        </w:rPr>
        <w:t xml:space="preserve">, „The Classical Journal” 1955, 50, s. 149-152. </w:t>
      </w:r>
    </w:p>
  </w:footnote>
  <w:footnote w:id="40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</w:t>
      </w:r>
      <w:proofErr w:type="spellStart"/>
      <w:r>
        <w:t>Vell</w:t>
      </w:r>
      <w:proofErr w:type="spellEnd"/>
      <w:r>
        <w:t xml:space="preserve">., 2.11.1; </w:t>
      </w:r>
      <w:proofErr w:type="spellStart"/>
      <w:r>
        <w:t>Plin</w:t>
      </w:r>
      <w:proofErr w:type="spellEnd"/>
      <w:r>
        <w:t xml:space="preserve">., </w:t>
      </w:r>
      <w:r>
        <w:rPr>
          <w:i/>
          <w:iCs/>
        </w:rPr>
        <w:t>NH</w:t>
      </w:r>
      <w:r>
        <w:t xml:space="preserve">, 33.150; </w:t>
      </w:r>
      <w:r w:rsidR="00F8296F" w:rsidRPr="00F8296F">
        <w:t xml:space="preserve">Tac., </w:t>
      </w:r>
      <w:r w:rsidR="00F8296F" w:rsidRPr="00624932">
        <w:rPr>
          <w:i/>
        </w:rPr>
        <w:t>Ann.</w:t>
      </w:r>
      <w:r w:rsidR="00F8296F" w:rsidRPr="00F8296F">
        <w:t>, 2.38</w:t>
      </w:r>
      <w:r w:rsidR="00F8296F">
        <w:t xml:space="preserve">; </w:t>
      </w:r>
      <w:r w:rsidR="00F8296F" w:rsidRPr="00F8296F">
        <w:t xml:space="preserve">Plut., </w:t>
      </w:r>
      <w:r w:rsidR="00F8296F" w:rsidRPr="00624932">
        <w:rPr>
          <w:i/>
        </w:rPr>
        <w:t>Mar.,</w:t>
      </w:r>
      <w:r w:rsidR="00F8296F" w:rsidRPr="00F8296F">
        <w:t xml:space="preserve"> 34.4; </w:t>
      </w:r>
      <w:r>
        <w:t xml:space="preserve">Cass. Dio, 26.89.2; </w:t>
      </w:r>
      <w:proofErr w:type="spellStart"/>
      <w:r>
        <w:t>Aug</w:t>
      </w:r>
      <w:proofErr w:type="spellEnd"/>
      <w:r>
        <w:t xml:space="preserve">., </w:t>
      </w:r>
      <w:proofErr w:type="spellStart"/>
      <w:r>
        <w:rPr>
          <w:i/>
          <w:iCs/>
        </w:rPr>
        <w:t>Civ</w:t>
      </w:r>
      <w:proofErr w:type="spellEnd"/>
      <w:r>
        <w:rPr>
          <w:i/>
          <w:iCs/>
        </w:rPr>
        <w:t xml:space="preserve">. Dei, </w:t>
      </w:r>
      <w:r w:rsidR="00F8296F">
        <w:t>2.23.1</w:t>
      </w:r>
      <w:r>
        <w:t>.</w:t>
      </w:r>
    </w:p>
  </w:footnote>
  <w:footnote w:id="4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</w:t>
      </w:r>
      <w:proofErr w:type="spellStart"/>
      <w:r w:rsidR="00F8296F" w:rsidRPr="00F8296F">
        <w:t>Cic</w:t>
      </w:r>
      <w:proofErr w:type="spellEnd"/>
      <w:r w:rsidR="00F8296F" w:rsidRPr="00F8296F">
        <w:t xml:space="preserve">., </w:t>
      </w:r>
      <w:proofErr w:type="spellStart"/>
      <w:r w:rsidR="00F8296F" w:rsidRPr="00F8296F">
        <w:rPr>
          <w:i/>
        </w:rPr>
        <w:t>Acad</w:t>
      </w:r>
      <w:proofErr w:type="spellEnd"/>
      <w:r w:rsidR="00F8296F" w:rsidRPr="00F8296F">
        <w:t xml:space="preserve">., 2.5.13; </w:t>
      </w:r>
      <w:r w:rsidR="00F8296F" w:rsidRPr="00F8296F">
        <w:rPr>
          <w:i/>
        </w:rPr>
        <w:t>Pro Arch</w:t>
      </w:r>
      <w:r w:rsidR="00F8296F" w:rsidRPr="00F8296F">
        <w:t>., 3.9</w:t>
      </w:r>
      <w:r w:rsidR="00F8296F">
        <w:t xml:space="preserve">; </w:t>
      </w:r>
      <w:r>
        <w:t>S</w:t>
      </w:r>
      <w:r>
        <w:rPr>
          <w:lang w:val="en-US"/>
        </w:rPr>
        <w:t xml:space="preserve">all., </w:t>
      </w:r>
      <w:r>
        <w:rPr>
          <w:i/>
          <w:iCs/>
          <w:lang w:val="en-US"/>
        </w:rPr>
        <w:t xml:space="preserve">BI, </w:t>
      </w:r>
      <w:r>
        <w:rPr>
          <w:lang w:val="en-US"/>
        </w:rPr>
        <w:t xml:space="preserve">85.12, 31; </w:t>
      </w:r>
      <w:proofErr w:type="spellStart"/>
      <w:r>
        <w:rPr>
          <w:lang w:val="en-US"/>
        </w:rPr>
        <w:t>Vell</w:t>
      </w:r>
      <w:proofErr w:type="spellEnd"/>
      <w:r>
        <w:rPr>
          <w:lang w:val="en-US"/>
        </w:rPr>
        <w:t xml:space="preserve">., 2.11.1; </w:t>
      </w:r>
      <w:proofErr w:type="spellStart"/>
      <w:r w:rsidR="00F8296F" w:rsidRPr="00F8296F">
        <w:rPr>
          <w:lang w:val="en-US"/>
        </w:rPr>
        <w:t>Plut</w:t>
      </w:r>
      <w:proofErr w:type="spellEnd"/>
      <w:r w:rsidR="00F8296F" w:rsidRPr="00F8296F">
        <w:rPr>
          <w:lang w:val="en-US"/>
        </w:rPr>
        <w:t xml:space="preserve">., </w:t>
      </w:r>
      <w:r w:rsidR="00F8296F" w:rsidRPr="00F8296F">
        <w:rPr>
          <w:i/>
          <w:lang w:val="en-US"/>
        </w:rPr>
        <w:t>Mar.</w:t>
      </w:r>
      <w:r w:rsidR="00F8296F" w:rsidRPr="00F8296F">
        <w:rPr>
          <w:lang w:val="en-US"/>
        </w:rPr>
        <w:t xml:space="preserve">, 2.2, 45.3; </w:t>
      </w:r>
      <w:r w:rsidR="00F8296F">
        <w:rPr>
          <w:lang w:val="en-US"/>
        </w:rPr>
        <w:t xml:space="preserve">Cass. </w:t>
      </w:r>
      <w:proofErr w:type="spellStart"/>
      <w:r w:rsidR="00F8296F">
        <w:rPr>
          <w:lang w:val="en-US"/>
        </w:rPr>
        <w:t>Dio</w:t>
      </w:r>
      <w:proofErr w:type="spellEnd"/>
      <w:r w:rsidR="00F8296F">
        <w:rPr>
          <w:lang w:val="en-US"/>
        </w:rPr>
        <w:t>, 26.29.11</w:t>
      </w:r>
      <w:r>
        <w:rPr>
          <w:lang w:val="en-US"/>
        </w:rPr>
        <w:t xml:space="preserve">. </w:t>
      </w:r>
      <w:r>
        <w:t xml:space="preserve">Szerzej na ten temat, zob. T. Aleksandrowicz, </w:t>
      </w:r>
      <w:r>
        <w:rPr>
          <w:i/>
          <w:iCs/>
        </w:rPr>
        <w:t xml:space="preserve">op. cit., </w:t>
      </w:r>
      <w:r>
        <w:t xml:space="preserve">s. 22-24; por. </w:t>
      </w:r>
      <w:proofErr w:type="spellStart"/>
      <w:r>
        <w:rPr>
          <w:lang w:val="en-US"/>
        </w:rPr>
        <w:t>Plut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Mar., </w:t>
      </w:r>
      <w:r>
        <w:rPr>
          <w:lang w:val="en-US"/>
        </w:rPr>
        <w:t xml:space="preserve">3.1 z T.F. Carney, </w:t>
      </w:r>
      <w:r>
        <w:rPr>
          <w:i/>
          <w:iCs/>
          <w:lang w:val="en-US"/>
        </w:rPr>
        <w:t>op. cit.</w:t>
      </w:r>
      <w:r>
        <w:rPr>
          <w:lang w:val="en-US"/>
        </w:rPr>
        <w:t xml:space="preserve">, s. 10-11. </w:t>
      </w:r>
    </w:p>
  </w:footnote>
  <w:footnote w:id="42">
    <w:p w:rsidR="0039189C" w:rsidRDefault="003032C1" w:rsidP="00272873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np. R. </w:t>
      </w:r>
      <w:proofErr w:type="spellStart"/>
      <w:r>
        <w:rPr>
          <w:lang w:val="en-US"/>
        </w:rPr>
        <w:t>Syme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Sallust</w:t>
      </w:r>
      <w:r>
        <w:rPr>
          <w:lang w:val="en-US"/>
        </w:rPr>
        <w:t xml:space="preserve">, ed. cit., s. 142-145, 158-162; </w:t>
      </w:r>
      <w:r w:rsidR="00272873" w:rsidRPr="00272873">
        <w:rPr>
          <w:lang w:val="en-US"/>
        </w:rPr>
        <w:t xml:space="preserve">H. Appel, </w:t>
      </w:r>
      <w:r w:rsidR="00272873" w:rsidRPr="00272873">
        <w:rPr>
          <w:i/>
          <w:iCs/>
          <w:lang w:val="en-US"/>
        </w:rPr>
        <w:t xml:space="preserve">Animus Liber. </w:t>
      </w:r>
      <w:proofErr w:type="spellStart"/>
      <w:r w:rsidR="00272873" w:rsidRPr="00272873">
        <w:rPr>
          <w:i/>
          <w:iCs/>
          <w:lang w:val="en-US"/>
        </w:rPr>
        <w:t>Kwestia</w:t>
      </w:r>
      <w:proofErr w:type="spellEnd"/>
      <w:r w:rsidR="00272873" w:rsidRPr="00272873">
        <w:rPr>
          <w:i/>
          <w:iCs/>
          <w:lang w:val="en-US"/>
        </w:rPr>
        <w:t xml:space="preserve"> </w:t>
      </w:r>
      <w:proofErr w:type="spellStart"/>
      <w:r w:rsidR="00272873" w:rsidRPr="00272873">
        <w:rPr>
          <w:i/>
          <w:iCs/>
          <w:lang w:val="en-US"/>
        </w:rPr>
        <w:t>obiektywizmu</w:t>
      </w:r>
      <w:proofErr w:type="spellEnd"/>
      <w:r w:rsidR="00272873" w:rsidRPr="00272873">
        <w:rPr>
          <w:i/>
          <w:iCs/>
          <w:lang w:val="en-US"/>
        </w:rPr>
        <w:t xml:space="preserve"> w </w:t>
      </w:r>
      <w:proofErr w:type="spellStart"/>
      <w:r w:rsidR="00272873" w:rsidRPr="00272873">
        <w:rPr>
          <w:i/>
          <w:iCs/>
          <w:lang w:val="en-US"/>
        </w:rPr>
        <w:t>pisarstwie</w:t>
      </w:r>
      <w:proofErr w:type="spellEnd"/>
      <w:r w:rsidR="00272873" w:rsidRPr="00272873">
        <w:rPr>
          <w:i/>
          <w:iCs/>
          <w:lang w:val="en-US"/>
        </w:rPr>
        <w:t xml:space="preserve"> </w:t>
      </w:r>
      <w:proofErr w:type="spellStart"/>
      <w:r w:rsidR="00272873" w:rsidRPr="00272873">
        <w:rPr>
          <w:i/>
          <w:iCs/>
          <w:lang w:val="en-US"/>
        </w:rPr>
        <w:t>historycznym</w:t>
      </w:r>
      <w:proofErr w:type="spellEnd"/>
      <w:r w:rsidR="00272873" w:rsidRPr="00272873">
        <w:rPr>
          <w:i/>
          <w:iCs/>
          <w:lang w:val="en-US"/>
        </w:rPr>
        <w:t xml:space="preserve"> </w:t>
      </w:r>
      <w:proofErr w:type="spellStart"/>
      <w:r w:rsidR="00272873" w:rsidRPr="00272873">
        <w:rPr>
          <w:i/>
          <w:iCs/>
          <w:lang w:val="en-US"/>
        </w:rPr>
        <w:t>Sallustiusza</w:t>
      </w:r>
      <w:proofErr w:type="spellEnd"/>
      <w:r w:rsidR="00272873" w:rsidRPr="00272873">
        <w:rPr>
          <w:i/>
          <w:iCs/>
          <w:lang w:val="en-US"/>
        </w:rPr>
        <w:t xml:space="preserve">, </w:t>
      </w:r>
      <w:proofErr w:type="spellStart"/>
      <w:r w:rsidR="00272873" w:rsidRPr="00272873">
        <w:rPr>
          <w:lang w:val="en-US"/>
        </w:rPr>
        <w:t>Toruń</w:t>
      </w:r>
      <w:proofErr w:type="spellEnd"/>
      <w:r w:rsidR="00272873" w:rsidRPr="00272873">
        <w:rPr>
          <w:lang w:val="en-US"/>
        </w:rPr>
        <w:t xml:space="preserve"> 2004</w:t>
      </w:r>
      <w:r w:rsidR="00272873">
        <w:rPr>
          <w:lang w:val="en-US"/>
        </w:rPr>
        <w:t xml:space="preserve">, </w:t>
      </w:r>
      <w:r>
        <w:rPr>
          <w:lang w:val="en-US"/>
        </w:rPr>
        <w:t xml:space="preserve">s. 103-114; </w:t>
      </w:r>
      <w:r w:rsidR="00272873" w:rsidRPr="00272873">
        <w:t xml:space="preserve">M. Maciejowski, </w:t>
      </w:r>
      <w:r w:rsidR="00272873" w:rsidRPr="00272873">
        <w:rPr>
          <w:i/>
          <w:iCs/>
        </w:rPr>
        <w:t xml:space="preserve">Wojna jugurtyńska 111-105 p.n.e., </w:t>
      </w:r>
      <w:r w:rsidR="00272873" w:rsidRPr="00272873">
        <w:t xml:space="preserve">Zabrze 2008, </w:t>
      </w:r>
      <w:r>
        <w:rPr>
          <w:lang w:val="en-US"/>
        </w:rPr>
        <w:t xml:space="preserve">s. 118-122; G.C. Sampson,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73-92.</w:t>
      </w:r>
      <w:r>
        <w:rPr>
          <w:color w:val="0432FF"/>
          <w:lang w:val="en-US"/>
        </w:rPr>
        <w:t xml:space="preserve"> </w:t>
      </w:r>
    </w:p>
  </w:footnote>
  <w:footnote w:id="4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Plut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Mar., </w:t>
      </w:r>
      <w:r>
        <w:rPr>
          <w:lang w:val="en-US"/>
        </w:rPr>
        <w:t xml:space="preserve">4.1. Por. np. J. van </w:t>
      </w:r>
      <w:proofErr w:type="spellStart"/>
      <w:r>
        <w:rPr>
          <w:lang w:val="en-US"/>
        </w:rPr>
        <w:t>Ooteghem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Caius Marius, </w:t>
      </w:r>
      <w:proofErr w:type="spellStart"/>
      <w:r>
        <w:rPr>
          <w:lang w:val="en-US"/>
        </w:rPr>
        <w:t>Bruxelles</w:t>
      </w:r>
      <w:proofErr w:type="spellEnd"/>
      <w:r>
        <w:rPr>
          <w:lang w:val="en-US"/>
        </w:rPr>
        <w:t xml:space="preserve"> 1964, s. 61-63; R. </w:t>
      </w:r>
      <w:proofErr w:type="spellStart"/>
      <w:r>
        <w:rPr>
          <w:lang w:val="en-US"/>
        </w:rPr>
        <w:t>Syme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Sallust, </w:t>
      </w:r>
      <w:r>
        <w:rPr>
          <w:lang w:val="en-US"/>
        </w:rPr>
        <w:t xml:space="preserve">ed. cit., s. 157;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</w:t>
      </w:r>
      <w:r>
        <w:rPr>
          <w:lang w:val="en-US"/>
        </w:rPr>
        <w:t xml:space="preserve">, s. 118-119; M. </w:t>
      </w:r>
      <w:proofErr w:type="spellStart"/>
      <w:r>
        <w:rPr>
          <w:lang w:val="en-US"/>
        </w:rPr>
        <w:t>Gelzer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131-132; P. Bicknell, </w:t>
      </w:r>
      <w:r>
        <w:rPr>
          <w:i/>
          <w:iCs/>
          <w:lang w:val="en-US"/>
        </w:rPr>
        <w:t xml:space="preserve">Marius, the </w:t>
      </w:r>
      <w:proofErr w:type="spellStart"/>
      <w:r>
        <w:rPr>
          <w:i/>
          <w:iCs/>
          <w:lang w:val="en-US"/>
        </w:rPr>
        <w:t>Metelli</w:t>
      </w:r>
      <w:proofErr w:type="spellEnd"/>
      <w:r>
        <w:rPr>
          <w:i/>
          <w:iCs/>
          <w:lang w:val="en-US"/>
        </w:rPr>
        <w:t xml:space="preserve">, and the </w:t>
      </w:r>
      <w:proofErr w:type="spellStart"/>
      <w:r>
        <w:rPr>
          <w:i/>
          <w:iCs/>
          <w:lang w:val="en-US"/>
        </w:rPr>
        <w:t>lex</w:t>
      </w:r>
      <w:proofErr w:type="spellEnd"/>
      <w:r>
        <w:rPr>
          <w:i/>
          <w:iCs/>
          <w:lang w:val="en-US"/>
        </w:rPr>
        <w:t xml:space="preserve"> Maria </w:t>
      </w:r>
      <w:proofErr w:type="spellStart"/>
      <w:r>
        <w:rPr>
          <w:i/>
          <w:iCs/>
          <w:lang w:val="en-US"/>
        </w:rPr>
        <w:t>Tabellaria</w:t>
      </w:r>
      <w:proofErr w:type="spellEnd"/>
      <w:r>
        <w:rPr>
          <w:lang w:val="en-US"/>
        </w:rPr>
        <w:t>, „</w:t>
      </w:r>
      <w:proofErr w:type="spellStart"/>
      <w:r>
        <w:rPr>
          <w:lang w:val="en-US"/>
        </w:rPr>
        <w:t>Latomus</w:t>
      </w:r>
      <w:proofErr w:type="spellEnd"/>
      <w:r>
        <w:rPr>
          <w:lang w:val="en-US"/>
        </w:rPr>
        <w:t xml:space="preserve">”, 28, 1969, s. 327-346; T. P. Wiseman, </w:t>
      </w:r>
      <w:r>
        <w:rPr>
          <w:i/>
          <w:iCs/>
          <w:lang w:val="en-US"/>
        </w:rPr>
        <w:t xml:space="preserve">New Men in the Roman Senate, 139 B.C. – A.D. 14, </w:t>
      </w:r>
      <w:r>
        <w:rPr>
          <w:lang w:val="en-US"/>
        </w:rPr>
        <w:t xml:space="preserve">Oxford 1971, s. 121; V. Werner, </w:t>
      </w:r>
      <w:r>
        <w:rPr>
          <w:i/>
          <w:iCs/>
          <w:lang w:val="en-US"/>
        </w:rPr>
        <w:t xml:space="preserve">Quantum bello </w:t>
      </w:r>
      <w:proofErr w:type="spellStart"/>
      <w:r>
        <w:rPr>
          <w:i/>
          <w:iCs/>
          <w:lang w:val="en-US"/>
        </w:rPr>
        <w:t>optimus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tantum</w:t>
      </w:r>
      <w:proofErr w:type="spellEnd"/>
      <w:r>
        <w:rPr>
          <w:i/>
          <w:iCs/>
          <w:lang w:val="en-US"/>
        </w:rPr>
        <w:t xml:space="preserve"> pace </w:t>
      </w:r>
      <w:proofErr w:type="spellStart"/>
      <w:r>
        <w:rPr>
          <w:i/>
          <w:iCs/>
          <w:lang w:val="en-US"/>
        </w:rPr>
        <w:t>pessimus</w:t>
      </w:r>
      <w:proofErr w:type="spellEnd"/>
      <w:r>
        <w:rPr>
          <w:i/>
          <w:iCs/>
          <w:lang w:val="en-US"/>
        </w:rPr>
        <w:t xml:space="preserve">: </w:t>
      </w:r>
      <w:proofErr w:type="spellStart"/>
      <w:r>
        <w:rPr>
          <w:i/>
          <w:iCs/>
          <w:lang w:val="en-US"/>
        </w:rPr>
        <w:t>Studien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Mariusbild</w:t>
      </w:r>
      <w:proofErr w:type="spellEnd"/>
      <w:r>
        <w:rPr>
          <w:i/>
          <w:iCs/>
          <w:lang w:val="en-US"/>
        </w:rPr>
        <w:t xml:space="preserve"> in der </w:t>
      </w:r>
      <w:proofErr w:type="spellStart"/>
      <w:r>
        <w:rPr>
          <w:i/>
          <w:iCs/>
          <w:lang w:val="en-US"/>
        </w:rPr>
        <w:t>antiken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Geschichtsschreibung</w:t>
      </w:r>
      <w:proofErr w:type="spellEnd"/>
      <w:r>
        <w:rPr>
          <w:lang w:val="en-US"/>
        </w:rPr>
        <w:t xml:space="preserve">, Bonn 1995, s. 55; W. </w:t>
      </w:r>
      <w:proofErr w:type="spellStart"/>
      <w:r>
        <w:rPr>
          <w:lang w:val="en-US"/>
        </w:rPr>
        <w:t>Letzner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Lucius Cornelius Sulla. </w:t>
      </w:r>
      <w:proofErr w:type="spellStart"/>
      <w:r>
        <w:rPr>
          <w:i/>
          <w:iCs/>
          <w:lang w:val="en-US"/>
        </w:rPr>
        <w:t>Versuch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einer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Biographie</w:t>
      </w:r>
      <w:proofErr w:type="spellEnd"/>
      <w:r>
        <w:rPr>
          <w:lang w:val="en-US"/>
        </w:rPr>
        <w:t xml:space="preserve">, Munster 2000, s. 45,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30. </w:t>
      </w:r>
      <w:proofErr w:type="spellStart"/>
      <w:r>
        <w:rPr>
          <w:lang w:val="en-US"/>
        </w:rPr>
        <w:t>Polemicznie</w:t>
      </w:r>
      <w:proofErr w:type="spellEnd"/>
      <w:r>
        <w:rPr>
          <w:lang w:val="en-US"/>
        </w:rPr>
        <w:t xml:space="preserve"> R. Evans, </w:t>
      </w:r>
      <w:proofErr w:type="spellStart"/>
      <w:r>
        <w:rPr>
          <w:i/>
          <w:iCs/>
          <w:lang w:val="en-US"/>
        </w:rPr>
        <w:t>Gasius</w:t>
      </w:r>
      <w:proofErr w:type="spellEnd"/>
      <w:r>
        <w:rPr>
          <w:i/>
          <w:iCs/>
          <w:lang w:val="en-US"/>
        </w:rPr>
        <w:t xml:space="preserve"> Marius…</w:t>
      </w:r>
      <w:r>
        <w:rPr>
          <w:lang w:val="en-US"/>
        </w:rPr>
        <w:t xml:space="preserve">, ed. cit., s. 36-38. </w:t>
      </w:r>
    </w:p>
  </w:footnote>
  <w:footnote w:id="4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Patrz w tym kontekście jego mowa po wyborze na urząd konsula w roku 108: </w:t>
      </w:r>
      <w:proofErr w:type="spellStart"/>
      <w:r>
        <w:t>Sall</w:t>
      </w:r>
      <w:proofErr w:type="spellEnd"/>
      <w:r>
        <w:t xml:space="preserve">., </w:t>
      </w:r>
      <w:r>
        <w:rPr>
          <w:i/>
          <w:iCs/>
        </w:rPr>
        <w:t xml:space="preserve">BI, </w:t>
      </w:r>
      <w:r>
        <w:t xml:space="preserve">85; Plut., </w:t>
      </w:r>
      <w:r>
        <w:rPr>
          <w:i/>
          <w:iCs/>
        </w:rPr>
        <w:t xml:space="preserve">Mar., </w:t>
      </w:r>
      <w:r>
        <w:t xml:space="preserve">9.2-4. Na temat interpretacji słów Mariusza, które możemy przeczytać u Salustiusza, zob.: E. </w:t>
      </w:r>
      <w:proofErr w:type="spellStart"/>
      <w:r>
        <w:t>Skard</w:t>
      </w:r>
      <w:proofErr w:type="spellEnd"/>
      <w:r>
        <w:t xml:space="preserve">, </w:t>
      </w:r>
      <w:proofErr w:type="spellStart"/>
      <w:r>
        <w:rPr>
          <w:i/>
          <w:iCs/>
        </w:rPr>
        <w:t>Marius</w:t>
      </w:r>
      <w:proofErr w:type="spellEnd"/>
      <w:r>
        <w:rPr>
          <w:i/>
          <w:iCs/>
        </w:rPr>
        <w:t xml:space="preserve"> Speech in </w:t>
      </w:r>
      <w:proofErr w:type="spellStart"/>
      <w:r>
        <w:rPr>
          <w:i/>
          <w:iCs/>
        </w:rPr>
        <w:t>Sallust</w:t>
      </w:r>
      <w:proofErr w:type="spellEnd"/>
      <w:r>
        <w:rPr>
          <w:i/>
          <w:iCs/>
        </w:rPr>
        <w:t xml:space="preserve"> Jug. </w:t>
      </w:r>
      <w:r>
        <w:rPr>
          <w:i/>
          <w:iCs/>
          <w:lang w:val="en-US"/>
        </w:rPr>
        <w:t>Chap. 85</w:t>
      </w:r>
      <w:r>
        <w:rPr>
          <w:lang w:val="en-US"/>
        </w:rPr>
        <w:t>, „</w:t>
      </w:r>
      <w:proofErr w:type="spellStart"/>
      <w:r>
        <w:rPr>
          <w:lang w:val="en-US"/>
        </w:rPr>
        <w:t>Symbolae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Osloenses</w:t>
      </w:r>
      <w:proofErr w:type="spellEnd"/>
      <w:r>
        <w:rPr>
          <w:lang w:val="en-US"/>
        </w:rPr>
        <w:t xml:space="preserve">” 1941, 21, s. 98-102; T. F. Carney, </w:t>
      </w:r>
      <w:r>
        <w:rPr>
          <w:i/>
          <w:iCs/>
          <w:lang w:val="en-US"/>
        </w:rPr>
        <w:t>Once Again Marius. Speech after Election in 108 B.C.</w:t>
      </w:r>
      <w:r>
        <w:rPr>
          <w:lang w:val="en-US"/>
        </w:rPr>
        <w:t>, „</w:t>
      </w:r>
      <w:proofErr w:type="spellStart"/>
      <w:r>
        <w:rPr>
          <w:lang w:val="en-US"/>
        </w:rPr>
        <w:t>Symbolae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Osloenses</w:t>
      </w:r>
      <w:proofErr w:type="spellEnd"/>
      <w:r>
        <w:rPr>
          <w:lang w:val="en-US"/>
        </w:rPr>
        <w:t xml:space="preserve">”, 35, 1959, s. 63-70; K. </w:t>
      </w:r>
      <w:proofErr w:type="spellStart"/>
      <w:r>
        <w:rPr>
          <w:lang w:val="en-US"/>
        </w:rPr>
        <w:t>Büchner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Sallust</w:t>
      </w:r>
      <w:r>
        <w:rPr>
          <w:lang w:val="en-US"/>
        </w:rPr>
        <w:t xml:space="preserve">, Heidelberg 1960, 196-199; R. </w:t>
      </w:r>
      <w:proofErr w:type="spellStart"/>
      <w:r>
        <w:rPr>
          <w:lang w:val="en-US"/>
        </w:rPr>
        <w:t>Syme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Sallust, </w:t>
      </w:r>
      <w:r>
        <w:rPr>
          <w:lang w:val="en-US"/>
        </w:rPr>
        <w:t xml:space="preserve">ed. cit., s. 168-170; F. Pina Polo, </w:t>
      </w:r>
      <w:r>
        <w:rPr>
          <w:i/>
          <w:iCs/>
          <w:lang w:val="en-US"/>
        </w:rPr>
        <w:t xml:space="preserve">Contra </w:t>
      </w:r>
      <w:proofErr w:type="spellStart"/>
      <w:r>
        <w:rPr>
          <w:i/>
          <w:iCs/>
          <w:lang w:val="en-US"/>
        </w:rPr>
        <w:t>arma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verbis</w:t>
      </w:r>
      <w:proofErr w:type="spellEnd"/>
      <w:r>
        <w:rPr>
          <w:lang w:val="en-US"/>
        </w:rPr>
        <w:t xml:space="preserve">: </w:t>
      </w:r>
      <w:r>
        <w:rPr>
          <w:i/>
          <w:iCs/>
          <w:lang w:val="en-US"/>
        </w:rPr>
        <w:t xml:space="preserve">Der </w:t>
      </w:r>
      <w:proofErr w:type="spellStart"/>
      <w:r>
        <w:rPr>
          <w:i/>
          <w:iCs/>
          <w:lang w:val="en-US"/>
        </w:rPr>
        <w:t>Redner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vor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dem</w:t>
      </w:r>
      <w:proofErr w:type="spellEnd"/>
      <w:r>
        <w:rPr>
          <w:i/>
          <w:iCs/>
          <w:lang w:val="en-US"/>
        </w:rPr>
        <w:t xml:space="preserve"> Volk in der </w:t>
      </w:r>
      <w:proofErr w:type="spellStart"/>
      <w:r>
        <w:rPr>
          <w:i/>
          <w:iCs/>
          <w:lang w:val="en-US"/>
        </w:rPr>
        <w:t>späten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römischen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Republik</w:t>
      </w:r>
      <w:proofErr w:type="spellEnd"/>
      <w:r>
        <w:rPr>
          <w:lang w:val="en-US"/>
        </w:rPr>
        <w:t xml:space="preserve">, Stuttgart 1996, s. 75; H. Appel, </w:t>
      </w:r>
      <w:r w:rsidR="00272873">
        <w:rPr>
          <w:i/>
          <w:iCs/>
          <w:lang w:val="en-US"/>
        </w:rPr>
        <w:t>op. cit.</w:t>
      </w:r>
      <w:r>
        <w:rPr>
          <w:lang w:val="en-US"/>
        </w:rPr>
        <w:t xml:space="preserve">, s. 173-182; A. </w:t>
      </w:r>
      <w:proofErr w:type="spellStart"/>
      <w:r>
        <w:rPr>
          <w:lang w:val="en-US"/>
        </w:rPr>
        <w:t>Yakobson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Marius Speaks to the People: “New Man”, Roman Nobility and Roman Political Culture</w:t>
      </w:r>
      <w:r>
        <w:rPr>
          <w:lang w:val="en-US"/>
        </w:rPr>
        <w:t>, „</w:t>
      </w:r>
      <w:proofErr w:type="spellStart"/>
      <w:r>
        <w:rPr>
          <w:lang w:val="en-US"/>
        </w:rPr>
        <w:t>Scripta</w:t>
      </w:r>
      <w:proofErr w:type="spellEnd"/>
      <w:r>
        <w:rPr>
          <w:lang w:val="en-US"/>
        </w:rPr>
        <w:t xml:space="preserve"> Classica </w:t>
      </w:r>
      <w:proofErr w:type="spellStart"/>
      <w:r>
        <w:rPr>
          <w:lang w:val="en-US"/>
        </w:rPr>
        <w:t>Israelica</w:t>
      </w:r>
      <w:proofErr w:type="spellEnd"/>
      <w:r>
        <w:rPr>
          <w:lang w:val="en-US"/>
        </w:rPr>
        <w:t xml:space="preserve">” 2014, 33, s. 283-300. </w:t>
      </w:r>
    </w:p>
  </w:footnote>
  <w:footnote w:id="4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Faktycznie pojmania </w:t>
      </w:r>
      <w:proofErr w:type="spellStart"/>
      <w:r>
        <w:t>Jugurty</w:t>
      </w:r>
      <w:proofErr w:type="spellEnd"/>
      <w:r>
        <w:t xml:space="preserve"> dokonał działający z inicjatywy Mariusza kwestor L. Korneliusz Sulla: </w:t>
      </w:r>
      <w:proofErr w:type="spellStart"/>
      <w:r>
        <w:t>Sall</w:t>
      </w:r>
      <w:proofErr w:type="spellEnd"/>
      <w:r>
        <w:t xml:space="preserve">., </w:t>
      </w:r>
      <w:r>
        <w:rPr>
          <w:i/>
          <w:iCs/>
        </w:rPr>
        <w:t xml:space="preserve">BI., </w:t>
      </w:r>
      <w:r>
        <w:t xml:space="preserve">108-113; Plut., </w:t>
      </w:r>
      <w:proofErr w:type="spellStart"/>
      <w:r>
        <w:rPr>
          <w:i/>
          <w:iCs/>
        </w:rPr>
        <w:t>Sull</w:t>
      </w:r>
      <w:proofErr w:type="spellEnd"/>
      <w:r>
        <w:rPr>
          <w:i/>
          <w:iCs/>
        </w:rPr>
        <w:t xml:space="preserve">., </w:t>
      </w:r>
      <w:r>
        <w:t xml:space="preserve">3.3; </w:t>
      </w:r>
      <w:r>
        <w:rPr>
          <w:i/>
          <w:iCs/>
        </w:rPr>
        <w:t>Mar.,</w:t>
      </w:r>
      <w:r>
        <w:t xml:space="preserve">10.4; Flor., 1.36.17; </w:t>
      </w:r>
      <w:proofErr w:type="spellStart"/>
      <w:r>
        <w:t>Oros</w:t>
      </w:r>
      <w:proofErr w:type="spellEnd"/>
      <w:r>
        <w:t xml:space="preserve">., 5.15.18; </w:t>
      </w:r>
      <w:proofErr w:type="spellStart"/>
      <w:r>
        <w:t>Eutrop</w:t>
      </w:r>
      <w:proofErr w:type="spellEnd"/>
      <w:r>
        <w:t xml:space="preserve">., 4.27; </w:t>
      </w:r>
      <w:proofErr w:type="spellStart"/>
      <w:r>
        <w:t>Vell</w:t>
      </w:r>
      <w:proofErr w:type="spellEnd"/>
      <w:r>
        <w:t xml:space="preserve">., 2.12.1; </w:t>
      </w:r>
      <w:proofErr w:type="spellStart"/>
      <w:r>
        <w:t>Liv</w:t>
      </w:r>
      <w:proofErr w:type="spellEnd"/>
      <w:r>
        <w:t xml:space="preserve">., </w:t>
      </w:r>
      <w:r>
        <w:rPr>
          <w:i/>
          <w:iCs/>
        </w:rPr>
        <w:t xml:space="preserve">Per., </w:t>
      </w:r>
      <w:r>
        <w:t xml:space="preserve">66. Ze wszystkich przekazów antycznych milczy o Sulli zaledwie jeden: Cass. Dio, 26.89.6. Na temat zakończenia wojny w Numidii zob. np.: A. </w:t>
      </w:r>
      <w:proofErr w:type="spellStart"/>
      <w:r>
        <w:t>Keaveney</w:t>
      </w:r>
      <w:proofErr w:type="spellEnd"/>
      <w:r>
        <w:t xml:space="preserve">, </w:t>
      </w:r>
      <w:r>
        <w:rPr>
          <w:i/>
          <w:iCs/>
        </w:rPr>
        <w:t xml:space="preserve">Sulla: The </w:t>
      </w:r>
      <w:proofErr w:type="spellStart"/>
      <w:r>
        <w:rPr>
          <w:i/>
          <w:iCs/>
        </w:rPr>
        <w:t>Last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Republican</w:t>
      </w:r>
      <w:proofErr w:type="spellEnd"/>
      <w:r>
        <w:rPr>
          <w:i/>
          <w:iCs/>
        </w:rPr>
        <w:t xml:space="preserve">, </w:t>
      </w:r>
      <w:proofErr w:type="spellStart"/>
      <w:r>
        <w:t>Routledge</w:t>
      </w:r>
      <w:proofErr w:type="spellEnd"/>
      <w:r>
        <w:t xml:space="preserve"> 2005, s. 19-21; M. Maciejowski, </w:t>
      </w:r>
      <w:r w:rsidR="00272873">
        <w:rPr>
          <w:i/>
          <w:iCs/>
        </w:rPr>
        <w:t>op. cit.</w:t>
      </w:r>
      <w:r>
        <w:t xml:space="preserve">, s. 141-148; N. Fields, </w:t>
      </w:r>
      <w:r>
        <w:rPr>
          <w:i/>
          <w:iCs/>
        </w:rPr>
        <w:t xml:space="preserve">Roman </w:t>
      </w:r>
      <w:proofErr w:type="spellStart"/>
      <w:r>
        <w:rPr>
          <w:i/>
          <w:iCs/>
        </w:rPr>
        <w:t>Conquests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North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Africa</w:t>
      </w:r>
      <w:proofErr w:type="spellEnd"/>
      <w:r>
        <w:rPr>
          <w:i/>
          <w:iCs/>
        </w:rPr>
        <w:t xml:space="preserve">, </w:t>
      </w:r>
      <w:r>
        <w:t xml:space="preserve">Barnsley 2010, s. 111-113; M. </w:t>
      </w:r>
      <w:proofErr w:type="spellStart"/>
      <w:r>
        <w:t>Labitzke</w:t>
      </w:r>
      <w:proofErr w:type="spellEnd"/>
      <w:r>
        <w:t xml:space="preserve">, </w:t>
      </w:r>
      <w:r>
        <w:rPr>
          <w:i/>
          <w:iCs/>
        </w:rPr>
        <w:t>op. cit.</w:t>
      </w:r>
      <w:r>
        <w:t>, s. 94-101.</w:t>
      </w:r>
    </w:p>
  </w:footnote>
  <w:footnote w:id="4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tab/>
        <w:t xml:space="preserve">Świadczy o tym przede wszystkim makabryczny rytuał, który zastosowano po raz ostatni w historii Republiki, a polegał on na zakopaniu żywcem pary Galów na Forum </w:t>
      </w:r>
      <w:proofErr w:type="spellStart"/>
      <w:r>
        <w:t>Boarium</w:t>
      </w:r>
      <w:proofErr w:type="spellEnd"/>
      <w:r>
        <w:t xml:space="preserve">: Plut., </w:t>
      </w:r>
      <w:r>
        <w:rPr>
          <w:i/>
          <w:iCs/>
        </w:rPr>
        <w:t xml:space="preserve">Mor., </w:t>
      </w:r>
      <w:r>
        <w:t xml:space="preserve">283F-284C. Szerzej na temat obrządku, zob. np. K. Latte, </w:t>
      </w:r>
      <w:proofErr w:type="spellStart"/>
      <w:r>
        <w:rPr>
          <w:i/>
          <w:iCs/>
        </w:rPr>
        <w:t>Römische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Religiongeschichte</w:t>
      </w:r>
      <w:proofErr w:type="spellEnd"/>
      <w:r>
        <w:t xml:space="preserve">, </w:t>
      </w:r>
      <w:proofErr w:type="spellStart"/>
      <w:r>
        <w:t>München</w:t>
      </w:r>
      <w:proofErr w:type="spellEnd"/>
      <w:r>
        <w:t xml:space="preserve"> 1960, s. 256-258; M. </w:t>
      </w:r>
      <w:proofErr w:type="spellStart"/>
      <w:r>
        <w:t>Beard</w:t>
      </w:r>
      <w:proofErr w:type="spellEnd"/>
      <w:r>
        <w:t xml:space="preserve">, J. </w:t>
      </w:r>
      <w:proofErr w:type="spellStart"/>
      <w:r>
        <w:t>North</w:t>
      </w:r>
      <w:proofErr w:type="spellEnd"/>
      <w:r>
        <w:t xml:space="preserve">, S. </w:t>
      </w:r>
      <w:proofErr w:type="spellStart"/>
      <w:r>
        <w:t>Price</w:t>
      </w:r>
      <w:proofErr w:type="spellEnd"/>
      <w:r>
        <w:t xml:space="preserve">, </w:t>
      </w:r>
      <w:r>
        <w:rPr>
          <w:i/>
          <w:iCs/>
        </w:rPr>
        <w:t>Religie Rzymu. Historia</w:t>
      </w:r>
      <w:r>
        <w:t xml:space="preserve">, przeł. M.J. Baranowski i L. Olszewski, Oświęcim 2017, s. 109. Także inni autorzy antyczni uznawali Cymbrów i Teutonów za Galów, zob. np. </w:t>
      </w:r>
      <w:proofErr w:type="spellStart"/>
      <w:r>
        <w:t>Sall</w:t>
      </w:r>
      <w:proofErr w:type="spellEnd"/>
      <w:r>
        <w:t xml:space="preserve">., </w:t>
      </w:r>
      <w:r>
        <w:rPr>
          <w:i/>
          <w:iCs/>
        </w:rPr>
        <w:t xml:space="preserve">BI, </w:t>
      </w:r>
      <w:r>
        <w:t xml:space="preserve">114.3; </w:t>
      </w:r>
      <w:proofErr w:type="spellStart"/>
      <w:r>
        <w:t>Oros</w:t>
      </w:r>
      <w:proofErr w:type="spellEnd"/>
      <w:r>
        <w:t xml:space="preserve">., 5.15.9; Flor., 1.38.1. </w:t>
      </w:r>
    </w:p>
  </w:footnote>
  <w:footnote w:id="47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</w:t>
      </w:r>
      <w:proofErr w:type="spellStart"/>
      <w:r w:rsidR="00F8296F" w:rsidRPr="00F8296F">
        <w:rPr>
          <w:lang w:val="en-US"/>
        </w:rPr>
        <w:t>Sall</w:t>
      </w:r>
      <w:proofErr w:type="spellEnd"/>
      <w:r w:rsidR="00F8296F" w:rsidRPr="00F8296F">
        <w:rPr>
          <w:lang w:val="en-US"/>
        </w:rPr>
        <w:t xml:space="preserve">., </w:t>
      </w:r>
      <w:r w:rsidR="00F8296F" w:rsidRPr="00F8296F">
        <w:rPr>
          <w:i/>
          <w:iCs/>
          <w:lang w:val="en-US"/>
        </w:rPr>
        <w:t xml:space="preserve">BI, </w:t>
      </w:r>
      <w:r w:rsidR="00F8296F">
        <w:rPr>
          <w:lang w:val="en-US"/>
        </w:rPr>
        <w:t xml:space="preserve">114.4; </w:t>
      </w:r>
      <w:proofErr w:type="spellStart"/>
      <w:r w:rsidR="00F8296F">
        <w:rPr>
          <w:lang w:val="en-US"/>
        </w:rPr>
        <w:t>Vell</w:t>
      </w:r>
      <w:proofErr w:type="spellEnd"/>
      <w:r w:rsidR="00F8296F">
        <w:rPr>
          <w:lang w:val="en-US"/>
        </w:rPr>
        <w:t>., 2.12.1;</w:t>
      </w:r>
      <w:r w:rsidR="00F8296F" w:rsidRPr="00F8296F">
        <w:rPr>
          <w:lang w:val="en-US"/>
        </w:rPr>
        <w:t xml:space="preserve"> </w:t>
      </w:r>
      <w:proofErr w:type="spellStart"/>
      <w:r w:rsidR="00F8296F">
        <w:rPr>
          <w:lang w:val="en-US"/>
        </w:rPr>
        <w:t>Diod</w:t>
      </w:r>
      <w:proofErr w:type="spellEnd"/>
      <w:r w:rsidR="00F8296F">
        <w:rPr>
          <w:lang w:val="en-US"/>
        </w:rPr>
        <w:t xml:space="preserve">. Sic., 36.3.1; </w:t>
      </w:r>
      <w:r>
        <w:rPr>
          <w:lang w:val="en-US"/>
        </w:rPr>
        <w:t xml:space="preserve">Cass. </w:t>
      </w:r>
      <w:proofErr w:type="spellStart"/>
      <w:r>
        <w:rPr>
          <w:lang w:val="en-US"/>
        </w:rPr>
        <w:t>Di</w:t>
      </w:r>
      <w:r w:rsidR="00F8296F">
        <w:rPr>
          <w:lang w:val="en-US"/>
        </w:rPr>
        <w:t>o</w:t>
      </w:r>
      <w:proofErr w:type="spellEnd"/>
      <w:r w:rsidR="00F8296F">
        <w:rPr>
          <w:lang w:val="en-US"/>
        </w:rPr>
        <w:t xml:space="preserve">, 27.94.1. </w:t>
      </w:r>
    </w:p>
  </w:footnote>
  <w:footnote w:id="48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Plut., </w:t>
      </w:r>
      <w:r>
        <w:rPr>
          <w:rFonts w:eastAsia="Arial Unicode MS" w:cs="Arial Unicode MS"/>
          <w:i/>
          <w:iCs/>
        </w:rPr>
        <w:t xml:space="preserve">Mar., </w:t>
      </w:r>
      <w:r>
        <w:rPr>
          <w:rFonts w:eastAsia="Arial Unicode MS" w:cs="Arial Unicode MS"/>
        </w:rPr>
        <w:t xml:space="preserve">28.5. </w:t>
      </w:r>
    </w:p>
  </w:footnote>
  <w:footnote w:id="49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O związkach P. </w:t>
      </w:r>
      <w:proofErr w:type="spellStart"/>
      <w:r>
        <w:t>Rutyliusza</w:t>
      </w:r>
      <w:proofErr w:type="spellEnd"/>
      <w:r>
        <w:t xml:space="preserve"> Rufusa z Cecyliuszami </w:t>
      </w:r>
      <w:proofErr w:type="spellStart"/>
      <w:r>
        <w:t>Metellusami</w:t>
      </w:r>
      <w:proofErr w:type="spellEnd"/>
      <w:r>
        <w:t xml:space="preserve">, patrz przyp. </w:t>
      </w:r>
      <w:r>
        <w:rPr>
          <w:lang w:val="en-US"/>
        </w:rPr>
        <w:t xml:space="preserve">33. </w:t>
      </w:r>
    </w:p>
  </w:footnote>
  <w:footnote w:id="50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MRR I, s. 558. </w:t>
      </w:r>
      <w:r>
        <w:rPr>
          <w:i/>
          <w:iCs/>
          <w:lang w:val="en-US"/>
        </w:rPr>
        <w:t xml:space="preserve">Homo </w:t>
      </w:r>
      <w:proofErr w:type="spellStart"/>
      <w:r>
        <w:rPr>
          <w:i/>
          <w:iCs/>
          <w:lang w:val="en-US"/>
        </w:rPr>
        <w:t>novus</w:t>
      </w:r>
      <w:proofErr w:type="spellEnd"/>
      <w:r>
        <w:rPr>
          <w:i/>
          <w:iCs/>
          <w:lang w:val="en-US"/>
        </w:rPr>
        <w:t xml:space="preserve">: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In </w:t>
      </w:r>
      <w:proofErr w:type="spellStart"/>
      <w:r>
        <w:rPr>
          <w:i/>
          <w:iCs/>
          <w:lang w:val="en-US"/>
        </w:rPr>
        <w:t>Verr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2.5.181;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Planc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52; por. T.C. Brennan, </w:t>
      </w:r>
      <w:r>
        <w:rPr>
          <w:i/>
          <w:iCs/>
          <w:lang w:val="en-US"/>
        </w:rPr>
        <w:t>The Praetorship in the Roman Republic</w:t>
      </w:r>
      <w:r>
        <w:rPr>
          <w:lang w:val="en-US"/>
        </w:rPr>
        <w:t xml:space="preserve">, vol. II, Oxford 2001, s. 904-905,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179. </w:t>
      </w:r>
    </w:p>
  </w:footnote>
  <w:footnote w:id="5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Planc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12; </w:t>
      </w:r>
      <w:r>
        <w:rPr>
          <w:i/>
          <w:iCs/>
          <w:lang w:val="en-US"/>
        </w:rPr>
        <w:t xml:space="preserve">Pro Mur., </w:t>
      </w:r>
      <w:r>
        <w:rPr>
          <w:lang w:val="en-US"/>
        </w:rPr>
        <w:t xml:space="preserve">36; por. T. R. S. Broughton, </w:t>
      </w:r>
      <w:r>
        <w:rPr>
          <w:i/>
          <w:iCs/>
          <w:lang w:val="en-US"/>
        </w:rPr>
        <w:t>Candidates Defeated in Roman Elections: some ancient Roman 'also-rans'</w:t>
      </w:r>
      <w:r>
        <w:rPr>
          <w:lang w:val="en-US"/>
        </w:rPr>
        <w:t xml:space="preserve">, „Transactions of the American Philological Association” 1991, 81, 4, s. 13-14; F. Pina Polo, </w:t>
      </w:r>
      <w:proofErr w:type="spellStart"/>
      <w:r>
        <w:rPr>
          <w:i/>
          <w:iCs/>
          <w:lang w:val="en-US"/>
        </w:rPr>
        <w:t>Veteres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candidati</w:t>
      </w:r>
      <w:proofErr w:type="spellEnd"/>
      <w:r>
        <w:rPr>
          <w:i/>
          <w:iCs/>
          <w:lang w:val="en-US"/>
        </w:rPr>
        <w:t>: losers in the elections in republican Rome</w:t>
      </w:r>
      <w:r>
        <w:rPr>
          <w:lang w:val="en-US"/>
        </w:rPr>
        <w:t xml:space="preserve">, w: F. M. Simon, F. P. Polo, J. R. Rodriguez (red.), </w:t>
      </w:r>
      <w:proofErr w:type="spellStart"/>
      <w:r>
        <w:rPr>
          <w:i/>
          <w:iCs/>
          <w:lang w:val="en-US"/>
        </w:rPr>
        <w:t>Vae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Victis</w:t>
      </w:r>
      <w:proofErr w:type="spellEnd"/>
      <w:r>
        <w:rPr>
          <w:i/>
          <w:iCs/>
          <w:lang w:val="en-US"/>
        </w:rPr>
        <w:t xml:space="preserve">! </w:t>
      </w:r>
      <w:proofErr w:type="spellStart"/>
      <w:r>
        <w:rPr>
          <w:i/>
          <w:iCs/>
          <w:lang w:val="en-US"/>
        </w:rPr>
        <w:t>Perdedores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en</w:t>
      </w:r>
      <w:proofErr w:type="spellEnd"/>
      <w:r>
        <w:rPr>
          <w:i/>
          <w:iCs/>
          <w:lang w:val="en-US"/>
        </w:rPr>
        <w:t xml:space="preserve"> el </w:t>
      </w:r>
      <w:proofErr w:type="spellStart"/>
      <w:r>
        <w:rPr>
          <w:i/>
          <w:iCs/>
          <w:lang w:val="en-US"/>
        </w:rPr>
        <w:t>mundo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antiguo</w:t>
      </w:r>
      <w:proofErr w:type="spellEnd"/>
      <w:r>
        <w:rPr>
          <w:lang w:val="en-US"/>
        </w:rPr>
        <w:t xml:space="preserve">, Barcelona 2012, s. 77.  </w:t>
      </w:r>
    </w:p>
  </w:footnote>
  <w:footnote w:id="5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De off., </w:t>
      </w:r>
      <w:r>
        <w:rPr>
          <w:lang w:val="en-US"/>
        </w:rPr>
        <w:t xml:space="preserve">3.77;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Planc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12; </w:t>
      </w:r>
      <w:r>
        <w:rPr>
          <w:i/>
          <w:iCs/>
          <w:lang w:val="en-US"/>
        </w:rPr>
        <w:t xml:space="preserve">Brut., </w:t>
      </w:r>
      <w:r>
        <w:rPr>
          <w:lang w:val="en-US"/>
        </w:rPr>
        <w:t xml:space="preserve">129; por. G.V. Sumner, </w:t>
      </w:r>
      <w:r>
        <w:rPr>
          <w:i/>
          <w:iCs/>
          <w:lang w:val="en-US"/>
        </w:rPr>
        <w:t>The Orators in Cicero's Brutus: Prosopography and Chronology</w:t>
      </w:r>
      <w:r>
        <w:rPr>
          <w:lang w:val="en-US"/>
        </w:rPr>
        <w:t xml:space="preserve">, Toronto 1973, s. 76. </w:t>
      </w:r>
    </w:p>
  </w:footnote>
  <w:footnote w:id="5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Innego zdania są np. R. </w:t>
      </w:r>
      <w:proofErr w:type="spellStart"/>
      <w:r>
        <w:t>Syme</w:t>
      </w:r>
      <w:proofErr w:type="spellEnd"/>
      <w:r>
        <w:t xml:space="preserve">, </w:t>
      </w:r>
      <w:r>
        <w:rPr>
          <w:i/>
          <w:iCs/>
        </w:rPr>
        <w:t xml:space="preserve">Rewolucja…, </w:t>
      </w:r>
      <w:r>
        <w:t xml:space="preserve">ed. cit., s. 96, przyp. </w:t>
      </w:r>
      <w:r>
        <w:rPr>
          <w:lang w:val="en-US"/>
        </w:rPr>
        <w:t xml:space="preserve">88; E. </w:t>
      </w:r>
      <w:proofErr w:type="spellStart"/>
      <w:r>
        <w:rPr>
          <w:lang w:val="en-US"/>
        </w:rPr>
        <w:t>Badian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Foreign…, </w:t>
      </w:r>
      <w:r>
        <w:rPr>
          <w:lang w:val="en-US"/>
        </w:rPr>
        <w:t xml:space="preserve">ed. cit., s. 201,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9;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</w:t>
      </w:r>
      <w:r>
        <w:rPr>
          <w:lang w:val="en-US"/>
        </w:rPr>
        <w:t xml:space="preserve">, ed. cit., s. 187, 190. </w:t>
      </w:r>
      <w:r>
        <w:t xml:space="preserve">Za opinią o porozumieniu Mariusza z </w:t>
      </w:r>
      <w:proofErr w:type="spellStart"/>
      <w:r>
        <w:t>Fimbrią</w:t>
      </w:r>
      <w:proofErr w:type="spellEnd"/>
      <w:r>
        <w:t xml:space="preserve">, można przytoczyć jedynie prywatny antagonizm tego drugiego z M. Emiliuszem </w:t>
      </w:r>
      <w:proofErr w:type="spellStart"/>
      <w:r>
        <w:t>Skaurusem</w:t>
      </w:r>
      <w:proofErr w:type="spellEnd"/>
      <w:r>
        <w:t xml:space="preserve">: </w:t>
      </w:r>
      <w:proofErr w:type="spellStart"/>
      <w:r>
        <w:t>Cic</w:t>
      </w:r>
      <w:proofErr w:type="spellEnd"/>
      <w:r>
        <w:t xml:space="preserve">., </w:t>
      </w:r>
      <w:r>
        <w:rPr>
          <w:i/>
          <w:iCs/>
        </w:rPr>
        <w:t xml:space="preserve">Pro Font., </w:t>
      </w:r>
      <w:r>
        <w:t xml:space="preserve">24; por. </w:t>
      </w:r>
      <w:r>
        <w:rPr>
          <w:lang w:val="en-US"/>
        </w:rPr>
        <w:t xml:space="preserve">D.F. Epstein, </w:t>
      </w:r>
      <w:r>
        <w:rPr>
          <w:i/>
          <w:iCs/>
          <w:lang w:val="en-US"/>
        </w:rPr>
        <w:t>op. cit.</w:t>
      </w:r>
      <w:r>
        <w:rPr>
          <w:lang w:val="en-US"/>
        </w:rPr>
        <w:t>, s. 107.</w:t>
      </w:r>
    </w:p>
  </w:footnote>
  <w:footnote w:id="5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>Pro Font.,</w:t>
      </w:r>
      <w:r>
        <w:rPr>
          <w:lang w:val="en-US"/>
        </w:rPr>
        <w:t xml:space="preserve"> 24, 26; </w:t>
      </w:r>
      <w:r>
        <w:rPr>
          <w:i/>
          <w:iCs/>
          <w:lang w:val="en-US"/>
        </w:rPr>
        <w:t>Brut.</w:t>
      </w:r>
      <w:r>
        <w:rPr>
          <w:lang w:val="en-US"/>
        </w:rPr>
        <w:t xml:space="preserve">, 168; Val. Max., 8.5.2. </w:t>
      </w:r>
      <w:r>
        <w:t xml:space="preserve">Data roczna procesu pozostaje niejasna, por. </w:t>
      </w:r>
      <w:r>
        <w:rPr>
          <w:lang w:val="en-US"/>
        </w:rPr>
        <w:t xml:space="preserve">M. C. Alexander, </w:t>
      </w:r>
      <w:r>
        <w:rPr>
          <w:i/>
          <w:iCs/>
          <w:lang w:val="en-US"/>
        </w:rPr>
        <w:t>Trials in the Late Roman Republic, 149 BC to 50 BC</w:t>
      </w:r>
      <w:r>
        <w:rPr>
          <w:lang w:val="en-US"/>
        </w:rPr>
        <w:t xml:space="preserve">, Toronto 1990, s. 31. </w:t>
      </w:r>
    </w:p>
  </w:footnote>
  <w:footnote w:id="55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Pro leg. Man., </w:t>
      </w:r>
      <w:r>
        <w:rPr>
          <w:lang w:val="en-US"/>
        </w:rPr>
        <w:t xml:space="preserve">60; </w:t>
      </w:r>
      <w:r>
        <w:rPr>
          <w:i/>
          <w:iCs/>
          <w:lang w:val="en-US"/>
        </w:rPr>
        <w:t xml:space="preserve">De prov. cons., </w:t>
      </w:r>
      <w:r>
        <w:rPr>
          <w:lang w:val="en-US"/>
        </w:rPr>
        <w:t xml:space="preserve">19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32; </w:t>
      </w:r>
      <w:proofErr w:type="spellStart"/>
      <w:r>
        <w:rPr>
          <w:lang w:val="en-US"/>
        </w:rPr>
        <w:t>Sall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BI, </w:t>
      </w:r>
      <w:r>
        <w:rPr>
          <w:lang w:val="en-US"/>
        </w:rPr>
        <w:t xml:space="preserve">114.3; </w:t>
      </w:r>
      <w:proofErr w:type="spellStart"/>
      <w:r w:rsidR="00F8296F">
        <w:rPr>
          <w:lang w:val="en-US"/>
        </w:rPr>
        <w:t>Vell</w:t>
      </w:r>
      <w:proofErr w:type="spellEnd"/>
      <w:r w:rsidR="00F8296F">
        <w:rPr>
          <w:lang w:val="en-US"/>
        </w:rPr>
        <w:t xml:space="preserve">., 2.12.2; </w:t>
      </w:r>
      <w:r>
        <w:rPr>
          <w:lang w:val="en-US"/>
        </w:rPr>
        <w:t xml:space="preserve">Flor., 1.38.5-6 z R. Evans, </w:t>
      </w:r>
      <w:r>
        <w:rPr>
          <w:i/>
          <w:iCs/>
          <w:lang w:val="en-US"/>
        </w:rPr>
        <w:t>Gaius Marius…</w:t>
      </w:r>
      <w:r>
        <w:rPr>
          <w:lang w:val="en-US"/>
        </w:rPr>
        <w:t>, ed. cit., s. 81-82.</w:t>
      </w:r>
    </w:p>
  </w:footnote>
  <w:footnote w:id="56">
    <w:p w:rsidR="0039189C" w:rsidRDefault="003032C1">
      <w:pPr>
        <w:pStyle w:val="Tekstprzypisudolnego"/>
        <w:jc w:val="both"/>
      </w:pPr>
      <w:r>
        <w:rPr>
          <w:i/>
          <w:iCs/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F. </w:t>
      </w:r>
      <w:proofErr w:type="spellStart"/>
      <w:r>
        <w:rPr>
          <w:lang w:val="en-US"/>
        </w:rPr>
        <w:t>Münzer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302-305;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ed. cit., s. 106-135; M. </w:t>
      </w:r>
      <w:proofErr w:type="spellStart"/>
      <w:r>
        <w:rPr>
          <w:lang w:val="en-US"/>
        </w:rPr>
        <w:t>Vardelli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77-84; H. </w:t>
      </w:r>
      <w:proofErr w:type="spellStart"/>
      <w:r>
        <w:rPr>
          <w:lang w:val="en-US"/>
        </w:rPr>
        <w:t>Bruhns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Parenté</w:t>
      </w:r>
      <w:proofErr w:type="spellEnd"/>
      <w:r>
        <w:rPr>
          <w:i/>
          <w:iCs/>
          <w:lang w:val="en-US"/>
        </w:rPr>
        <w:t xml:space="preserve"> et alliances </w:t>
      </w:r>
      <w:proofErr w:type="spellStart"/>
      <w:r>
        <w:rPr>
          <w:i/>
          <w:iCs/>
          <w:lang w:val="en-US"/>
        </w:rPr>
        <w:t>politiques</w:t>
      </w:r>
      <w:proofErr w:type="spellEnd"/>
      <w:r>
        <w:rPr>
          <w:i/>
          <w:iCs/>
          <w:lang w:val="en-US"/>
        </w:rPr>
        <w:t xml:space="preserve"> à la fin de la </w:t>
      </w:r>
      <w:proofErr w:type="spellStart"/>
      <w:r>
        <w:rPr>
          <w:i/>
          <w:iCs/>
          <w:lang w:val="en-US"/>
        </w:rPr>
        <w:t>République</w:t>
      </w:r>
      <w:proofErr w:type="spellEnd"/>
      <w:r>
        <w:rPr>
          <w:i/>
          <w:iCs/>
          <w:lang w:val="en-US"/>
        </w:rPr>
        <w:t xml:space="preserve"> romaine</w:t>
      </w:r>
      <w:r>
        <w:rPr>
          <w:lang w:val="en-US"/>
        </w:rPr>
        <w:t xml:space="preserve">, w: J. </w:t>
      </w:r>
      <w:proofErr w:type="spellStart"/>
      <w:r>
        <w:rPr>
          <w:lang w:val="en-US"/>
        </w:rPr>
        <w:t>Andreau</w:t>
      </w:r>
      <w:proofErr w:type="spellEnd"/>
      <w:r>
        <w:rPr>
          <w:lang w:val="en-US"/>
        </w:rPr>
        <w:t xml:space="preserve">, H. </w:t>
      </w:r>
      <w:proofErr w:type="spellStart"/>
      <w:r>
        <w:rPr>
          <w:lang w:val="en-US"/>
        </w:rPr>
        <w:t>Bruhns</w:t>
      </w:r>
      <w:proofErr w:type="spellEnd"/>
      <w:r>
        <w:rPr>
          <w:lang w:val="en-US"/>
        </w:rPr>
        <w:t xml:space="preserve"> (ed.), </w:t>
      </w:r>
      <w:proofErr w:type="spellStart"/>
      <w:r>
        <w:rPr>
          <w:i/>
          <w:iCs/>
          <w:lang w:val="en-US"/>
        </w:rPr>
        <w:t>Parenté</w:t>
      </w:r>
      <w:proofErr w:type="spellEnd"/>
      <w:r>
        <w:rPr>
          <w:i/>
          <w:iCs/>
          <w:lang w:val="en-US"/>
        </w:rPr>
        <w:t xml:space="preserve"> et </w:t>
      </w:r>
      <w:proofErr w:type="spellStart"/>
      <w:r>
        <w:rPr>
          <w:i/>
          <w:iCs/>
          <w:lang w:val="en-US"/>
        </w:rPr>
        <w:t>stratégies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familiales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dansl'Antiquité</w:t>
      </w:r>
      <w:proofErr w:type="spellEnd"/>
      <w:r>
        <w:rPr>
          <w:i/>
          <w:iCs/>
          <w:lang w:val="en-US"/>
        </w:rPr>
        <w:t xml:space="preserve"> romaine. </w:t>
      </w:r>
      <w:proofErr w:type="spellStart"/>
      <w:r>
        <w:rPr>
          <w:i/>
          <w:iCs/>
          <w:lang w:val="en-US"/>
        </w:rPr>
        <w:t>Actes</w:t>
      </w:r>
      <w:proofErr w:type="spellEnd"/>
      <w:r>
        <w:rPr>
          <w:i/>
          <w:iCs/>
          <w:lang w:val="en-US"/>
        </w:rPr>
        <w:t xml:space="preserve"> de la table ronde des 2-4 </w:t>
      </w:r>
      <w:proofErr w:type="spellStart"/>
      <w:r>
        <w:rPr>
          <w:i/>
          <w:iCs/>
          <w:lang w:val="en-US"/>
        </w:rPr>
        <w:t>octobre</w:t>
      </w:r>
      <w:proofErr w:type="spellEnd"/>
      <w:r>
        <w:rPr>
          <w:i/>
          <w:iCs/>
          <w:lang w:val="en-US"/>
        </w:rPr>
        <w:t xml:space="preserve"> 1986,</w:t>
      </w:r>
      <w:r>
        <w:rPr>
          <w:lang w:val="en-US"/>
        </w:rPr>
        <w:t xml:space="preserve"> Paris 1990, s. 587-590. </w:t>
      </w:r>
    </w:p>
  </w:footnote>
  <w:footnote w:id="57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Por. </w:t>
      </w:r>
      <w:proofErr w:type="spellStart"/>
      <w:r>
        <w:rPr>
          <w:rFonts w:eastAsia="Arial Unicode MS" w:cs="Arial Unicode MS"/>
        </w:rPr>
        <w:t>Cic</w:t>
      </w:r>
      <w:proofErr w:type="spellEnd"/>
      <w:r>
        <w:rPr>
          <w:rFonts w:eastAsia="Arial Unicode MS" w:cs="Arial Unicode MS"/>
        </w:rPr>
        <w:t xml:space="preserve">., </w:t>
      </w:r>
      <w:r>
        <w:rPr>
          <w:rFonts w:eastAsia="Arial Unicode MS" w:cs="Arial Unicode MS"/>
          <w:i/>
          <w:iCs/>
        </w:rPr>
        <w:t xml:space="preserve">ad </w:t>
      </w:r>
      <w:proofErr w:type="spellStart"/>
      <w:r>
        <w:rPr>
          <w:rFonts w:eastAsia="Arial Unicode MS" w:cs="Arial Unicode MS"/>
          <w:i/>
          <w:iCs/>
        </w:rPr>
        <w:t>Att</w:t>
      </w:r>
      <w:proofErr w:type="spellEnd"/>
      <w:r>
        <w:rPr>
          <w:rFonts w:eastAsia="Arial Unicode MS" w:cs="Arial Unicode MS"/>
          <w:i/>
          <w:iCs/>
        </w:rPr>
        <w:t xml:space="preserve">., </w:t>
      </w:r>
      <w:r>
        <w:rPr>
          <w:rFonts w:eastAsia="Arial Unicode MS" w:cs="Arial Unicode MS"/>
        </w:rPr>
        <w:t xml:space="preserve">1.1. </w:t>
      </w:r>
    </w:p>
  </w:footnote>
  <w:footnote w:id="58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Wolty polityczne </w:t>
      </w:r>
      <w:proofErr w:type="spellStart"/>
      <w:r>
        <w:t>Filippusa</w:t>
      </w:r>
      <w:proofErr w:type="spellEnd"/>
      <w:r>
        <w:t xml:space="preserve"> stały się przysłowiowe, por. R. </w:t>
      </w:r>
      <w:proofErr w:type="spellStart"/>
      <w:r>
        <w:t>Syme</w:t>
      </w:r>
      <w:proofErr w:type="spellEnd"/>
      <w:r>
        <w:t xml:space="preserve">, </w:t>
      </w:r>
      <w:r>
        <w:rPr>
          <w:i/>
          <w:iCs/>
        </w:rPr>
        <w:t>Rewolucja…,</w:t>
      </w:r>
      <w:r>
        <w:t xml:space="preserve"> s. 19. G. </w:t>
      </w:r>
      <w:proofErr w:type="spellStart"/>
      <w:r>
        <w:t>Doblhofer</w:t>
      </w:r>
      <w:proofErr w:type="spellEnd"/>
      <w:r>
        <w:t xml:space="preserve">, zalicza go do “popularów”, ale jest to niedorzeczne, zob. </w:t>
      </w:r>
      <w:r>
        <w:rPr>
          <w:lang w:val="en-US"/>
        </w:rPr>
        <w:t xml:space="preserve">G. </w:t>
      </w:r>
      <w:proofErr w:type="spellStart"/>
      <w:r>
        <w:rPr>
          <w:lang w:val="en-US"/>
        </w:rPr>
        <w:t>Doblhofer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Die </w:t>
      </w:r>
      <w:proofErr w:type="spellStart"/>
      <w:r>
        <w:rPr>
          <w:i/>
          <w:iCs/>
          <w:lang w:val="en-US"/>
        </w:rPr>
        <w:t>popularen</w:t>
      </w:r>
      <w:proofErr w:type="spellEnd"/>
      <w:r>
        <w:rPr>
          <w:i/>
          <w:iCs/>
          <w:lang w:val="en-US"/>
        </w:rPr>
        <w:t xml:space="preserve"> der </w:t>
      </w:r>
      <w:proofErr w:type="spellStart"/>
      <w:r>
        <w:rPr>
          <w:i/>
          <w:iCs/>
          <w:lang w:val="en-US"/>
        </w:rPr>
        <w:t>Jahre</w:t>
      </w:r>
      <w:proofErr w:type="spellEnd"/>
      <w:r>
        <w:rPr>
          <w:i/>
          <w:iCs/>
          <w:lang w:val="en-US"/>
        </w:rPr>
        <w:t xml:space="preserve"> 111-99 </w:t>
      </w:r>
      <w:proofErr w:type="spellStart"/>
      <w:r>
        <w:rPr>
          <w:i/>
          <w:iCs/>
          <w:lang w:val="en-US"/>
        </w:rPr>
        <w:t>vor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Christus</w:t>
      </w:r>
      <w:proofErr w:type="spellEnd"/>
      <w:r>
        <w:rPr>
          <w:i/>
          <w:iCs/>
          <w:lang w:val="en-US"/>
        </w:rPr>
        <w:t xml:space="preserve">. </w:t>
      </w:r>
      <w:proofErr w:type="spellStart"/>
      <w:r>
        <w:rPr>
          <w:i/>
          <w:iCs/>
          <w:lang w:val="en-US"/>
        </w:rPr>
        <w:t>Eine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Studie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zur</w:t>
      </w:r>
      <w:proofErr w:type="spellEnd"/>
      <w:r>
        <w:rPr>
          <w:i/>
          <w:iCs/>
          <w:lang w:val="en-US"/>
        </w:rPr>
        <w:t xml:space="preserve"> Geschichte der </w:t>
      </w:r>
      <w:proofErr w:type="spellStart"/>
      <w:r>
        <w:rPr>
          <w:i/>
          <w:iCs/>
          <w:lang w:val="en-US"/>
        </w:rPr>
        <w:t>späten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römischen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Republik</w:t>
      </w:r>
      <w:proofErr w:type="spellEnd"/>
      <w:r>
        <w:rPr>
          <w:lang w:val="en-US"/>
        </w:rPr>
        <w:t xml:space="preserve">, Vienne-Cologne 1990, s. 69-73. </w:t>
      </w:r>
      <w:r>
        <w:t xml:space="preserve">Jego sylwetka i polityczne poglądy, zob. J. van </w:t>
      </w:r>
      <w:proofErr w:type="spellStart"/>
      <w:r>
        <w:t>Ooteghem</w:t>
      </w:r>
      <w:proofErr w:type="spellEnd"/>
      <w:r>
        <w:t xml:space="preserve">, </w:t>
      </w:r>
      <w:r>
        <w:rPr>
          <w:i/>
          <w:iCs/>
        </w:rPr>
        <w:t xml:space="preserve">Lucius </w:t>
      </w:r>
      <w:proofErr w:type="spellStart"/>
      <w:r>
        <w:rPr>
          <w:i/>
          <w:iCs/>
        </w:rPr>
        <w:t>Marcius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Philippus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Famille</w:t>
      </w:r>
      <w:proofErr w:type="spellEnd"/>
      <w:r>
        <w:rPr>
          <w:i/>
          <w:iCs/>
        </w:rPr>
        <w:t xml:space="preserve">, </w:t>
      </w:r>
      <w:proofErr w:type="spellStart"/>
      <w:r>
        <w:t>Bruxelles</w:t>
      </w:r>
      <w:proofErr w:type="spellEnd"/>
      <w:r>
        <w:t xml:space="preserve"> 1961, s. 101-170.</w:t>
      </w:r>
    </w:p>
  </w:footnote>
  <w:footnote w:id="59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De off., </w:t>
      </w:r>
      <w:r>
        <w:rPr>
          <w:lang w:val="en-US"/>
        </w:rPr>
        <w:t xml:space="preserve">2.73; por. MRR I, s. 560; E. </w:t>
      </w:r>
      <w:proofErr w:type="spellStart"/>
      <w:r>
        <w:rPr>
          <w:lang w:val="en-US"/>
        </w:rPr>
        <w:t>Flaig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176-177. </w:t>
      </w:r>
    </w:p>
  </w:footnote>
  <w:footnote w:id="60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MRR I, s. 559. Por.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s. 161-162.</w:t>
      </w:r>
    </w:p>
  </w:footnote>
  <w:footnote w:id="61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s. 141, 155, 161-164. </w:t>
      </w:r>
    </w:p>
  </w:footnote>
  <w:footnote w:id="6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Ascon</w:t>
      </w:r>
      <w:proofErr w:type="spellEnd"/>
      <w:r>
        <w:rPr>
          <w:lang w:val="en-US"/>
        </w:rPr>
        <w:t xml:space="preserve">., 78C: </w:t>
      </w:r>
      <w:proofErr w:type="spellStart"/>
      <w:r>
        <w:rPr>
          <w:i/>
          <w:iCs/>
          <w:lang w:val="en-US"/>
        </w:rPr>
        <w:t>populus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quia</w:t>
      </w:r>
      <w:proofErr w:type="spellEnd"/>
      <w:r>
        <w:rPr>
          <w:i/>
          <w:iCs/>
          <w:lang w:val="en-US"/>
        </w:rPr>
        <w:t xml:space="preserve"> male </w:t>
      </w:r>
      <w:proofErr w:type="spellStart"/>
      <w:r>
        <w:rPr>
          <w:i/>
          <w:iCs/>
          <w:lang w:val="en-US"/>
        </w:rPr>
        <w:t>adversus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Cimbros</w:t>
      </w:r>
      <w:proofErr w:type="spellEnd"/>
      <w:r>
        <w:rPr>
          <w:i/>
          <w:iCs/>
          <w:lang w:val="en-US"/>
        </w:rPr>
        <w:t xml:space="preserve"> rem </w:t>
      </w:r>
      <w:proofErr w:type="spellStart"/>
      <w:r>
        <w:rPr>
          <w:i/>
          <w:iCs/>
          <w:lang w:val="en-US"/>
        </w:rPr>
        <w:t>gesserat</w:t>
      </w:r>
      <w:proofErr w:type="spellEnd"/>
      <w:r>
        <w:rPr>
          <w:i/>
          <w:iCs/>
          <w:lang w:val="en-US"/>
        </w:rPr>
        <w:t xml:space="preserve">, imperium </w:t>
      </w:r>
      <w:proofErr w:type="spellStart"/>
      <w:r>
        <w:rPr>
          <w:i/>
          <w:iCs/>
          <w:lang w:val="en-US"/>
        </w:rPr>
        <w:t>abrogavit</w:t>
      </w:r>
      <w:proofErr w:type="spellEnd"/>
      <w:r>
        <w:rPr>
          <w:i/>
          <w:iCs/>
          <w:lang w:val="en-US"/>
        </w:rPr>
        <w:t xml:space="preserve"> (…) propter </w:t>
      </w:r>
      <w:proofErr w:type="spellStart"/>
      <w:r>
        <w:rPr>
          <w:i/>
          <w:iCs/>
          <w:lang w:val="en-US"/>
        </w:rPr>
        <w:t>simultates</w:t>
      </w:r>
      <w:proofErr w:type="spellEnd"/>
      <w:r>
        <w:rPr>
          <w:i/>
          <w:iCs/>
          <w:lang w:val="en-US"/>
        </w:rPr>
        <w:t xml:space="preserve"> cum Q. </w:t>
      </w:r>
      <w:proofErr w:type="spellStart"/>
      <w:r>
        <w:rPr>
          <w:i/>
          <w:iCs/>
          <w:lang w:val="en-US"/>
        </w:rPr>
        <w:t>Servilio</w:t>
      </w:r>
      <w:proofErr w:type="spellEnd"/>
      <w:r>
        <w:rPr>
          <w:i/>
          <w:iCs/>
          <w:lang w:val="en-US"/>
        </w:rPr>
        <w:t xml:space="preserve">. </w:t>
      </w:r>
      <w:r>
        <w:rPr>
          <w:lang w:val="en-US"/>
        </w:rPr>
        <w:t xml:space="preserve">Por.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s. 161-164; D.F. Epstein,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16. </w:t>
      </w:r>
    </w:p>
  </w:footnote>
  <w:footnote w:id="6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Deiot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31; </w:t>
      </w:r>
      <w:proofErr w:type="spellStart"/>
      <w:r>
        <w:rPr>
          <w:lang w:val="en-US"/>
        </w:rPr>
        <w:t>Ascon</w:t>
      </w:r>
      <w:proofErr w:type="spellEnd"/>
      <w:r>
        <w:rPr>
          <w:lang w:val="en-US"/>
        </w:rPr>
        <w:t xml:space="preserve">., 21C; </w:t>
      </w:r>
      <w:proofErr w:type="spellStart"/>
      <w:r w:rsidR="00F8296F">
        <w:rPr>
          <w:lang w:val="en-US"/>
        </w:rPr>
        <w:t>Plut</w:t>
      </w:r>
      <w:proofErr w:type="spellEnd"/>
      <w:r w:rsidR="00F8296F">
        <w:rPr>
          <w:lang w:val="en-US"/>
        </w:rPr>
        <w:t xml:space="preserve">., Mor., 91D; </w:t>
      </w:r>
      <w:r>
        <w:rPr>
          <w:lang w:val="en-US"/>
        </w:rPr>
        <w:t>Val. Max., 6.5.5; Cass.</w:t>
      </w:r>
      <w:r w:rsidR="00F8296F">
        <w:rPr>
          <w:lang w:val="en-US"/>
        </w:rPr>
        <w:t xml:space="preserve"> </w:t>
      </w:r>
      <w:proofErr w:type="spellStart"/>
      <w:r w:rsidR="00F8296F">
        <w:rPr>
          <w:lang w:val="en-US"/>
        </w:rPr>
        <w:t>Dio</w:t>
      </w:r>
      <w:proofErr w:type="spellEnd"/>
      <w:r w:rsidR="00F8296F">
        <w:rPr>
          <w:lang w:val="en-US"/>
        </w:rPr>
        <w:t>, 27.92.1.</w:t>
      </w:r>
    </w:p>
  </w:footnote>
  <w:footnote w:id="6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Ascon</w:t>
      </w:r>
      <w:proofErr w:type="spellEnd"/>
      <w:r>
        <w:rPr>
          <w:lang w:val="en-US"/>
        </w:rPr>
        <w:t xml:space="preserve">., 79-80C; por. M.G. Morgan,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211-212; B. Marshall,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419-423.  </w:t>
      </w:r>
    </w:p>
  </w:footnote>
  <w:footnote w:id="6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MRR I, s. 559; G.V. Sumner,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97-100; J. </w:t>
      </w:r>
      <w:proofErr w:type="spellStart"/>
      <w:r>
        <w:rPr>
          <w:lang w:val="en-US"/>
        </w:rPr>
        <w:t>Carlsen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The Rise and Fall of a Roman Noble Family. The </w:t>
      </w:r>
      <w:proofErr w:type="spellStart"/>
      <w:r>
        <w:rPr>
          <w:i/>
          <w:iCs/>
          <w:lang w:val="en-US"/>
        </w:rPr>
        <w:t>Domitii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Ahenobarbi</w:t>
      </w:r>
      <w:proofErr w:type="spellEnd"/>
      <w:r>
        <w:rPr>
          <w:i/>
          <w:iCs/>
          <w:lang w:val="en-US"/>
        </w:rPr>
        <w:t xml:space="preserve"> 196 BC – AD 68, </w:t>
      </w:r>
      <w:r>
        <w:rPr>
          <w:lang w:val="en-US"/>
        </w:rPr>
        <w:t xml:space="preserve">Odense 2006, s. 43,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90. </w:t>
      </w:r>
    </w:p>
  </w:footnote>
  <w:footnote w:id="66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</w:t>
      </w:r>
      <w:proofErr w:type="spellStart"/>
      <w:r>
        <w:rPr>
          <w:lang w:val="en-US"/>
        </w:rPr>
        <w:t>Vell</w:t>
      </w:r>
      <w:proofErr w:type="spellEnd"/>
      <w:r>
        <w:rPr>
          <w:lang w:val="en-US"/>
        </w:rPr>
        <w:t xml:space="preserve">., 2.11.3. </w:t>
      </w:r>
    </w:p>
  </w:footnote>
  <w:footnote w:id="67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Suet., </w:t>
      </w:r>
      <w:proofErr w:type="spellStart"/>
      <w:r>
        <w:rPr>
          <w:i/>
          <w:iCs/>
          <w:lang w:val="en-US"/>
        </w:rPr>
        <w:t>Ner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2.1; por. </w:t>
      </w:r>
      <w:proofErr w:type="spellStart"/>
      <w:r>
        <w:rPr>
          <w:lang w:val="en-US"/>
        </w:rPr>
        <w:t>Ascon</w:t>
      </w:r>
      <w:proofErr w:type="spellEnd"/>
      <w:r>
        <w:rPr>
          <w:lang w:val="en-US"/>
        </w:rPr>
        <w:t xml:space="preserve">., 21C z R.M. Geer,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292-294. </w:t>
      </w:r>
    </w:p>
  </w:footnote>
  <w:footnote w:id="68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Deiot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31; Val. Max., 6.5.5. Por. J. </w:t>
      </w:r>
      <w:proofErr w:type="spellStart"/>
      <w:r>
        <w:rPr>
          <w:lang w:val="en-US"/>
        </w:rPr>
        <w:t>Carlsen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op. cit., </w:t>
      </w:r>
      <w:r>
        <w:rPr>
          <w:lang w:val="en-US"/>
        </w:rPr>
        <w:t xml:space="preserve">s. 45. </w:t>
      </w:r>
      <w:r>
        <w:t xml:space="preserve">Na temat praktyki wytaczania politycznych procesów jako metody zdobycia popularności i prestiżu, zob. </w:t>
      </w:r>
      <w:r>
        <w:rPr>
          <w:lang w:val="en-US"/>
        </w:rPr>
        <w:t xml:space="preserve">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1-7; M.C. Alexander, </w:t>
      </w:r>
      <w:r>
        <w:rPr>
          <w:i/>
          <w:iCs/>
          <w:lang w:val="en-US"/>
        </w:rPr>
        <w:t>How Many Roman Senators Were Ever Prosecuted? The Evidence from the Late Republic</w:t>
      </w:r>
      <w:r>
        <w:rPr>
          <w:lang w:val="en-US"/>
        </w:rPr>
        <w:t xml:space="preserve">, „Phoenix” 1993, 47, 3, s.  238-255. </w:t>
      </w:r>
    </w:p>
  </w:footnote>
  <w:footnote w:id="69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 w:rsidR="00F8296F" w:rsidRPr="00F8296F">
        <w:rPr>
          <w:i/>
          <w:iCs/>
          <w:lang w:val="en-US"/>
        </w:rPr>
        <w:t>Rhet</w:t>
      </w:r>
      <w:proofErr w:type="spellEnd"/>
      <w:r w:rsidR="00F8296F" w:rsidRPr="00F8296F">
        <w:rPr>
          <w:i/>
          <w:iCs/>
          <w:lang w:val="en-US"/>
        </w:rPr>
        <w:t xml:space="preserve"> ad Her., </w:t>
      </w:r>
      <w:r w:rsidR="00F8296F" w:rsidRPr="00F8296F">
        <w:rPr>
          <w:lang w:val="en-US"/>
        </w:rPr>
        <w:t>1.20</w:t>
      </w:r>
      <w:r w:rsidR="00F8296F">
        <w:rPr>
          <w:lang w:val="en-US"/>
        </w:rPr>
        <w:t xml:space="preserve">;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De leg. </w:t>
      </w:r>
      <w:proofErr w:type="spellStart"/>
      <w:r>
        <w:rPr>
          <w:i/>
          <w:iCs/>
          <w:lang w:val="en-US"/>
        </w:rPr>
        <w:t>agr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2.18-19; </w:t>
      </w:r>
      <w:r>
        <w:rPr>
          <w:i/>
          <w:iCs/>
          <w:lang w:val="en-US"/>
        </w:rPr>
        <w:t xml:space="preserve">ad Brut., </w:t>
      </w:r>
      <w:r>
        <w:rPr>
          <w:lang w:val="en-US"/>
        </w:rPr>
        <w:t xml:space="preserve">1.5.3; </w:t>
      </w:r>
      <w:r>
        <w:rPr>
          <w:i/>
          <w:iCs/>
          <w:lang w:val="en-US"/>
        </w:rPr>
        <w:t xml:space="preserve">Pro Corn., </w:t>
      </w:r>
      <w:r>
        <w:rPr>
          <w:lang w:val="en-US"/>
        </w:rPr>
        <w:t xml:space="preserve">2; </w:t>
      </w:r>
      <w:proofErr w:type="spellStart"/>
      <w:r>
        <w:rPr>
          <w:lang w:val="en-US"/>
        </w:rPr>
        <w:t>Ascon</w:t>
      </w:r>
      <w:proofErr w:type="spellEnd"/>
      <w:r>
        <w:rPr>
          <w:lang w:val="en-US"/>
        </w:rPr>
        <w:t xml:space="preserve">., 79-80C; </w:t>
      </w:r>
      <w:proofErr w:type="spellStart"/>
      <w:r w:rsidR="00F8296F">
        <w:rPr>
          <w:lang w:val="en-US"/>
        </w:rPr>
        <w:t>Vell</w:t>
      </w:r>
      <w:proofErr w:type="spellEnd"/>
      <w:r w:rsidR="00F8296F">
        <w:rPr>
          <w:lang w:val="en-US"/>
        </w:rPr>
        <w:t xml:space="preserve">., 2.12.3; Cass. </w:t>
      </w:r>
      <w:proofErr w:type="spellStart"/>
      <w:r w:rsidR="00F8296F">
        <w:rPr>
          <w:lang w:val="en-US"/>
        </w:rPr>
        <w:t>Dio</w:t>
      </w:r>
      <w:proofErr w:type="spellEnd"/>
      <w:r w:rsidR="00F8296F">
        <w:rPr>
          <w:lang w:val="en-US"/>
        </w:rPr>
        <w:t>, 37.37.1</w:t>
      </w:r>
      <w:r>
        <w:rPr>
          <w:lang w:val="en-US"/>
        </w:rPr>
        <w:t xml:space="preserve">; por. L. R. Taylor, </w:t>
      </w:r>
      <w:r>
        <w:rPr>
          <w:i/>
          <w:iCs/>
          <w:lang w:val="en-US"/>
        </w:rPr>
        <w:t>The Election of the Pontifex Maximus in the Late Republic</w:t>
      </w:r>
      <w:r>
        <w:rPr>
          <w:lang w:val="en-US"/>
        </w:rPr>
        <w:t xml:space="preserve">, „Classical Philology” 1942, 37, s. 421-423; E. Rawson, </w:t>
      </w:r>
      <w:r>
        <w:rPr>
          <w:i/>
          <w:iCs/>
          <w:lang w:val="en-US"/>
        </w:rPr>
        <w:t xml:space="preserve">Religion and politics in the late second century B. C. at Rome, </w:t>
      </w:r>
      <w:r>
        <w:rPr>
          <w:lang w:val="en-US"/>
        </w:rPr>
        <w:t xml:space="preserve">„Phoenix” 1974, 28, s. 209. </w:t>
      </w:r>
      <w:r>
        <w:t xml:space="preserve">Szerzej o procedurze kooptacji kapłanów, zob. A. </w:t>
      </w:r>
      <w:proofErr w:type="spellStart"/>
      <w:r>
        <w:t>Gillmeister</w:t>
      </w:r>
      <w:proofErr w:type="spellEnd"/>
      <w:r>
        <w:t xml:space="preserve">, </w:t>
      </w:r>
      <w:r>
        <w:rPr>
          <w:i/>
          <w:iCs/>
        </w:rPr>
        <w:t xml:space="preserve">Strażnicy ksiąg sybillińskich, </w:t>
      </w:r>
      <w:r>
        <w:t xml:space="preserve">Zielona Góra 2009, s. 63-65; M. </w:t>
      </w:r>
      <w:proofErr w:type="spellStart"/>
      <w:r>
        <w:t>Beard</w:t>
      </w:r>
      <w:proofErr w:type="spellEnd"/>
      <w:r>
        <w:t xml:space="preserve">, J. </w:t>
      </w:r>
      <w:proofErr w:type="spellStart"/>
      <w:r>
        <w:t>North</w:t>
      </w:r>
      <w:proofErr w:type="spellEnd"/>
      <w:r>
        <w:t xml:space="preserve">, S. </w:t>
      </w:r>
      <w:proofErr w:type="spellStart"/>
      <w:r>
        <w:t>Price</w:t>
      </w:r>
      <w:proofErr w:type="spellEnd"/>
      <w:r>
        <w:t xml:space="preserve">, </w:t>
      </w:r>
      <w:r>
        <w:rPr>
          <w:i/>
          <w:iCs/>
        </w:rPr>
        <w:t xml:space="preserve">Religie Rzymu. Historia, </w:t>
      </w:r>
      <w:r>
        <w:t xml:space="preserve">przeł. M.J. Baranowski i L. Olszewski, Oświęcim 2017, s. 167-168. </w:t>
      </w:r>
    </w:p>
  </w:footnote>
  <w:footnote w:id="70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De leg </w:t>
      </w:r>
      <w:proofErr w:type="spellStart"/>
      <w:r>
        <w:rPr>
          <w:i/>
          <w:iCs/>
          <w:lang w:val="en-US"/>
        </w:rPr>
        <w:t>agr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2.16 z L.R. Taylor, </w:t>
      </w:r>
      <w:r>
        <w:rPr>
          <w:i/>
          <w:iCs/>
          <w:lang w:val="en-US"/>
        </w:rPr>
        <w:t xml:space="preserve">Roman voting assemblies from the </w:t>
      </w:r>
      <w:proofErr w:type="spellStart"/>
      <w:r>
        <w:rPr>
          <w:i/>
          <w:iCs/>
          <w:lang w:val="en-US"/>
        </w:rPr>
        <w:t>Hannibalic</w:t>
      </w:r>
      <w:proofErr w:type="spellEnd"/>
      <w:r>
        <w:rPr>
          <w:i/>
          <w:iCs/>
          <w:lang w:val="en-US"/>
        </w:rPr>
        <w:t xml:space="preserve"> War to the dictatorship of Caesar</w:t>
      </w:r>
      <w:r>
        <w:rPr>
          <w:lang w:val="en-US"/>
        </w:rPr>
        <w:t xml:space="preserve">, Ann Arbor 1966, s. 82. </w:t>
      </w:r>
      <w:r>
        <w:t xml:space="preserve">Opisany mechanizm funkcjonował przy wyborze najwyższego pontyfika najprawdopodobniej od początku III wieku, a pierwszym, który z pewnością na mocy jego został wybrany był w roku 212 P. Licyniusz Krassus: </w:t>
      </w:r>
      <w:proofErr w:type="spellStart"/>
      <w:r>
        <w:t>Liv</w:t>
      </w:r>
      <w:proofErr w:type="spellEnd"/>
      <w:r>
        <w:t xml:space="preserve">., 25.5.2-4; MRR I, s. 271. </w:t>
      </w:r>
    </w:p>
  </w:footnote>
  <w:footnote w:id="7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</w:t>
      </w:r>
      <w:proofErr w:type="spellStart"/>
      <w:r>
        <w:t>Sall</w:t>
      </w:r>
      <w:proofErr w:type="spellEnd"/>
      <w:r>
        <w:t xml:space="preserve">., </w:t>
      </w:r>
      <w:r>
        <w:rPr>
          <w:i/>
          <w:iCs/>
        </w:rPr>
        <w:t xml:space="preserve">Bell. </w:t>
      </w:r>
      <w:proofErr w:type="spellStart"/>
      <w:r>
        <w:rPr>
          <w:i/>
          <w:iCs/>
        </w:rPr>
        <w:t>Iug</w:t>
      </w:r>
      <w:proofErr w:type="spellEnd"/>
      <w:r>
        <w:rPr>
          <w:i/>
          <w:iCs/>
        </w:rPr>
        <w:t>.,</w:t>
      </w:r>
      <w:r>
        <w:t xml:space="preserve"> 88.1: </w:t>
      </w:r>
      <w:proofErr w:type="spellStart"/>
      <w:r>
        <w:rPr>
          <w:i/>
          <w:iCs/>
        </w:rPr>
        <w:t>Metellus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Romam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profectus</w:t>
      </w:r>
      <w:proofErr w:type="spellEnd"/>
      <w:r>
        <w:rPr>
          <w:i/>
          <w:iCs/>
        </w:rPr>
        <w:t xml:space="preserve"> contra </w:t>
      </w:r>
      <w:proofErr w:type="spellStart"/>
      <w:r>
        <w:rPr>
          <w:i/>
          <w:iCs/>
        </w:rPr>
        <w:t>spem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laetissimis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animis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accipitur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plebi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patribusque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postquam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invidia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decesserat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iuxta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carus</w:t>
      </w:r>
      <w:proofErr w:type="spellEnd"/>
      <w:r>
        <w:t xml:space="preserve"> („Tymczasem </w:t>
      </w:r>
      <w:proofErr w:type="spellStart"/>
      <w:r>
        <w:t>Metellus</w:t>
      </w:r>
      <w:proofErr w:type="spellEnd"/>
      <w:r>
        <w:t xml:space="preserve"> wyruszył do Rzymu i został tam przyjęty wbrew swemu oczekiwaniu z wielką radością, równie drogi ludowi i senatowi; zawiść do niego już przeminęła”; przeł. K. </w:t>
      </w:r>
      <w:proofErr w:type="spellStart"/>
      <w:r>
        <w:t>Kumaniecki</w:t>
      </w:r>
      <w:proofErr w:type="spellEnd"/>
      <w:r>
        <w:t>)</w:t>
      </w:r>
      <w:r>
        <w:rPr>
          <w:color w:val="FF0000"/>
          <w:u w:color="FF0000"/>
        </w:rPr>
        <w:t>.</w:t>
      </w:r>
      <w:r>
        <w:t xml:space="preserve"> Zresztą wiadomo, że także obierając go konsulem wyborcy uważali </w:t>
      </w:r>
      <w:proofErr w:type="spellStart"/>
      <w:r>
        <w:t>Metellusa</w:t>
      </w:r>
      <w:proofErr w:type="spellEnd"/>
      <w:r>
        <w:t xml:space="preserve"> </w:t>
      </w:r>
      <w:proofErr w:type="spellStart"/>
      <w:r>
        <w:t>Numidyhskiego</w:t>
      </w:r>
      <w:proofErr w:type="spellEnd"/>
      <w:r>
        <w:t xml:space="preserve"> za osobę nieskazitelną i odporną na pokusy złota: </w:t>
      </w:r>
      <w:proofErr w:type="spellStart"/>
      <w:r>
        <w:t>Sall</w:t>
      </w:r>
      <w:proofErr w:type="spellEnd"/>
      <w:r>
        <w:t xml:space="preserve">., </w:t>
      </w:r>
      <w:r>
        <w:rPr>
          <w:i/>
          <w:iCs/>
        </w:rPr>
        <w:t>BI,</w:t>
      </w:r>
      <w:r>
        <w:t xml:space="preserve"> 43.1.</w:t>
      </w:r>
    </w:p>
  </w:footnote>
  <w:footnote w:id="7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Plut., </w:t>
      </w:r>
      <w:r>
        <w:rPr>
          <w:i/>
          <w:iCs/>
        </w:rPr>
        <w:t xml:space="preserve">Mar., </w:t>
      </w:r>
      <w:r>
        <w:t xml:space="preserve">12.1. </w:t>
      </w:r>
    </w:p>
  </w:footnote>
  <w:footnote w:id="7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Plut., </w:t>
      </w:r>
      <w:r>
        <w:rPr>
          <w:i/>
          <w:iCs/>
        </w:rPr>
        <w:t>Mar.,</w:t>
      </w:r>
      <w:r>
        <w:t xml:space="preserve"> 10.6; </w:t>
      </w:r>
      <w:proofErr w:type="spellStart"/>
      <w:r>
        <w:rPr>
          <w:i/>
          <w:iCs/>
        </w:rPr>
        <w:t>Sull</w:t>
      </w:r>
      <w:proofErr w:type="spellEnd"/>
      <w:r>
        <w:rPr>
          <w:i/>
          <w:iCs/>
        </w:rPr>
        <w:t>.,</w:t>
      </w:r>
      <w:r>
        <w:t xml:space="preserve"> 3.3; Gell., 12.9.4-6. Już nie tak dosłownie, ale sugerują to także inni antyczni autorzy: Flor., 1.36.11; </w:t>
      </w:r>
      <w:proofErr w:type="spellStart"/>
      <w:r>
        <w:t>Eutrop</w:t>
      </w:r>
      <w:proofErr w:type="spellEnd"/>
      <w:r>
        <w:t xml:space="preserve">., 4.27.2; Flor., 1.36.11; </w:t>
      </w:r>
      <w:proofErr w:type="spellStart"/>
      <w:r>
        <w:t>Oros</w:t>
      </w:r>
      <w:proofErr w:type="spellEnd"/>
      <w:r>
        <w:t xml:space="preserve">., 5.15.7. </w:t>
      </w:r>
      <w:proofErr w:type="spellStart"/>
      <w:r>
        <w:rPr>
          <w:lang w:val="en-US"/>
        </w:rPr>
        <w:t>Dyskusja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ten </w:t>
      </w:r>
      <w:proofErr w:type="spellStart"/>
      <w:r>
        <w:rPr>
          <w:lang w:val="en-US"/>
        </w:rPr>
        <w:t>temat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zob</w:t>
      </w:r>
      <w:proofErr w:type="spellEnd"/>
      <w:r>
        <w:rPr>
          <w:lang w:val="en-US"/>
        </w:rPr>
        <w:t xml:space="preserve">. M. Holroyd, </w:t>
      </w:r>
      <w:r>
        <w:rPr>
          <w:i/>
          <w:iCs/>
          <w:lang w:val="en-US"/>
        </w:rPr>
        <w:t xml:space="preserve">The Jugurthine War: Was Marius or </w:t>
      </w:r>
      <w:proofErr w:type="spellStart"/>
      <w:r>
        <w:rPr>
          <w:i/>
          <w:iCs/>
          <w:lang w:val="en-US"/>
        </w:rPr>
        <w:t>Metellus</w:t>
      </w:r>
      <w:proofErr w:type="spellEnd"/>
      <w:r>
        <w:rPr>
          <w:i/>
          <w:iCs/>
          <w:lang w:val="en-US"/>
        </w:rPr>
        <w:t xml:space="preserve"> the Real Victor?</w:t>
      </w:r>
      <w:r>
        <w:rPr>
          <w:lang w:val="en-US"/>
        </w:rPr>
        <w:t xml:space="preserve">, „The Journal of Roman Studies” 1928, 18, s. 1-20; T.F. Carney, </w:t>
      </w:r>
      <w:r>
        <w:rPr>
          <w:i/>
          <w:iCs/>
          <w:lang w:val="en-US"/>
        </w:rPr>
        <w:t>A Biography…,</w:t>
      </w:r>
      <w:r>
        <w:rPr>
          <w:lang w:val="en-US"/>
        </w:rPr>
        <w:t xml:space="preserve"> ed. cit., s. 30,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154; R. </w:t>
      </w:r>
      <w:proofErr w:type="spellStart"/>
      <w:r>
        <w:rPr>
          <w:lang w:val="en-US"/>
        </w:rPr>
        <w:t>Syme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Sallust,</w:t>
      </w:r>
      <w:r>
        <w:rPr>
          <w:lang w:val="en-US"/>
        </w:rPr>
        <w:t xml:space="preserve"> ed. cit., s. 151; J. van </w:t>
      </w:r>
      <w:proofErr w:type="spellStart"/>
      <w:r>
        <w:rPr>
          <w:lang w:val="en-US"/>
        </w:rPr>
        <w:t>Ooteghem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Les </w:t>
      </w:r>
      <w:proofErr w:type="spellStart"/>
      <w:r>
        <w:rPr>
          <w:i/>
          <w:iCs/>
          <w:lang w:val="en-US"/>
        </w:rPr>
        <w:t>Caecilii</w:t>
      </w:r>
      <w:proofErr w:type="spellEnd"/>
      <w:r>
        <w:rPr>
          <w:i/>
          <w:iCs/>
          <w:lang w:val="en-US"/>
        </w:rPr>
        <w:t>…,</w:t>
      </w:r>
      <w:r>
        <w:rPr>
          <w:lang w:val="en-US"/>
        </w:rPr>
        <w:t xml:space="preserve"> ed. cit., s. 164-165; V. Parker, </w:t>
      </w:r>
      <w:r>
        <w:rPr>
          <w:i/>
          <w:iCs/>
          <w:lang w:val="en-US"/>
        </w:rPr>
        <w:t>Sallust and the Victor of the Jugurthine War</w:t>
      </w:r>
      <w:r>
        <w:rPr>
          <w:lang w:val="en-US"/>
        </w:rPr>
        <w:t>, „</w:t>
      </w:r>
      <w:proofErr w:type="spellStart"/>
      <w:r>
        <w:rPr>
          <w:lang w:val="en-US"/>
        </w:rPr>
        <w:t>Zeitschrift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Papyrologie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Epigraphik</w:t>
      </w:r>
      <w:proofErr w:type="spellEnd"/>
      <w:r>
        <w:rPr>
          <w:lang w:val="en-US"/>
        </w:rPr>
        <w:t>” 2001, 16, s. 111-125.</w:t>
      </w:r>
    </w:p>
  </w:footnote>
  <w:footnote w:id="7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Plut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Mar., </w:t>
      </w:r>
      <w:r>
        <w:rPr>
          <w:lang w:val="en-US"/>
        </w:rPr>
        <w:t xml:space="preserve">12.5; Liv., </w:t>
      </w:r>
      <w:r>
        <w:rPr>
          <w:i/>
          <w:iCs/>
          <w:lang w:val="en-US"/>
        </w:rPr>
        <w:t xml:space="preserve">Per., </w:t>
      </w:r>
      <w:r>
        <w:rPr>
          <w:lang w:val="en-US"/>
        </w:rPr>
        <w:t xml:space="preserve">67. </w:t>
      </w:r>
    </w:p>
  </w:footnote>
  <w:footnote w:id="75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Plut</w:t>
      </w:r>
      <w:proofErr w:type="spellEnd"/>
      <w:r>
        <w:rPr>
          <w:lang w:val="en-US"/>
        </w:rPr>
        <w:t xml:space="preserve">., </w:t>
      </w:r>
      <w:proofErr w:type="spellStart"/>
      <w:r>
        <w:rPr>
          <w:i/>
          <w:iCs/>
          <w:lang w:val="en-US"/>
        </w:rPr>
        <w:t>Sull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>1.2; MRR I, s. 551, 554, 556;</w:t>
      </w:r>
    </w:p>
  </w:footnote>
  <w:footnote w:id="7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Plut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Mar., </w:t>
      </w:r>
      <w:r>
        <w:rPr>
          <w:lang w:val="en-US"/>
        </w:rPr>
        <w:t xml:space="preserve">11.1; 12.1; </w:t>
      </w:r>
      <w:proofErr w:type="spellStart"/>
      <w:r>
        <w:rPr>
          <w:lang w:val="en-US"/>
        </w:rPr>
        <w:t>Sall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BI, </w:t>
      </w:r>
      <w:r>
        <w:rPr>
          <w:lang w:val="en-US"/>
        </w:rPr>
        <w:t xml:space="preserve">114.3; Liv., </w:t>
      </w:r>
      <w:r>
        <w:rPr>
          <w:i/>
          <w:iCs/>
          <w:lang w:val="en-US"/>
        </w:rPr>
        <w:t xml:space="preserve">Per., </w:t>
      </w:r>
      <w:r>
        <w:rPr>
          <w:lang w:val="en-US"/>
        </w:rPr>
        <w:t xml:space="preserve">67. </w:t>
      </w:r>
      <w:r>
        <w:t xml:space="preserve">Trafna w tym kontekście wydaje się analiza R. Evansa, </w:t>
      </w:r>
      <w:proofErr w:type="spellStart"/>
      <w:r>
        <w:rPr>
          <w:i/>
          <w:iCs/>
        </w:rPr>
        <w:t>Gaius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Marius</w:t>
      </w:r>
      <w:proofErr w:type="spellEnd"/>
      <w:r>
        <w:rPr>
          <w:i/>
          <w:iCs/>
        </w:rPr>
        <w:t>…,</w:t>
      </w:r>
      <w:r>
        <w:t xml:space="preserve"> s. 80, przyp. </w:t>
      </w:r>
      <w:r>
        <w:rPr>
          <w:lang w:val="en-US"/>
        </w:rPr>
        <w:t>84.</w:t>
      </w:r>
    </w:p>
  </w:footnote>
  <w:footnote w:id="77">
    <w:p w:rsidR="0039189C" w:rsidRDefault="003032C1">
      <w:pPr>
        <w:pStyle w:val="Tekstprzypisudolnego"/>
        <w:spacing w:after="0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Np. T.F. Carney, </w:t>
      </w:r>
      <w:r>
        <w:rPr>
          <w:i/>
          <w:iCs/>
          <w:lang w:val="en-US"/>
        </w:rPr>
        <w:t>A Biography…,</w:t>
      </w:r>
      <w:r>
        <w:rPr>
          <w:lang w:val="en-US"/>
        </w:rPr>
        <w:t xml:space="preserve"> ed. cit., s. 31,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</w:t>
      </w:r>
      <w:r>
        <w:t xml:space="preserve">160; A. </w:t>
      </w:r>
      <w:proofErr w:type="spellStart"/>
      <w:r>
        <w:t>Keaveney</w:t>
      </w:r>
      <w:proofErr w:type="spellEnd"/>
      <w:r>
        <w:t xml:space="preserve">, </w:t>
      </w:r>
      <w:r>
        <w:rPr>
          <w:i/>
          <w:iCs/>
        </w:rPr>
        <w:t>Sulla…,</w:t>
      </w:r>
      <w:r>
        <w:t xml:space="preserve"> s. 23. </w:t>
      </w:r>
    </w:p>
  </w:footnote>
  <w:footnote w:id="78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Zestawienie tych procesów wraz ze źródłami, patrz: M.C. Alexander, </w:t>
      </w:r>
      <w:proofErr w:type="spellStart"/>
      <w:r>
        <w:rPr>
          <w:rFonts w:eastAsia="Arial Unicode MS" w:cs="Arial Unicode MS"/>
          <w:i/>
          <w:iCs/>
        </w:rPr>
        <w:t>Trials</w:t>
      </w:r>
      <w:proofErr w:type="spellEnd"/>
      <w:r>
        <w:rPr>
          <w:rFonts w:eastAsia="Arial Unicode MS" w:cs="Arial Unicode MS"/>
          <w:i/>
          <w:iCs/>
        </w:rPr>
        <w:t>…,</w:t>
      </w:r>
      <w:r>
        <w:rPr>
          <w:rFonts w:eastAsia="Arial Unicode MS" w:cs="Arial Unicode MS"/>
        </w:rPr>
        <w:t xml:space="preserve"> s. 30-37. </w:t>
      </w:r>
    </w:p>
  </w:footnote>
  <w:footnote w:id="79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</w:t>
      </w:r>
      <w:proofErr w:type="spellStart"/>
      <w:r>
        <w:t>Cic</w:t>
      </w:r>
      <w:proofErr w:type="spellEnd"/>
      <w:r>
        <w:t xml:space="preserve">., </w:t>
      </w:r>
      <w:proofErr w:type="spellStart"/>
      <w:r>
        <w:rPr>
          <w:i/>
          <w:iCs/>
        </w:rPr>
        <w:t>Brut</w:t>
      </w:r>
      <w:proofErr w:type="spellEnd"/>
      <w:r>
        <w:rPr>
          <w:i/>
          <w:iCs/>
        </w:rPr>
        <w:t xml:space="preserve">., </w:t>
      </w:r>
      <w:r>
        <w:t xml:space="preserve">135, 161, 164, 296; </w:t>
      </w:r>
      <w:r>
        <w:rPr>
          <w:i/>
          <w:iCs/>
        </w:rPr>
        <w:t>D</w:t>
      </w:r>
      <w:r>
        <w:rPr>
          <w:i/>
          <w:iCs/>
          <w:lang w:val="en-US"/>
        </w:rPr>
        <w:t xml:space="preserve">e or., </w:t>
      </w:r>
      <w:r>
        <w:rPr>
          <w:lang w:val="en-US"/>
        </w:rPr>
        <w:t xml:space="preserve">2.199, 223;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Cluent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140; Val. Max., 6.9.13; por. np. </w:t>
      </w:r>
      <w:r>
        <w:t xml:space="preserve">H.B. </w:t>
      </w:r>
      <w:proofErr w:type="spellStart"/>
      <w:r>
        <w:t>Mattingly</w:t>
      </w:r>
      <w:proofErr w:type="spellEnd"/>
      <w:r>
        <w:t xml:space="preserve">, </w:t>
      </w:r>
      <w:proofErr w:type="spellStart"/>
      <w:r>
        <w:rPr>
          <w:i/>
          <w:iCs/>
        </w:rPr>
        <w:t>Acerbissima</w:t>
      </w:r>
      <w:proofErr w:type="spellEnd"/>
      <w:r>
        <w:rPr>
          <w:i/>
          <w:iCs/>
        </w:rPr>
        <w:t xml:space="preserve"> Lex </w:t>
      </w:r>
      <w:proofErr w:type="spellStart"/>
      <w:r>
        <w:rPr>
          <w:i/>
          <w:iCs/>
        </w:rPr>
        <w:t>Servilia</w:t>
      </w:r>
      <w:proofErr w:type="spellEnd"/>
      <w:r>
        <w:t xml:space="preserve">, „Hermes” 1983, 111, s. 300-310. </w:t>
      </w:r>
    </w:p>
  </w:footnote>
  <w:footnote w:id="80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E. Badian przesuwa także kwesturę Pompejusza </w:t>
      </w:r>
      <w:proofErr w:type="spellStart"/>
      <w:r>
        <w:t>Strabona</w:t>
      </w:r>
      <w:proofErr w:type="spellEnd"/>
      <w:r>
        <w:t xml:space="preserve"> z przyjmowanego wcześniej roku 104 na 106,</w:t>
      </w:r>
      <w:r>
        <w:rPr>
          <w:color w:val="FF0000"/>
          <w:u w:color="FF0000"/>
        </w:rPr>
        <w:t xml:space="preserve"> </w:t>
      </w:r>
      <w:r>
        <w:t xml:space="preserve">zob. </w:t>
      </w:r>
      <w:r>
        <w:rPr>
          <w:lang w:val="en-US"/>
        </w:rPr>
        <w:t xml:space="preserve">E. </w:t>
      </w:r>
      <w:proofErr w:type="spellStart"/>
      <w:r>
        <w:rPr>
          <w:lang w:val="en-US"/>
        </w:rPr>
        <w:t>Badian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„Three Non-Trials in Cicero: Notes on the Text, Prosopography and Chronology of </w:t>
      </w:r>
      <w:proofErr w:type="spellStart"/>
      <w:r>
        <w:rPr>
          <w:i/>
          <w:iCs/>
          <w:lang w:val="en-US"/>
        </w:rPr>
        <w:t>Divinatio</w:t>
      </w:r>
      <w:proofErr w:type="spellEnd"/>
      <w:r>
        <w:rPr>
          <w:i/>
          <w:iCs/>
          <w:lang w:val="en-US"/>
        </w:rPr>
        <w:t xml:space="preserve"> in </w:t>
      </w:r>
      <w:proofErr w:type="spellStart"/>
      <w:r>
        <w:rPr>
          <w:i/>
          <w:iCs/>
          <w:lang w:val="en-US"/>
        </w:rPr>
        <w:t>Caecilium</w:t>
      </w:r>
      <w:proofErr w:type="spellEnd"/>
      <w:r>
        <w:rPr>
          <w:i/>
          <w:iCs/>
          <w:lang w:val="en-US"/>
        </w:rPr>
        <w:t xml:space="preserve"> 63, </w:t>
      </w:r>
      <w:r>
        <w:rPr>
          <w:lang w:val="en-US"/>
        </w:rPr>
        <w:t>„</w:t>
      </w:r>
      <w:proofErr w:type="spellStart"/>
      <w:r>
        <w:rPr>
          <w:lang w:val="en-US"/>
        </w:rPr>
        <w:t>Klio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Beiträge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Alten</w:t>
      </w:r>
      <w:proofErr w:type="spellEnd"/>
      <w:r>
        <w:rPr>
          <w:lang w:val="en-US"/>
        </w:rPr>
        <w:t xml:space="preserve"> Geschichte” 1984, 66, s. 306-309. W </w:t>
      </w:r>
      <w:proofErr w:type="spellStart"/>
      <w:r>
        <w:rPr>
          <w:lang w:val="en-US"/>
        </w:rPr>
        <w:t>podobnym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duchu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wcześniej</w:t>
      </w:r>
      <w:proofErr w:type="spellEnd"/>
      <w:r>
        <w:rPr>
          <w:lang w:val="en-US"/>
        </w:rPr>
        <w:t xml:space="preserve">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</w:t>
      </w:r>
      <w:r>
        <w:rPr>
          <w:lang w:val="en-US"/>
        </w:rPr>
        <w:t xml:space="preserve">, ed. cit., s. 171-173 </w:t>
      </w:r>
      <w:r>
        <w:rPr>
          <w:i/>
          <w:iCs/>
          <w:lang w:val="en-US"/>
        </w:rPr>
        <w:t xml:space="preserve">contra </w:t>
      </w:r>
      <w:r>
        <w:rPr>
          <w:lang w:val="en-US"/>
        </w:rPr>
        <w:t xml:space="preserve">R. J. Rowland, </w:t>
      </w:r>
      <w:r>
        <w:rPr>
          <w:i/>
          <w:iCs/>
          <w:lang w:val="en-US"/>
        </w:rPr>
        <w:t xml:space="preserve">The Date of </w:t>
      </w:r>
      <w:proofErr w:type="spellStart"/>
      <w:r>
        <w:rPr>
          <w:i/>
          <w:iCs/>
          <w:lang w:val="en-US"/>
        </w:rPr>
        <w:t>Pompeius</w:t>
      </w:r>
      <w:proofErr w:type="spellEnd"/>
      <w:r>
        <w:rPr>
          <w:i/>
          <w:iCs/>
          <w:lang w:val="en-US"/>
        </w:rPr>
        <w:t xml:space="preserve"> Strabo's </w:t>
      </w:r>
      <w:proofErr w:type="spellStart"/>
      <w:r>
        <w:rPr>
          <w:i/>
          <w:iCs/>
          <w:lang w:val="en-US"/>
        </w:rPr>
        <w:t>Quaestorship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„Classical Philology” 1968, 63, 3, s. 213-214. </w:t>
      </w:r>
    </w:p>
  </w:footnote>
  <w:footnote w:id="8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T.R.S. Broughton (T.R.S. Broughton, </w:t>
      </w:r>
      <w:r>
        <w:rPr>
          <w:i/>
          <w:iCs/>
          <w:lang w:val="en-US"/>
        </w:rPr>
        <w:t>The Magistrates of the Roman Republic</w:t>
      </w:r>
      <w:r>
        <w:rPr>
          <w:lang w:val="en-US"/>
        </w:rPr>
        <w:t xml:space="preserve">, vol. </w:t>
      </w:r>
      <w:r>
        <w:t xml:space="preserve">III: </w:t>
      </w:r>
      <w:proofErr w:type="spellStart"/>
      <w:r>
        <w:t>Supplement</w:t>
      </w:r>
      <w:proofErr w:type="spellEnd"/>
      <w:r>
        <w:t xml:space="preserve">, Atlanta 1986, s. 165-166; dalej: MRR III) zaakceptował argumenty, modyfikując swoje wcześniejsze stanowisko, zob. </w:t>
      </w:r>
      <w:r>
        <w:rPr>
          <w:lang w:val="en-US"/>
        </w:rPr>
        <w:t xml:space="preserve">MRR I, s. 560. </w:t>
      </w:r>
      <w:proofErr w:type="spellStart"/>
      <w:r>
        <w:rPr>
          <w:lang w:val="en-US"/>
        </w:rPr>
        <w:t>Patrz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także</w:t>
      </w:r>
      <w:proofErr w:type="spellEnd"/>
      <w:r>
        <w:rPr>
          <w:lang w:val="en-US"/>
        </w:rPr>
        <w:t xml:space="preserve">: M.C. Alexander, </w:t>
      </w:r>
      <w:r>
        <w:rPr>
          <w:i/>
          <w:iCs/>
          <w:lang w:val="en-US"/>
        </w:rPr>
        <w:t>Trials…</w:t>
      </w:r>
      <w:r>
        <w:rPr>
          <w:lang w:val="en-US"/>
        </w:rPr>
        <w:t xml:space="preserve">, ed. cit., s. 31-32; T.C. Brennan, </w:t>
      </w:r>
      <w:r>
        <w:rPr>
          <w:i/>
          <w:iCs/>
          <w:lang w:val="en-US"/>
        </w:rPr>
        <w:t>op. cit.</w:t>
      </w:r>
      <w:r>
        <w:rPr>
          <w:lang w:val="en-US"/>
        </w:rPr>
        <w:t xml:space="preserve">, s. 776,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</w:t>
      </w:r>
      <w:r>
        <w:t>133</w:t>
      </w:r>
      <w:r>
        <w:rPr>
          <w:color w:val="FF0000"/>
          <w:u w:color="FF0000"/>
        </w:rPr>
        <w:t xml:space="preserve">. </w:t>
      </w:r>
    </w:p>
  </w:footnote>
  <w:footnote w:id="82">
    <w:p w:rsidR="0039189C" w:rsidRDefault="003032C1">
      <w:pPr>
        <w:pStyle w:val="Tekstprzypisudolnego"/>
        <w:jc w:val="both"/>
      </w:pPr>
      <w:r>
        <w:rPr>
          <w:color w:val="FF0000"/>
          <w:sz w:val="24"/>
          <w:szCs w:val="24"/>
          <w:u w:color="FF0000"/>
          <w:vertAlign w:val="superscript"/>
        </w:rPr>
        <w:footnoteRef/>
      </w:r>
      <w:r>
        <w:rPr>
          <w:vertAlign w:val="superscript"/>
        </w:rPr>
        <w:tab/>
      </w:r>
      <w:r>
        <w:t xml:space="preserve"> Por. </w:t>
      </w:r>
      <w:proofErr w:type="spellStart"/>
      <w:r>
        <w:t>Cic</w:t>
      </w:r>
      <w:proofErr w:type="spellEnd"/>
      <w:r>
        <w:t xml:space="preserve">., </w:t>
      </w:r>
      <w:r>
        <w:rPr>
          <w:i/>
          <w:iCs/>
        </w:rPr>
        <w:t xml:space="preserve">Div. in </w:t>
      </w:r>
      <w:proofErr w:type="spellStart"/>
      <w:r>
        <w:rPr>
          <w:i/>
          <w:iCs/>
        </w:rPr>
        <w:t>Caec</w:t>
      </w:r>
      <w:proofErr w:type="spellEnd"/>
      <w:r>
        <w:rPr>
          <w:i/>
          <w:iCs/>
        </w:rPr>
        <w:t xml:space="preserve">., </w:t>
      </w:r>
      <w:r>
        <w:t xml:space="preserve">61;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., </w:t>
      </w:r>
      <w:r>
        <w:t xml:space="preserve">2.200-201. W temacie relacji głównodowodzącego z kwestorem, zob. także M. </w:t>
      </w:r>
      <w:proofErr w:type="spellStart"/>
      <w:r>
        <w:t>Gelzer</w:t>
      </w:r>
      <w:proofErr w:type="spellEnd"/>
      <w:r>
        <w:t xml:space="preserve">, </w:t>
      </w:r>
      <w:r>
        <w:rPr>
          <w:i/>
          <w:iCs/>
        </w:rPr>
        <w:t>op. cit.</w:t>
      </w:r>
      <w:r>
        <w:t xml:space="preserve">, s. 76. </w:t>
      </w:r>
    </w:p>
  </w:footnote>
  <w:footnote w:id="8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Div. </w:t>
      </w:r>
      <w:proofErr w:type="spellStart"/>
      <w:r>
        <w:rPr>
          <w:i/>
          <w:iCs/>
          <w:lang w:val="en-US"/>
        </w:rPr>
        <w:t>Caec</w:t>
      </w:r>
      <w:proofErr w:type="spellEnd"/>
      <w:r>
        <w:rPr>
          <w:lang w:val="en-US"/>
        </w:rPr>
        <w:t xml:space="preserve">., 63;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Pis</w:t>
      </w:r>
      <w:proofErr w:type="spellEnd"/>
      <w:r>
        <w:rPr>
          <w:lang w:val="en-US"/>
        </w:rPr>
        <w:t xml:space="preserve">., 92; </w:t>
      </w:r>
      <w:r>
        <w:rPr>
          <w:i/>
          <w:iCs/>
          <w:lang w:val="en-US"/>
        </w:rPr>
        <w:t>Pro Scaur.,</w:t>
      </w:r>
      <w:r>
        <w:rPr>
          <w:lang w:val="en-US"/>
        </w:rPr>
        <w:t xml:space="preserve"> 40; </w:t>
      </w:r>
      <w:r>
        <w:rPr>
          <w:i/>
          <w:iCs/>
          <w:lang w:val="en-US"/>
        </w:rPr>
        <w:t xml:space="preserve">De off., </w:t>
      </w:r>
      <w:r>
        <w:rPr>
          <w:lang w:val="en-US"/>
        </w:rPr>
        <w:t xml:space="preserve">2.50; </w:t>
      </w:r>
      <w:proofErr w:type="spellStart"/>
      <w:r>
        <w:rPr>
          <w:i/>
          <w:iCs/>
          <w:lang w:val="en-US"/>
        </w:rPr>
        <w:t>Tusc</w:t>
      </w:r>
      <w:proofErr w:type="spellEnd"/>
      <w:r>
        <w:rPr>
          <w:i/>
          <w:iCs/>
          <w:lang w:val="en-US"/>
        </w:rPr>
        <w:t>.,</w:t>
      </w:r>
      <w:r>
        <w:rPr>
          <w:lang w:val="en-US"/>
        </w:rPr>
        <w:t xml:space="preserve"> 5.108; Suet., </w:t>
      </w:r>
      <w:r>
        <w:rPr>
          <w:i/>
          <w:iCs/>
          <w:lang w:val="en-US"/>
        </w:rPr>
        <w:t xml:space="preserve">Div. </w:t>
      </w:r>
      <w:proofErr w:type="spellStart"/>
      <w:r>
        <w:rPr>
          <w:i/>
          <w:iCs/>
          <w:lang w:val="en-US"/>
        </w:rPr>
        <w:t>Iul</w:t>
      </w:r>
      <w:proofErr w:type="spellEnd"/>
      <w:r>
        <w:rPr>
          <w:i/>
          <w:iCs/>
          <w:lang w:val="en-US"/>
        </w:rPr>
        <w:t>.,</w:t>
      </w:r>
      <w:r>
        <w:rPr>
          <w:lang w:val="en-US"/>
        </w:rPr>
        <w:t xml:space="preserve"> 55.2; por. L.A. Thompson, </w:t>
      </w:r>
      <w:proofErr w:type="spellStart"/>
      <w:r>
        <w:rPr>
          <w:i/>
          <w:iCs/>
          <w:lang w:val="en-US"/>
        </w:rPr>
        <w:t>Pompeius</w:t>
      </w:r>
      <w:proofErr w:type="spellEnd"/>
      <w:r>
        <w:rPr>
          <w:i/>
          <w:iCs/>
          <w:lang w:val="en-US"/>
        </w:rPr>
        <w:t xml:space="preserve"> Strabo and the Trial of </w:t>
      </w:r>
      <w:proofErr w:type="spellStart"/>
      <w:r>
        <w:rPr>
          <w:i/>
          <w:iCs/>
          <w:lang w:val="en-US"/>
        </w:rPr>
        <w:t>Albucius</w:t>
      </w:r>
      <w:proofErr w:type="spellEnd"/>
      <w:r>
        <w:rPr>
          <w:lang w:val="en-US"/>
        </w:rPr>
        <w:t>, „</w:t>
      </w:r>
      <w:proofErr w:type="spellStart"/>
      <w:r>
        <w:rPr>
          <w:lang w:val="en-US"/>
        </w:rPr>
        <w:t>Latomus</w:t>
      </w:r>
      <w:proofErr w:type="spellEnd"/>
      <w:r>
        <w:rPr>
          <w:lang w:val="en-US"/>
        </w:rPr>
        <w:t>” 1969, 28, 4, s. 1036-1039.</w:t>
      </w:r>
    </w:p>
  </w:footnote>
  <w:footnote w:id="8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 w:rsidR="004124C8">
        <w:rPr>
          <w:lang w:val="en-US"/>
        </w:rPr>
        <w:t>Cic</w:t>
      </w:r>
      <w:proofErr w:type="spellEnd"/>
      <w:r w:rsidR="004124C8">
        <w:rPr>
          <w:lang w:val="en-US"/>
        </w:rPr>
        <w:t xml:space="preserve">., </w:t>
      </w:r>
      <w:r w:rsidR="004124C8">
        <w:rPr>
          <w:i/>
          <w:iCs/>
          <w:lang w:val="en-US"/>
        </w:rPr>
        <w:t xml:space="preserve">Pro </w:t>
      </w:r>
      <w:proofErr w:type="spellStart"/>
      <w:r w:rsidR="004124C8">
        <w:rPr>
          <w:i/>
          <w:iCs/>
          <w:lang w:val="en-US"/>
        </w:rPr>
        <w:t>Balb</w:t>
      </w:r>
      <w:proofErr w:type="spellEnd"/>
      <w:r w:rsidR="004124C8">
        <w:rPr>
          <w:i/>
          <w:iCs/>
          <w:lang w:val="en-US"/>
        </w:rPr>
        <w:t xml:space="preserve">., </w:t>
      </w:r>
      <w:r w:rsidR="004124C8">
        <w:rPr>
          <w:lang w:val="en-US"/>
        </w:rPr>
        <w:t xml:space="preserve">28; Quint., </w:t>
      </w:r>
      <w:r w:rsidR="004124C8">
        <w:rPr>
          <w:i/>
          <w:iCs/>
          <w:lang w:val="en-US"/>
        </w:rPr>
        <w:t xml:space="preserve">Decl. Mai., </w:t>
      </w:r>
      <w:r w:rsidR="004124C8">
        <w:rPr>
          <w:lang w:val="en-US"/>
        </w:rPr>
        <w:t xml:space="preserve">3.17; Val. Max., 6.1.5; </w:t>
      </w:r>
      <w:proofErr w:type="spellStart"/>
      <w:r w:rsidR="004124C8">
        <w:rPr>
          <w:lang w:val="en-US"/>
        </w:rPr>
        <w:t>Oros</w:t>
      </w:r>
      <w:proofErr w:type="spellEnd"/>
      <w:r w:rsidR="004124C8">
        <w:rPr>
          <w:lang w:val="en-US"/>
        </w:rPr>
        <w:t xml:space="preserve">., 5.16.8. </w:t>
      </w:r>
      <w:proofErr w:type="spellStart"/>
      <w:r>
        <w:rPr>
          <w:lang w:val="en-US"/>
        </w:rPr>
        <w:t>Należy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zgodzić</w:t>
      </w:r>
      <w:proofErr w:type="spellEnd"/>
      <w:r>
        <w:rPr>
          <w:lang w:val="en-US"/>
        </w:rPr>
        <w:t xml:space="preserve"> z </w:t>
      </w:r>
      <w:r>
        <w:t xml:space="preserve">M.C. Alexander (Por. </w:t>
      </w:r>
      <w:proofErr w:type="spellStart"/>
      <w:r>
        <w:rPr>
          <w:i/>
          <w:iCs/>
        </w:rPr>
        <w:t>Trials</w:t>
      </w:r>
      <w:proofErr w:type="spellEnd"/>
      <w:r>
        <w:rPr>
          <w:i/>
          <w:iCs/>
        </w:rPr>
        <w:t xml:space="preserve">…, </w:t>
      </w:r>
      <w:r>
        <w:t xml:space="preserve">ed. cit., s. 31-32, przyp. 2) że oskarżenie Fabiusza Maksymusa </w:t>
      </w:r>
      <w:proofErr w:type="spellStart"/>
      <w:r>
        <w:t>Eburnusa</w:t>
      </w:r>
      <w:proofErr w:type="spellEnd"/>
      <w:r>
        <w:t xml:space="preserve"> przez Pompejusza </w:t>
      </w:r>
      <w:proofErr w:type="spellStart"/>
      <w:r>
        <w:t>Strabona</w:t>
      </w:r>
      <w:proofErr w:type="spellEnd"/>
      <w:r>
        <w:t xml:space="preserve"> mogło mieć miejsce wkrótce po bitwie pod </w:t>
      </w:r>
      <w:proofErr w:type="spellStart"/>
      <w:r>
        <w:t>Arauzjoną</w:t>
      </w:r>
      <w:proofErr w:type="spellEnd"/>
      <w:r>
        <w:t>, więc teoretycznie możliwy jest także grudzień roku 105.</w:t>
      </w:r>
    </w:p>
  </w:footnote>
  <w:footnote w:id="85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Pompejusz </w:t>
      </w:r>
      <w:proofErr w:type="spellStart"/>
      <w:r>
        <w:t>Strabon</w:t>
      </w:r>
      <w:proofErr w:type="spellEnd"/>
      <w:r>
        <w:t xml:space="preserve"> został pretorem prawdopodobnie w roku 94 bądź 93, por. </w:t>
      </w:r>
      <w:r>
        <w:rPr>
          <w:lang w:val="en-US"/>
        </w:rPr>
        <w:t xml:space="preserve">MRR III, s. 166. </w:t>
      </w:r>
    </w:p>
  </w:footnote>
  <w:footnote w:id="8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Pro Mur., </w:t>
      </w:r>
      <w:r>
        <w:rPr>
          <w:lang w:val="en-US"/>
        </w:rPr>
        <w:t xml:space="preserve">36 z G. Bloch,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13-14; R.L. Bates, </w:t>
      </w:r>
      <w:r>
        <w:rPr>
          <w:i/>
          <w:iCs/>
          <w:lang w:val="en-US"/>
        </w:rPr>
        <w:t>op. cit.</w:t>
      </w:r>
      <w:r>
        <w:rPr>
          <w:lang w:val="en-US"/>
        </w:rPr>
        <w:t xml:space="preserve">, s. 255-256; T.R.S. Broughton, </w:t>
      </w:r>
      <w:r>
        <w:rPr>
          <w:i/>
          <w:iCs/>
          <w:lang w:val="en-US"/>
        </w:rPr>
        <w:t>Candidates Defeated…</w:t>
      </w:r>
      <w:r>
        <w:rPr>
          <w:lang w:val="en-US"/>
        </w:rPr>
        <w:t xml:space="preserve">, ed. cit., s. 7. </w:t>
      </w:r>
      <w:r>
        <w:t xml:space="preserve">W trakcie swojej cenzury Emiliusz </w:t>
      </w:r>
      <w:proofErr w:type="spellStart"/>
      <w:r>
        <w:t>Skaurus</w:t>
      </w:r>
      <w:proofErr w:type="spellEnd"/>
      <w:r>
        <w:t xml:space="preserve"> usunął z senatu kolegę </w:t>
      </w:r>
      <w:proofErr w:type="spellStart"/>
      <w:r>
        <w:t>Eburnusa</w:t>
      </w:r>
      <w:proofErr w:type="spellEnd"/>
      <w:r>
        <w:t xml:space="preserve"> w konsulacie, G. Licyniusza </w:t>
      </w:r>
      <w:proofErr w:type="spellStart"/>
      <w:r>
        <w:t>Getę</w:t>
      </w:r>
      <w:proofErr w:type="spellEnd"/>
      <w:r>
        <w:t xml:space="preserve">, zob. MRR I, s. 531-532. </w:t>
      </w:r>
    </w:p>
  </w:footnote>
  <w:footnote w:id="87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</w:t>
      </w:r>
      <w:proofErr w:type="spellStart"/>
      <w:r>
        <w:t>Cic</w:t>
      </w:r>
      <w:proofErr w:type="spellEnd"/>
      <w:r>
        <w:t xml:space="preserve">., </w:t>
      </w:r>
      <w:r>
        <w:rPr>
          <w:i/>
          <w:iCs/>
        </w:rPr>
        <w:t xml:space="preserve">Pro Font., </w:t>
      </w:r>
      <w:r>
        <w:t xml:space="preserve">24. </w:t>
      </w:r>
    </w:p>
  </w:footnote>
  <w:footnote w:id="88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Por. E.S. </w:t>
      </w:r>
      <w:proofErr w:type="spellStart"/>
      <w:r>
        <w:t>Gruen</w:t>
      </w:r>
      <w:proofErr w:type="spellEnd"/>
      <w:r>
        <w:t xml:space="preserve">, </w:t>
      </w:r>
      <w:r>
        <w:rPr>
          <w:i/>
          <w:iCs/>
        </w:rPr>
        <w:t xml:space="preserve">Roman </w:t>
      </w:r>
      <w:proofErr w:type="spellStart"/>
      <w:r>
        <w:rPr>
          <w:i/>
          <w:iCs/>
        </w:rPr>
        <w:t>Politics</w:t>
      </w:r>
      <w:proofErr w:type="spellEnd"/>
      <w:r>
        <w:rPr>
          <w:i/>
          <w:iCs/>
        </w:rPr>
        <w:t>…,</w:t>
      </w:r>
      <w:r>
        <w:t xml:space="preserve"> ed. cit., s. 174-175. </w:t>
      </w:r>
    </w:p>
  </w:footnote>
  <w:footnote w:id="89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MRR I, s. 544. </w:t>
      </w:r>
    </w:p>
  </w:footnote>
  <w:footnote w:id="90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</w:t>
      </w:r>
      <w:r>
        <w:rPr>
          <w:lang w:val="en-US"/>
        </w:rPr>
        <w:t xml:space="preserve">r. E. </w:t>
      </w:r>
      <w:proofErr w:type="spellStart"/>
      <w:r>
        <w:rPr>
          <w:lang w:val="en-US"/>
        </w:rPr>
        <w:t>Badian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Studies…</w:t>
      </w:r>
      <w:r>
        <w:rPr>
          <w:lang w:val="en-US"/>
        </w:rPr>
        <w:t xml:space="preserve">, ed. cit., s. 86-87;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s. 178-179. </w:t>
      </w:r>
    </w:p>
  </w:footnote>
  <w:footnote w:id="9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Div. In </w:t>
      </w:r>
      <w:proofErr w:type="spellStart"/>
      <w:r>
        <w:rPr>
          <w:i/>
          <w:iCs/>
          <w:lang w:val="en-US"/>
        </w:rPr>
        <w:t>Caec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63: </w:t>
      </w:r>
      <w:proofErr w:type="spellStart"/>
      <w:r>
        <w:rPr>
          <w:i/>
          <w:iCs/>
          <w:lang w:val="en-US"/>
        </w:rPr>
        <w:t>Neque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fere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umquam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venit</w:t>
      </w:r>
      <w:proofErr w:type="spellEnd"/>
      <w:r>
        <w:rPr>
          <w:i/>
          <w:iCs/>
          <w:lang w:val="en-US"/>
        </w:rPr>
        <w:t xml:space="preserve"> in </w:t>
      </w:r>
      <w:proofErr w:type="spellStart"/>
      <w:r>
        <w:rPr>
          <w:i/>
          <w:iCs/>
          <w:lang w:val="en-US"/>
        </w:rPr>
        <w:t>contentionem</w:t>
      </w:r>
      <w:proofErr w:type="spellEnd"/>
      <w:r>
        <w:rPr>
          <w:i/>
          <w:iCs/>
          <w:lang w:val="en-US"/>
        </w:rPr>
        <w:t xml:space="preserve"> de </w:t>
      </w:r>
      <w:proofErr w:type="spellStart"/>
      <w:r>
        <w:rPr>
          <w:i/>
          <w:iCs/>
          <w:lang w:val="en-US"/>
        </w:rPr>
        <w:t>accusando</w:t>
      </w:r>
      <w:proofErr w:type="spellEnd"/>
      <w:r>
        <w:rPr>
          <w:i/>
          <w:iCs/>
          <w:lang w:val="en-US"/>
        </w:rPr>
        <w:t xml:space="preserve"> qui quaestor </w:t>
      </w:r>
      <w:proofErr w:type="spellStart"/>
      <w:r>
        <w:rPr>
          <w:i/>
          <w:iCs/>
          <w:lang w:val="en-US"/>
        </w:rPr>
        <w:t>fuisset</w:t>
      </w:r>
      <w:proofErr w:type="spellEnd"/>
      <w:r>
        <w:rPr>
          <w:i/>
          <w:iCs/>
          <w:lang w:val="en-US"/>
        </w:rPr>
        <w:t xml:space="preserve">, quin </w:t>
      </w:r>
      <w:proofErr w:type="spellStart"/>
      <w:r>
        <w:rPr>
          <w:i/>
          <w:iCs/>
          <w:lang w:val="en-US"/>
        </w:rPr>
        <w:t>repudiaretur</w:t>
      </w:r>
      <w:proofErr w:type="spellEnd"/>
      <w:r>
        <w:rPr>
          <w:i/>
          <w:iCs/>
          <w:lang w:val="en-US"/>
        </w:rPr>
        <w:t xml:space="preserve">. </w:t>
      </w:r>
      <w:proofErr w:type="spellStart"/>
      <w:r>
        <w:rPr>
          <w:i/>
          <w:iCs/>
          <w:lang w:val="en-US"/>
        </w:rPr>
        <w:t>Itaque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neque</w:t>
      </w:r>
      <w:proofErr w:type="spellEnd"/>
      <w:r>
        <w:rPr>
          <w:i/>
          <w:iCs/>
          <w:lang w:val="en-US"/>
        </w:rPr>
        <w:t xml:space="preserve"> L. </w:t>
      </w:r>
      <w:proofErr w:type="spellStart"/>
      <w:r>
        <w:rPr>
          <w:i/>
          <w:iCs/>
          <w:lang w:val="en-US"/>
        </w:rPr>
        <w:t>Philoni</w:t>
      </w:r>
      <w:proofErr w:type="spellEnd"/>
      <w:r>
        <w:rPr>
          <w:i/>
          <w:iCs/>
          <w:lang w:val="en-US"/>
        </w:rPr>
        <w:t xml:space="preserve"> in C. </w:t>
      </w:r>
      <w:proofErr w:type="spellStart"/>
      <w:r>
        <w:rPr>
          <w:i/>
          <w:iCs/>
          <w:lang w:val="en-US"/>
        </w:rPr>
        <w:t>Servilium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nominis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deferendi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potestas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est</w:t>
      </w:r>
      <w:proofErr w:type="spellEnd"/>
      <w:r>
        <w:rPr>
          <w:i/>
          <w:iCs/>
          <w:lang w:val="en-US"/>
        </w:rPr>
        <w:t xml:space="preserve"> data, </w:t>
      </w:r>
      <w:proofErr w:type="spellStart"/>
      <w:r>
        <w:rPr>
          <w:i/>
          <w:iCs/>
          <w:lang w:val="en-US"/>
        </w:rPr>
        <w:t>neque</w:t>
      </w:r>
      <w:proofErr w:type="spellEnd"/>
      <w:r>
        <w:rPr>
          <w:i/>
          <w:iCs/>
          <w:lang w:val="en-US"/>
        </w:rPr>
        <w:t xml:space="preserve"> M. Aurelio </w:t>
      </w:r>
      <w:proofErr w:type="spellStart"/>
      <w:r>
        <w:rPr>
          <w:i/>
          <w:iCs/>
          <w:lang w:val="en-US"/>
        </w:rPr>
        <w:t>Scauro</w:t>
      </w:r>
      <w:proofErr w:type="spellEnd"/>
      <w:r>
        <w:rPr>
          <w:i/>
          <w:iCs/>
          <w:lang w:val="en-US"/>
        </w:rPr>
        <w:t xml:space="preserve"> in L. </w:t>
      </w:r>
      <w:proofErr w:type="spellStart"/>
      <w:r>
        <w:rPr>
          <w:i/>
          <w:iCs/>
          <w:lang w:val="en-US"/>
        </w:rPr>
        <w:t>Flaccum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neque</w:t>
      </w:r>
      <w:proofErr w:type="spellEnd"/>
      <w:r>
        <w:rPr>
          <w:i/>
          <w:iCs/>
          <w:lang w:val="en-US"/>
        </w:rPr>
        <w:t xml:space="preserve"> Cn. </w:t>
      </w:r>
      <w:proofErr w:type="spellStart"/>
      <w:r>
        <w:rPr>
          <w:i/>
          <w:iCs/>
          <w:lang w:val="en-US"/>
        </w:rPr>
        <w:t>Pompeio</w:t>
      </w:r>
      <w:proofErr w:type="spellEnd"/>
      <w:r>
        <w:rPr>
          <w:i/>
          <w:iCs/>
          <w:lang w:val="en-US"/>
        </w:rPr>
        <w:t xml:space="preserve"> in T. </w:t>
      </w:r>
      <w:proofErr w:type="spellStart"/>
      <w:r>
        <w:rPr>
          <w:i/>
          <w:iCs/>
          <w:lang w:val="en-US"/>
        </w:rPr>
        <w:t>Albucium</w:t>
      </w:r>
      <w:proofErr w:type="spellEnd"/>
      <w:r>
        <w:rPr>
          <w:i/>
          <w:iCs/>
          <w:lang w:val="en-US"/>
        </w:rPr>
        <w:t xml:space="preserve">; quorum nemo propter </w:t>
      </w:r>
      <w:proofErr w:type="spellStart"/>
      <w:r>
        <w:rPr>
          <w:i/>
          <w:iCs/>
          <w:lang w:val="en-US"/>
        </w:rPr>
        <w:t>indignitatem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repudiatus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est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sed</w:t>
      </w:r>
      <w:proofErr w:type="spellEnd"/>
      <w:r>
        <w:rPr>
          <w:i/>
          <w:iCs/>
          <w:lang w:val="en-US"/>
        </w:rPr>
        <w:t xml:space="preserve"> ne libido </w:t>
      </w:r>
      <w:proofErr w:type="spellStart"/>
      <w:r>
        <w:rPr>
          <w:i/>
          <w:iCs/>
          <w:lang w:val="en-US"/>
        </w:rPr>
        <w:t>violandae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necessitudinis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auctoritate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iudicium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comprobaretur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>
        <w:t xml:space="preserve">(„Nie było prawie sporu o oskarżenie, w którym ten co był kwestorem nie został odrzucony. Dlatego ani L. Filonowi nie pozwolono pozwać </w:t>
      </w:r>
      <w:proofErr w:type="spellStart"/>
      <w:r>
        <w:t>Serwiliusza</w:t>
      </w:r>
      <w:proofErr w:type="spellEnd"/>
      <w:r>
        <w:t xml:space="preserve">, ani M. Aureliuszowi </w:t>
      </w:r>
      <w:proofErr w:type="spellStart"/>
      <w:r>
        <w:t>Skaurusowi</w:t>
      </w:r>
      <w:proofErr w:type="spellEnd"/>
      <w:r>
        <w:t xml:space="preserve"> L. </w:t>
      </w:r>
      <w:proofErr w:type="spellStart"/>
      <w:r>
        <w:t>Flakka</w:t>
      </w:r>
      <w:proofErr w:type="spellEnd"/>
      <w:r>
        <w:t xml:space="preserve">, ani </w:t>
      </w:r>
      <w:proofErr w:type="spellStart"/>
      <w:r>
        <w:t>Gn</w:t>
      </w:r>
      <w:proofErr w:type="spellEnd"/>
      <w:r>
        <w:t xml:space="preserve">. </w:t>
      </w:r>
      <w:proofErr w:type="spellStart"/>
      <w:r>
        <w:t>Pempejuszowi</w:t>
      </w:r>
      <w:proofErr w:type="spellEnd"/>
      <w:r>
        <w:t xml:space="preserve"> T. </w:t>
      </w:r>
      <w:proofErr w:type="spellStart"/>
      <w:r>
        <w:t>Albucjusza</w:t>
      </w:r>
      <w:proofErr w:type="spellEnd"/>
      <w:r>
        <w:t xml:space="preserve">; a żaden nie był odrzucony z powodu niegodności, lecz aby chęć zerwania koniecznych związków nie została potwierdzona autorytetem sądów”, przekł. E. </w:t>
      </w:r>
      <w:proofErr w:type="spellStart"/>
      <w:r>
        <w:t>Rykaczewskiego</w:t>
      </w:r>
      <w:proofErr w:type="spellEnd"/>
      <w:r>
        <w:t xml:space="preserve"> ze zmianami).</w:t>
      </w:r>
    </w:p>
  </w:footnote>
  <w:footnote w:id="9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t xml:space="preserve"> MRR I, s. 584. Po objęciu urzędu jego pozycja miała być na tyle słaba, że jak twierdzi Plutarch (</w:t>
      </w:r>
      <w:r>
        <w:rPr>
          <w:i/>
          <w:iCs/>
        </w:rPr>
        <w:t xml:space="preserve">Mar., </w:t>
      </w:r>
      <w:r>
        <w:t xml:space="preserve">28.5) Mariusz potraktował go „bardziej jak służącego, niż kolegę”. </w:t>
      </w:r>
    </w:p>
  </w:footnote>
  <w:footnote w:id="93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Zauważano to już znacznie wcześniej, patrz np. J. </w:t>
      </w:r>
      <w:proofErr w:type="spellStart"/>
      <w:r>
        <w:rPr>
          <w:rFonts w:eastAsia="Arial Unicode MS" w:cs="Arial Unicode MS"/>
        </w:rPr>
        <w:t>Linderski</w:t>
      </w:r>
      <w:proofErr w:type="spellEnd"/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  <w:i/>
          <w:iCs/>
        </w:rPr>
        <w:t>Rzymskie zgromadzenie wyborcze od Sulli do Cezara</w:t>
      </w:r>
      <w:r>
        <w:rPr>
          <w:rFonts w:eastAsia="Arial Unicode MS" w:cs="Arial Unicode MS"/>
        </w:rPr>
        <w:t xml:space="preserve">, Wrocław-Warszawa-Kraków 1966, s. 5. </w:t>
      </w:r>
    </w:p>
  </w:footnote>
  <w:footnote w:id="9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t xml:space="preserve"> Wiemy o kampanii oficera Mariusza, L. Korneliusza Sulli przeciwko </w:t>
      </w:r>
      <w:proofErr w:type="spellStart"/>
      <w:r>
        <w:t>Tektosagom</w:t>
      </w:r>
      <w:proofErr w:type="spellEnd"/>
      <w:r>
        <w:t xml:space="preserve">: Plut., </w:t>
      </w:r>
      <w:proofErr w:type="spellStart"/>
      <w:r>
        <w:rPr>
          <w:i/>
          <w:iCs/>
        </w:rPr>
        <w:t>Sull</w:t>
      </w:r>
      <w:proofErr w:type="spellEnd"/>
      <w:r>
        <w:rPr>
          <w:i/>
          <w:iCs/>
        </w:rPr>
        <w:t xml:space="preserve">., </w:t>
      </w:r>
      <w:r>
        <w:t xml:space="preserve">4.1; </w:t>
      </w:r>
      <w:proofErr w:type="spellStart"/>
      <w:r>
        <w:t>Vell</w:t>
      </w:r>
      <w:proofErr w:type="spellEnd"/>
      <w:r>
        <w:t xml:space="preserve">., 2.17.3. </w:t>
      </w:r>
    </w:p>
  </w:footnote>
  <w:footnote w:id="95">
    <w:p w:rsidR="00F8296F" w:rsidRPr="00F8296F" w:rsidRDefault="00F829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Rzym i Italia czerpały zboże z Afryki, Sycylii oraz Sardynii: </w:t>
      </w:r>
      <w:proofErr w:type="spellStart"/>
      <w:r>
        <w:t>Cic</w:t>
      </w:r>
      <w:proofErr w:type="spellEnd"/>
      <w:r>
        <w:t xml:space="preserve">., </w:t>
      </w:r>
      <w:r>
        <w:rPr>
          <w:i/>
        </w:rPr>
        <w:t xml:space="preserve">Pro leg. Man., </w:t>
      </w:r>
      <w:r>
        <w:t xml:space="preserve">34. </w:t>
      </w:r>
    </w:p>
  </w:footnote>
  <w:footnote w:id="9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Na Sycylii w latach 104-101 trwało powstanie niewolników. Szerzej na temat samego powstania, zob. np. </w:t>
      </w:r>
      <w:r>
        <w:rPr>
          <w:lang w:val="en-US"/>
        </w:rPr>
        <w:t xml:space="preserve">K.R. Bradley, </w:t>
      </w:r>
      <w:r>
        <w:rPr>
          <w:i/>
          <w:iCs/>
          <w:lang w:val="en-US"/>
        </w:rPr>
        <w:t xml:space="preserve">Slavery and Rebellion in the Roman World 140-B.C. – 70 B.C, </w:t>
      </w:r>
      <w:r>
        <w:rPr>
          <w:lang w:val="en-US"/>
        </w:rPr>
        <w:t xml:space="preserve">Bloomington-London 1989, s. 46-72; T.C. Brennan, </w:t>
      </w:r>
      <w:r>
        <w:rPr>
          <w:i/>
          <w:iCs/>
          <w:lang w:val="en-US"/>
        </w:rPr>
        <w:t xml:space="preserve">op. cit., </w:t>
      </w:r>
      <w:r>
        <w:rPr>
          <w:lang w:val="en-US"/>
        </w:rPr>
        <w:t xml:space="preserve">s. 477-480; G.C. Sampson, </w:t>
      </w:r>
      <w:r>
        <w:rPr>
          <w:i/>
          <w:iCs/>
          <w:lang w:val="en-US"/>
        </w:rPr>
        <w:t xml:space="preserve">op. cit., </w:t>
      </w:r>
      <w:r>
        <w:rPr>
          <w:lang w:val="en-US"/>
        </w:rPr>
        <w:t xml:space="preserve">s. 201-203. </w:t>
      </w:r>
    </w:p>
  </w:footnote>
  <w:footnote w:id="97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Wiemy od Cycerona, że </w:t>
      </w:r>
      <w:proofErr w:type="spellStart"/>
      <w:r>
        <w:t>Albucjusz</w:t>
      </w:r>
      <w:proofErr w:type="spellEnd"/>
      <w:r>
        <w:t xml:space="preserve"> został przez żołnierzy okrzyknięty imperatorem i wnioskował do senatu o triumf, czy może raczej owację, zob. </w:t>
      </w:r>
      <w:proofErr w:type="spellStart"/>
      <w:r>
        <w:t>Cic</w:t>
      </w:r>
      <w:proofErr w:type="spellEnd"/>
      <w:r>
        <w:t xml:space="preserve">., </w:t>
      </w:r>
      <w:r>
        <w:rPr>
          <w:i/>
          <w:iCs/>
        </w:rPr>
        <w:t xml:space="preserve">In Pis., </w:t>
      </w:r>
      <w:r>
        <w:t xml:space="preserve">92;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prov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cons</w:t>
      </w:r>
      <w:proofErr w:type="spellEnd"/>
      <w:r>
        <w:rPr>
          <w:i/>
          <w:iCs/>
        </w:rPr>
        <w:t xml:space="preserve">., </w:t>
      </w:r>
      <w:r>
        <w:t xml:space="preserve">15. Dyskusja na ten temat, patrz: E. </w:t>
      </w:r>
      <w:proofErr w:type="spellStart"/>
      <w:r>
        <w:t>Ughi</w:t>
      </w:r>
      <w:proofErr w:type="spellEnd"/>
      <w:r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corruzione</w:t>
      </w:r>
      <w:proofErr w:type="spellEnd"/>
      <w:r>
        <w:rPr>
          <w:i/>
          <w:iCs/>
        </w:rPr>
        <w:t xml:space="preserve"> e i </w:t>
      </w:r>
      <w:proofErr w:type="spellStart"/>
      <w:r>
        <w:rPr>
          <w:i/>
          <w:iCs/>
        </w:rPr>
        <w:t>grandi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processi</w:t>
      </w:r>
      <w:proofErr w:type="spellEnd"/>
      <w:r>
        <w:rPr>
          <w:i/>
          <w:iCs/>
        </w:rPr>
        <w:t xml:space="preserve">, </w:t>
      </w:r>
      <w:r>
        <w:t xml:space="preserve">w: A. </w:t>
      </w:r>
      <w:proofErr w:type="spellStart"/>
      <w:r>
        <w:t>Mastino</w:t>
      </w:r>
      <w:proofErr w:type="spellEnd"/>
      <w:r>
        <w:t xml:space="preserve"> (ed.), </w:t>
      </w:r>
      <w:proofErr w:type="spellStart"/>
      <w:r>
        <w:rPr>
          <w:i/>
          <w:iCs/>
        </w:rPr>
        <w:t>Storia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della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Sardegna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Antica</w:t>
      </w:r>
      <w:proofErr w:type="spellEnd"/>
      <w:r>
        <w:rPr>
          <w:i/>
          <w:iCs/>
        </w:rPr>
        <w:t xml:space="preserve">, </w:t>
      </w:r>
      <w:r>
        <w:t xml:space="preserve">Nuoro 2005, s. 105-108; T.C. Brennan, </w:t>
      </w:r>
      <w:r>
        <w:rPr>
          <w:i/>
          <w:iCs/>
        </w:rPr>
        <w:t>op. cit.,</w:t>
      </w:r>
      <w:r>
        <w:t xml:space="preserve"> s. 833-834, przyp. 3-4. </w:t>
      </w:r>
    </w:p>
  </w:footnote>
  <w:footnote w:id="98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Cic</w:t>
      </w:r>
      <w:proofErr w:type="spellEnd"/>
      <w:r>
        <w:rPr>
          <w:lang w:val="en-US"/>
        </w:rPr>
        <w:t xml:space="preserve">., </w:t>
      </w:r>
      <w:proofErr w:type="spellStart"/>
      <w:r>
        <w:rPr>
          <w:i/>
          <w:iCs/>
          <w:lang w:val="en-US"/>
        </w:rPr>
        <w:t>Har</w:t>
      </w:r>
      <w:proofErr w:type="spellEnd"/>
      <w:r>
        <w:rPr>
          <w:i/>
          <w:iCs/>
          <w:lang w:val="en-US"/>
        </w:rPr>
        <w:t xml:space="preserve">. Resp., </w:t>
      </w:r>
      <w:r>
        <w:rPr>
          <w:lang w:val="en-US"/>
        </w:rPr>
        <w:t xml:space="preserve">43; </w:t>
      </w:r>
      <w:r>
        <w:rPr>
          <w:i/>
          <w:iCs/>
          <w:lang w:val="en-US"/>
        </w:rPr>
        <w:t xml:space="preserve">Pro </w:t>
      </w:r>
      <w:proofErr w:type="spellStart"/>
      <w:r>
        <w:rPr>
          <w:i/>
          <w:iCs/>
          <w:lang w:val="en-US"/>
        </w:rPr>
        <w:t>Sest</w:t>
      </w:r>
      <w:proofErr w:type="spellEnd"/>
      <w:r>
        <w:rPr>
          <w:i/>
          <w:iCs/>
          <w:lang w:val="en-US"/>
        </w:rPr>
        <w:t xml:space="preserve">., </w:t>
      </w:r>
      <w:r>
        <w:rPr>
          <w:lang w:val="en-US"/>
        </w:rPr>
        <w:t xml:space="preserve">39; </w:t>
      </w:r>
      <w:proofErr w:type="spellStart"/>
      <w:r>
        <w:rPr>
          <w:lang w:val="en-US"/>
        </w:rPr>
        <w:t>Diod</w:t>
      </w:r>
      <w:proofErr w:type="spellEnd"/>
      <w:r>
        <w:rPr>
          <w:lang w:val="en-US"/>
        </w:rPr>
        <w:t>. Sic., 36.12.</w:t>
      </w:r>
    </w:p>
  </w:footnote>
  <w:footnote w:id="99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</w:t>
      </w:r>
      <w:proofErr w:type="spellStart"/>
      <w:r>
        <w:t>Albucjusz</w:t>
      </w:r>
      <w:proofErr w:type="spellEnd"/>
      <w:r>
        <w:t xml:space="preserve"> w roku 105 zarządzał Sardynią i Korsyką. Prawdopodobnie sprawował w tym roku preturę, por. MRR I, s. 560; T.C. Brennan, </w:t>
      </w:r>
      <w:r>
        <w:rPr>
          <w:i/>
          <w:iCs/>
        </w:rPr>
        <w:t>op. cit.,</w:t>
      </w:r>
      <w:r>
        <w:t xml:space="preserve"> s. 476-477. </w:t>
      </w:r>
    </w:p>
  </w:footnote>
  <w:footnote w:id="100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Patrz przyp. </w:t>
      </w:r>
      <w:r>
        <w:rPr>
          <w:lang w:val="en-US"/>
        </w:rPr>
        <w:t xml:space="preserve">82. </w:t>
      </w:r>
    </w:p>
  </w:footnote>
  <w:footnote w:id="101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ed. cit., s. 100-102; M.C. Alexander, </w:t>
      </w:r>
      <w:r>
        <w:rPr>
          <w:i/>
          <w:iCs/>
          <w:lang w:val="en-US"/>
        </w:rPr>
        <w:t>Trials…,</w:t>
      </w:r>
      <w:r>
        <w:rPr>
          <w:lang w:val="en-US"/>
        </w:rPr>
        <w:t xml:space="preserve"> s. 34; J.R.V. </w:t>
      </w:r>
      <w:proofErr w:type="spellStart"/>
      <w:r>
        <w:rPr>
          <w:lang w:val="en-US"/>
        </w:rPr>
        <w:t>Prag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Provincials, patrons, and the rhetoric of </w:t>
      </w:r>
      <w:proofErr w:type="spellStart"/>
      <w:r>
        <w:rPr>
          <w:i/>
          <w:iCs/>
          <w:lang w:val="en-US"/>
        </w:rPr>
        <w:t>repetundae</w:t>
      </w:r>
      <w:proofErr w:type="spellEnd"/>
      <w:r>
        <w:rPr>
          <w:lang w:val="en-US"/>
        </w:rPr>
        <w:t xml:space="preserve">, w: C. Steel, H. van der </w:t>
      </w:r>
      <w:proofErr w:type="spellStart"/>
      <w:r>
        <w:rPr>
          <w:lang w:val="en-US"/>
        </w:rPr>
        <w:t>Blom</w:t>
      </w:r>
      <w:proofErr w:type="spellEnd"/>
      <w:r>
        <w:rPr>
          <w:lang w:val="en-US"/>
        </w:rPr>
        <w:t xml:space="preserve"> (ed.),</w:t>
      </w:r>
      <w:r>
        <w:rPr>
          <w:i/>
          <w:iCs/>
          <w:lang w:val="en-US"/>
        </w:rPr>
        <w:t xml:space="preserve"> Community and Communication: Oratory and Politics in Republican Rome</w:t>
      </w:r>
      <w:r>
        <w:rPr>
          <w:lang w:val="en-US"/>
        </w:rPr>
        <w:t>, Oxford 2012, s. 271-272.</w:t>
      </w:r>
    </w:p>
  </w:footnote>
  <w:footnote w:id="10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ed. cit., s. 171-172. </w:t>
      </w:r>
    </w:p>
  </w:footnote>
  <w:footnote w:id="10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</w:t>
      </w:r>
      <w:proofErr w:type="spellStart"/>
      <w:r w:rsidR="000B1861">
        <w:t>Cic</w:t>
      </w:r>
      <w:proofErr w:type="spellEnd"/>
      <w:r w:rsidR="000B1861">
        <w:t xml:space="preserve">., </w:t>
      </w:r>
      <w:proofErr w:type="spellStart"/>
      <w:r w:rsidR="000B1861">
        <w:rPr>
          <w:i/>
        </w:rPr>
        <w:t>Tusc</w:t>
      </w:r>
      <w:proofErr w:type="spellEnd"/>
      <w:r w:rsidR="000B1861">
        <w:rPr>
          <w:i/>
        </w:rPr>
        <w:t xml:space="preserve">., </w:t>
      </w:r>
      <w:r w:rsidR="000B1861">
        <w:t xml:space="preserve">4.109. </w:t>
      </w:r>
      <w:r>
        <w:t xml:space="preserve">Sprawa pozostaje niejasna, czy skazujący wyrok wiązał się także z wygnaniem czy też decyzja </w:t>
      </w:r>
      <w:proofErr w:type="spellStart"/>
      <w:r>
        <w:t>Albucjusza</w:t>
      </w:r>
      <w:proofErr w:type="spellEnd"/>
      <w:r>
        <w:t xml:space="preserve"> o wyjeździe do Aten była dobrowolna, por. </w:t>
      </w:r>
      <w:r>
        <w:rPr>
          <w:lang w:val="en-US"/>
        </w:rPr>
        <w:t xml:space="preserve">T.F. Carney, </w:t>
      </w:r>
      <w:r>
        <w:rPr>
          <w:i/>
          <w:iCs/>
          <w:lang w:val="en-US"/>
        </w:rPr>
        <w:t xml:space="preserve">Was </w:t>
      </w:r>
      <w:proofErr w:type="spellStart"/>
      <w:r>
        <w:rPr>
          <w:i/>
          <w:iCs/>
          <w:lang w:val="en-US"/>
        </w:rPr>
        <w:t>Rutilius</w:t>
      </w:r>
      <w:proofErr w:type="spellEnd"/>
      <w:r>
        <w:rPr>
          <w:i/>
          <w:iCs/>
          <w:lang w:val="en-US"/>
        </w:rPr>
        <w:t xml:space="preserve"> Exile Voluntary or Compulsory?</w:t>
      </w:r>
      <w:r>
        <w:rPr>
          <w:lang w:val="en-US"/>
        </w:rPr>
        <w:t>, „</w:t>
      </w:r>
      <w:proofErr w:type="spellStart"/>
      <w:r>
        <w:rPr>
          <w:lang w:val="en-US"/>
        </w:rPr>
        <w:t>Acta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Juridica</w:t>
      </w:r>
      <w:proofErr w:type="spellEnd"/>
      <w:r>
        <w:rPr>
          <w:lang w:val="en-US"/>
        </w:rPr>
        <w:t xml:space="preserve">” 1958, 1, s. 243;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Roman Politics…, </w:t>
      </w:r>
      <w:r>
        <w:rPr>
          <w:lang w:val="en-US"/>
        </w:rPr>
        <w:t xml:space="preserve">ed. cit., s. 171-172; M.C. Alexander, </w:t>
      </w:r>
      <w:r>
        <w:rPr>
          <w:i/>
          <w:iCs/>
          <w:lang w:val="en-US"/>
        </w:rPr>
        <w:t>Trials…,</w:t>
      </w:r>
      <w:r>
        <w:rPr>
          <w:lang w:val="en-US"/>
        </w:rPr>
        <w:t xml:space="preserve"> ed. cit., s. 67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68 </w:t>
      </w:r>
      <w:proofErr w:type="spellStart"/>
      <w:r>
        <w:rPr>
          <w:lang w:val="en-US"/>
        </w:rPr>
        <w:t>przyp</w:t>
      </w:r>
      <w:proofErr w:type="spellEnd"/>
      <w:r>
        <w:rPr>
          <w:lang w:val="en-US"/>
        </w:rPr>
        <w:t xml:space="preserve">. </w:t>
      </w:r>
      <w:r>
        <w:t>3.</w:t>
      </w:r>
    </w:p>
  </w:footnote>
  <w:footnote w:id="104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Por. T.C. Brennan, </w:t>
      </w:r>
      <w:r>
        <w:rPr>
          <w:i/>
          <w:iCs/>
        </w:rPr>
        <w:t>op. cit.,</w:t>
      </w:r>
      <w:r>
        <w:t xml:space="preserve"> s. 476-477. Można przypuszczać, że jako następcę </w:t>
      </w:r>
      <w:proofErr w:type="spellStart"/>
      <w:r>
        <w:t>Albucjusza</w:t>
      </w:r>
      <w:proofErr w:type="spellEnd"/>
      <w:r>
        <w:t xml:space="preserve"> brano pod uwagę konsula L. Aureliusza Orestesa, którego ojciec odbył w roku 122 triumf po namiestnictwie Sardynii, zob. MRR I, s. 518. </w:t>
      </w:r>
    </w:p>
  </w:footnote>
  <w:footnote w:id="10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MRR I, s. 559; Cass. </w:t>
      </w:r>
      <w:proofErr w:type="spellStart"/>
      <w:r>
        <w:rPr>
          <w:lang w:val="en-US"/>
        </w:rPr>
        <w:t>Dio</w:t>
      </w:r>
      <w:proofErr w:type="spellEnd"/>
      <w:r>
        <w:rPr>
          <w:lang w:val="en-US"/>
        </w:rPr>
        <w:t xml:space="preserve">, 27.93.1; </w:t>
      </w:r>
      <w:proofErr w:type="spellStart"/>
      <w:r>
        <w:rPr>
          <w:lang w:val="en-US"/>
        </w:rPr>
        <w:t>Diod</w:t>
      </w:r>
      <w:proofErr w:type="spellEnd"/>
      <w:r>
        <w:rPr>
          <w:lang w:val="en-US"/>
        </w:rPr>
        <w:t xml:space="preserve">. Sic., 36.3.2; por. M. </w:t>
      </w:r>
      <w:proofErr w:type="spellStart"/>
      <w:r>
        <w:rPr>
          <w:lang w:val="en-US"/>
        </w:rPr>
        <w:t>Gelzer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op. cit., </w:t>
      </w:r>
      <w:r>
        <w:rPr>
          <w:lang w:val="en-US"/>
        </w:rPr>
        <w:t xml:space="preserve">s. 73; J.R.V. </w:t>
      </w:r>
      <w:proofErr w:type="spellStart"/>
      <w:r>
        <w:rPr>
          <w:lang w:val="en-US"/>
        </w:rPr>
        <w:t>Prag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Magistrates in Sicily, 227-49 BC</w:t>
      </w:r>
      <w:r>
        <w:rPr>
          <w:lang w:val="en-US"/>
        </w:rPr>
        <w:t xml:space="preserve">, w: J. </w:t>
      </w:r>
      <w:proofErr w:type="spellStart"/>
      <w:r>
        <w:rPr>
          <w:lang w:val="en-US"/>
        </w:rPr>
        <w:t>Dubouloz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Pittia</w:t>
      </w:r>
      <w:proofErr w:type="spellEnd"/>
      <w:r>
        <w:rPr>
          <w:lang w:val="en-US"/>
        </w:rPr>
        <w:t xml:space="preserve"> (ed.), </w:t>
      </w:r>
      <w:r>
        <w:rPr>
          <w:i/>
          <w:iCs/>
          <w:lang w:val="en-US"/>
        </w:rPr>
        <w:t xml:space="preserve">La </w:t>
      </w:r>
      <w:proofErr w:type="spellStart"/>
      <w:r>
        <w:rPr>
          <w:i/>
          <w:iCs/>
          <w:lang w:val="en-US"/>
        </w:rPr>
        <w:t>Sicile</w:t>
      </w:r>
      <w:proofErr w:type="spellEnd"/>
      <w:r>
        <w:rPr>
          <w:i/>
          <w:iCs/>
          <w:lang w:val="en-US"/>
        </w:rPr>
        <w:t xml:space="preserve"> de </w:t>
      </w:r>
      <w:proofErr w:type="spellStart"/>
      <w:r>
        <w:rPr>
          <w:i/>
          <w:iCs/>
          <w:lang w:val="en-US"/>
        </w:rPr>
        <w:t>Cicéron</w:t>
      </w:r>
      <w:proofErr w:type="spellEnd"/>
      <w:r>
        <w:rPr>
          <w:i/>
          <w:iCs/>
          <w:lang w:val="en-US"/>
        </w:rPr>
        <w:t xml:space="preserve">, Lectures des </w:t>
      </w:r>
      <w:proofErr w:type="spellStart"/>
      <w:r>
        <w:rPr>
          <w:i/>
          <w:iCs/>
          <w:lang w:val="en-US"/>
        </w:rPr>
        <w:t>Verrines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lang w:val="en-US"/>
        </w:rPr>
        <w:t>Besançon</w:t>
      </w:r>
      <w:proofErr w:type="spellEnd"/>
      <w:r>
        <w:rPr>
          <w:lang w:val="en-US"/>
        </w:rPr>
        <w:t xml:space="preserve">: Presses </w:t>
      </w:r>
      <w:proofErr w:type="spellStart"/>
      <w:r>
        <w:rPr>
          <w:lang w:val="en-US"/>
        </w:rPr>
        <w:t>universitaires</w:t>
      </w:r>
      <w:proofErr w:type="spellEnd"/>
      <w:r>
        <w:rPr>
          <w:lang w:val="en-US"/>
        </w:rPr>
        <w:t xml:space="preserve"> de Franche-Comté 2007, s. 301.</w:t>
      </w:r>
    </w:p>
  </w:footnote>
  <w:footnote w:id="106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Por. R. J. Rowland, </w:t>
      </w:r>
      <w:r>
        <w:rPr>
          <w:i/>
          <w:iCs/>
          <w:lang w:val="en-US"/>
        </w:rPr>
        <w:t xml:space="preserve">Saturn, </w:t>
      </w:r>
      <w:proofErr w:type="spellStart"/>
      <w:r>
        <w:rPr>
          <w:i/>
          <w:iCs/>
          <w:lang w:val="en-US"/>
        </w:rPr>
        <w:t>Saturninus</w:t>
      </w:r>
      <w:proofErr w:type="spellEnd"/>
      <w:r>
        <w:rPr>
          <w:i/>
          <w:iCs/>
          <w:lang w:val="en-US"/>
        </w:rPr>
        <w:t xml:space="preserve">, and the </w:t>
      </w:r>
      <w:proofErr w:type="spellStart"/>
      <w:r>
        <w:rPr>
          <w:i/>
          <w:iCs/>
          <w:lang w:val="en-US"/>
        </w:rPr>
        <w:t>Socii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„Classical Philology” 1967, 62, 3, s. 186; R. Evans, </w:t>
      </w:r>
      <w:r>
        <w:rPr>
          <w:i/>
          <w:iCs/>
          <w:lang w:val="en-US"/>
        </w:rPr>
        <w:t>Gaius Marius…</w:t>
      </w:r>
      <w:r>
        <w:rPr>
          <w:lang w:val="en-US"/>
        </w:rPr>
        <w:t xml:space="preserve">, s. 40-42. </w:t>
      </w:r>
    </w:p>
  </w:footnote>
  <w:footnote w:id="107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MRR I, s. 564. </w:t>
      </w:r>
    </w:p>
  </w:footnote>
  <w:footnote w:id="108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Diod</w:t>
      </w:r>
      <w:proofErr w:type="spellEnd"/>
      <w:r>
        <w:rPr>
          <w:lang w:val="en-US"/>
        </w:rPr>
        <w:t xml:space="preserve">. Sic., 36.2.2-6; por. J. van </w:t>
      </w:r>
      <w:proofErr w:type="spellStart"/>
      <w:r>
        <w:rPr>
          <w:lang w:val="en-US"/>
        </w:rPr>
        <w:t>Ooteghem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Lucius </w:t>
      </w:r>
      <w:proofErr w:type="spellStart"/>
      <w:r>
        <w:rPr>
          <w:i/>
          <w:iCs/>
          <w:lang w:val="en-US"/>
        </w:rPr>
        <w:t>Licinius</w:t>
      </w:r>
      <w:proofErr w:type="spellEnd"/>
      <w:r>
        <w:rPr>
          <w:i/>
          <w:iCs/>
          <w:lang w:val="en-US"/>
        </w:rPr>
        <w:t xml:space="preserve"> Lucullus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Bruxelles</w:t>
      </w:r>
      <w:proofErr w:type="spellEnd"/>
      <w:r>
        <w:rPr>
          <w:lang w:val="en-US"/>
        </w:rPr>
        <w:t xml:space="preserve"> 1959, s. 13; A. </w:t>
      </w:r>
      <w:proofErr w:type="spellStart"/>
      <w:r>
        <w:rPr>
          <w:lang w:val="en-US"/>
        </w:rPr>
        <w:t>Keaveney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Lukullus</w:t>
      </w:r>
      <w:proofErr w:type="spellEnd"/>
      <w:r>
        <w:rPr>
          <w:i/>
          <w:iCs/>
          <w:lang w:val="en-US"/>
        </w:rPr>
        <w:t>,</w:t>
      </w:r>
      <w:r>
        <w:rPr>
          <w:lang w:val="en-US"/>
        </w:rPr>
        <w:t xml:space="preserve"> Warszawa 1998, </w:t>
      </w:r>
      <w:proofErr w:type="spellStart"/>
      <w:r>
        <w:rPr>
          <w:lang w:val="en-US"/>
        </w:rPr>
        <w:t>przeł</w:t>
      </w:r>
      <w:proofErr w:type="spellEnd"/>
      <w:r>
        <w:rPr>
          <w:lang w:val="en-US"/>
        </w:rPr>
        <w:t xml:space="preserve">. A. </w:t>
      </w:r>
      <w:proofErr w:type="spellStart"/>
      <w:r>
        <w:rPr>
          <w:lang w:val="en-US"/>
        </w:rPr>
        <w:t>Ziółkowski</w:t>
      </w:r>
      <w:proofErr w:type="spellEnd"/>
      <w:r>
        <w:rPr>
          <w:lang w:val="en-US"/>
        </w:rPr>
        <w:t xml:space="preserve">, s. 11-12. </w:t>
      </w:r>
    </w:p>
  </w:footnote>
  <w:footnote w:id="109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Plut</w:t>
      </w:r>
      <w:proofErr w:type="spellEnd"/>
      <w:r>
        <w:rPr>
          <w:lang w:val="en-US"/>
        </w:rPr>
        <w:t xml:space="preserve">., </w:t>
      </w:r>
      <w:r>
        <w:rPr>
          <w:i/>
          <w:iCs/>
          <w:lang w:val="en-US"/>
        </w:rPr>
        <w:t xml:space="preserve">Mar., </w:t>
      </w:r>
      <w:r>
        <w:rPr>
          <w:lang w:val="en-US"/>
        </w:rPr>
        <w:t xml:space="preserve">14.6; </w:t>
      </w:r>
      <w:proofErr w:type="spellStart"/>
      <w:r>
        <w:rPr>
          <w:lang w:val="en-US"/>
        </w:rPr>
        <w:t>Eutrop</w:t>
      </w:r>
      <w:proofErr w:type="spellEnd"/>
      <w:r>
        <w:rPr>
          <w:lang w:val="en-US"/>
        </w:rPr>
        <w:t>., 5.1.3.</w:t>
      </w:r>
    </w:p>
  </w:footnote>
  <w:footnote w:id="110">
    <w:p w:rsidR="0039189C" w:rsidRDefault="003032C1" w:rsidP="00200735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  <w:lang w:val="en-US"/>
        </w:rPr>
        <w:tab/>
      </w:r>
      <w:r w:rsidR="004124C8">
        <w:rPr>
          <w:lang w:val="en-US"/>
        </w:rPr>
        <w:t xml:space="preserve"> </w:t>
      </w:r>
      <w:proofErr w:type="spellStart"/>
      <w:r w:rsidR="004124C8" w:rsidRPr="004124C8">
        <w:rPr>
          <w:lang w:val="en-US"/>
        </w:rPr>
        <w:t>Plut</w:t>
      </w:r>
      <w:proofErr w:type="spellEnd"/>
      <w:r w:rsidR="004124C8" w:rsidRPr="004124C8">
        <w:rPr>
          <w:lang w:val="en-US"/>
        </w:rPr>
        <w:t xml:space="preserve">., </w:t>
      </w:r>
      <w:r w:rsidR="004124C8" w:rsidRPr="004124C8">
        <w:rPr>
          <w:i/>
          <w:iCs/>
          <w:lang w:val="en-US"/>
        </w:rPr>
        <w:t>Mar</w:t>
      </w:r>
      <w:r w:rsidR="004124C8" w:rsidRPr="004124C8">
        <w:rPr>
          <w:lang w:val="en-US"/>
        </w:rPr>
        <w:t xml:space="preserve">., 14.3-5; Quint., </w:t>
      </w:r>
      <w:r w:rsidR="004124C8" w:rsidRPr="004124C8">
        <w:rPr>
          <w:i/>
          <w:iCs/>
          <w:lang w:val="en-US"/>
        </w:rPr>
        <w:t>Inst. or</w:t>
      </w:r>
      <w:r w:rsidR="004124C8" w:rsidRPr="004124C8">
        <w:rPr>
          <w:lang w:val="en-US"/>
        </w:rPr>
        <w:t xml:space="preserve">., 3.11.14; </w:t>
      </w:r>
      <w:r w:rsidR="004124C8" w:rsidRPr="004124C8">
        <w:rPr>
          <w:i/>
          <w:iCs/>
          <w:lang w:val="en-US"/>
        </w:rPr>
        <w:t xml:space="preserve">Decl. </w:t>
      </w:r>
      <w:r w:rsidR="004124C8" w:rsidRPr="004124C8">
        <w:rPr>
          <w:i/>
          <w:iCs/>
        </w:rPr>
        <w:t>Mai</w:t>
      </w:r>
      <w:r w:rsidR="004124C8" w:rsidRPr="004124C8">
        <w:t>, 3.7.1</w:t>
      </w:r>
      <w:r w:rsidR="004124C8">
        <w:t xml:space="preserve">; </w:t>
      </w:r>
      <w:r w:rsidR="004124C8">
        <w:rPr>
          <w:lang w:val="en-US"/>
        </w:rPr>
        <w:t>Val. Max., 6.1.12</w:t>
      </w:r>
      <w:r w:rsidR="00200735">
        <w:t xml:space="preserve">. W odniesieniu do homoseksualnych stosunków w armii rzymskiej, zob. </w:t>
      </w:r>
      <w:proofErr w:type="spellStart"/>
      <w:r w:rsidR="00200735">
        <w:t>Polyb</w:t>
      </w:r>
      <w:proofErr w:type="spellEnd"/>
      <w:r w:rsidR="00200735">
        <w:t xml:space="preserve">., 6.37 z </w:t>
      </w:r>
      <w:r>
        <w:t xml:space="preserve">M.N. Faszcza, </w:t>
      </w:r>
      <w:r>
        <w:rPr>
          <w:i/>
          <w:iCs/>
        </w:rPr>
        <w:t>Homoseksualizm w armii rzymskiej w okresie republiki,</w:t>
      </w:r>
      <w:r>
        <w:t xml:space="preserve"> [w:] S. </w:t>
      </w:r>
      <w:proofErr w:type="spellStart"/>
      <w:r>
        <w:t>Ciara</w:t>
      </w:r>
      <w:proofErr w:type="spellEnd"/>
      <w:r>
        <w:t xml:space="preserve"> (red.), </w:t>
      </w:r>
      <w:r>
        <w:rPr>
          <w:i/>
          <w:iCs/>
        </w:rPr>
        <w:t xml:space="preserve">Wojna jako zjawisko polityczne, społeczne i kulturowe, </w:t>
      </w:r>
      <w:r>
        <w:t>Warszawa 2013, s. 39-40</w:t>
      </w:r>
      <w:r w:rsidR="00200735">
        <w:t xml:space="preserve">; A. </w:t>
      </w:r>
      <w:proofErr w:type="spellStart"/>
      <w:r w:rsidR="00200735">
        <w:t>Goldsworthy</w:t>
      </w:r>
      <w:proofErr w:type="spellEnd"/>
      <w:r w:rsidR="00200735">
        <w:t xml:space="preserve">, </w:t>
      </w:r>
      <w:proofErr w:type="spellStart"/>
      <w:r w:rsidR="00200735">
        <w:rPr>
          <w:i/>
        </w:rPr>
        <w:t>Pax</w:t>
      </w:r>
      <w:proofErr w:type="spellEnd"/>
      <w:r w:rsidR="00200735">
        <w:rPr>
          <w:i/>
        </w:rPr>
        <w:t xml:space="preserve"> Romana. Wojna, pokój i podboje w świecie rzymskim, </w:t>
      </w:r>
      <w:r w:rsidR="00200735">
        <w:t>przeł. N. Radomski, Poznań 2018, s. 160-162</w:t>
      </w:r>
      <w:r>
        <w:t xml:space="preserve">. </w:t>
      </w:r>
    </w:p>
  </w:footnote>
  <w:footnote w:id="111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Plut., </w:t>
      </w:r>
      <w:r>
        <w:rPr>
          <w:rFonts w:eastAsia="Arial Unicode MS" w:cs="Arial Unicode MS"/>
          <w:i/>
          <w:iCs/>
        </w:rPr>
        <w:t xml:space="preserve">Mar., </w:t>
      </w:r>
      <w:r>
        <w:rPr>
          <w:rFonts w:eastAsia="Arial Unicode MS" w:cs="Arial Unicode MS"/>
        </w:rPr>
        <w:t xml:space="preserve">14.7: </w:t>
      </w:r>
      <w:r>
        <w:rPr>
          <w:rFonts w:eastAsia="Arial Unicode MS" w:cs="Arial Unicode MS"/>
          <w:i/>
          <w:iCs/>
        </w:rPr>
        <w:t>O konsulat ubiegało się tym razem wielu znakomitych mężów</w:t>
      </w:r>
      <w:r>
        <w:rPr>
          <w:rFonts w:eastAsia="Arial Unicode MS" w:cs="Arial Unicode MS"/>
        </w:rPr>
        <w:t xml:space="preserve"> (przeł. M. Brożek). </w:t>
      </w:r>
    </w:p>
  </w:footnote>
  <w:footnote w:id="11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t xml:space="preserve"> MRR I, s. 562. </w:t>
      </w:r>
    </w:p>
  </w:footnote>
  <w:footnote w:id="11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Plut., </w:t>
      </w:r>
      <w:r>
        <w:rPr>
          <w:i/>
          <w:iCs/>
        </w:rPr>
        <w:t xml:space="preserve">Mar., </w:t>
      </w:r>
      <w:r>
        <w:t xml:space="preserve">14.7 z R. Evans, </w:t>
      </w:r>
      <w:proofErr w:type="spellStart"/>
      <w:r>
        <w:rPr>
          <w:i/>
          <w:iCs/>
        </w:rPr>
        <w:t>Gaius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Marius</w:t>
      </w:r>
      <w:proofErr w:type="spellEnd"/>
      <w:r>
        <w:rPr>
          <w:i/>
          <w:iCs/>
        </w:rPr>
        <w:t>…</w:t>
      </w:r>
      <w:r>
        <w:t xml:space="preserve">, ed. cit., s. 82-83.  </w:t>
      </w:r>
    </w:p>
  </w:footnote>
  <w:footnote w:id="114">
    <w:p w:rsidR="0039189C" w:rsidRDefault="003032C1">
      <w:pPr>
        <w:pStyle w:val="Tekstprzypisudolnego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MRR I, s. 508.</w:t>
      </w:r>
    </w:p>
  </w:footnote>
  <w:footnote w:id="115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  <w:lang w:val="en-US"/>
        </w:rPr>
        <w:footnoteRef/>
      </w:r>
      <w:r>
        <w:rPr>
          <w:vertAlign w:val="superscript"/>
          <w:lang w:val="en-US"/>
        </w:rPr>
        <w:tab/>
      </w:r>
      <w:r>
        <w:rPr>
          <w:lang w:val="en-US"/>
        </w:rPr>
        <w:t xml:space="preserve"> Liv., </w:t>
      </w:r>
      <w:r>
        <w:rPr>
          <w:i/>
          <w:iCs/>
          <w:lang w:val="en-US"/>
        </w:rPr>
        <w:t>Per</w:t>
      </w:r>
      <w:r>
        <w:rPr>
          <w:lang w:val="en-US"/>
        </w:rPr>
        <w:t xml:space="preserve">., 60; </w:t>
      </w:r>
      <w:r>
        <w:rPr>
          <w:i/>
          <w:iCs/>
          <w:lang w:val="en-US"/>
        </w:rPr>
        <w:t xml:space="preserve">De </w:t>
      </w:r>
      <w:proofErr w:type="spellStart"/>
      <w:r>
        <w:rPr>
          <w:i/>
          <w:iCs/>
          <w:lang w:val="en-US"/>
        </w:rPr>
        <w:t>vir</w:t>
      </w:r>
      <w:proofErr w:type="spellEnd"/>
      <w:r>
        <w:rPr>
          <w:i/>
          <w:iCs/>
          <w:lang w:val="en-US"/>
        </w:rPr>
        <w:t>. ill.,</w:t>
      </w:r>
      <w:r>
        <w:rPr>
          <w:lang w:val="en-US"/>
        </w:rPr>
        <w:t xml:space="preserve"> 72.3. </w:t>
      </w:r>
    </w:p>
  </w:footnote>
  <w:footnote w:id="116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Konsul roku 157 L. Aureliusz Orestes był prawdopodobnie dziadkiem konsula roku 103, zob. MRR I, s. 446-447. </w:t>
      </w:r>
    </w:p>
  </w:footnote>
  <w:footnote w:id="117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Jedynym przedstawicielem rodu, o którym słyszymy po śmierci L. Aureliusza Orestesa była jego – jak można domniemywać – wnuczka Aurelia </w:t>
      </w:r>
      <w:proofErr w:type="spellStart"/>
      <w:r>
        <w:t>Orestia</w:t>
      </w:r>
      <w:proofErr w:type="spellEnd"/>
      <w:r>
        <w:t xml:space="preserve"> wspominana przez Waleriusza Maksymusa (9.1.9) w kontekście małżeństwa z L. Sergiuszem Katyliną pretorem roku 68. </w:t>
      </w:r>
    </w:p>
  </w:footnote>
  <w:footnote w:id="118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Style w:val="Zakotwiczenieprzypisudolnego"/>
        </w:rPr>
        <w:tab/>
      </w:r>
      <w:r>
        <w:rPr>
          <w:rFonts w:eastAsia="Arial Unicode MS" w:cs="Arial Unicode MS"/>
        </w:rPr>
        <w:t xml:space="preserve"> Plut., </w:t>
      </w:r>
      <w:r>
        <w:rPr>
          <w:rFonts w:eastAsia="Arial Unicode MS" w:cs="Arial Unicode MS"/>
          <w:i/>
          <w:iCs/>
        </w:rPr>
        <w:t xml:space="preserve">Mar., </w:t>
      </w:r>
      <w:r>
        <w:rPr>
          <w:rFonts w:eastAsia="Arial Unicode MS" w:cs="Arial Unicode MS"/>
        </w:rPr>
        <w:t xml:space="preserve">14.7. </w:t>
      </w:r>
    </w:p>
  </w:footnote>
  <w:footnote w:id="119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Por. T.C. Brennan, </w:t>
      </w:r>
      <w:r>
        <w:rPr>
          <w:i/>
          <w:iCs/>
        </w:rPr>
        <w:t>op. cit.,</w:t>
      </w:r>
      <w:r>
        <w:t xml:space="preserve"> s. 743.</w:t>
      </w:r>
      <w:r>
        <w:rPr>
          <w:color w:val="FF0000"/>
          <w:u w:color="FF0000"/>
        </w:rPr>
        <w:t xml:space="preserve"> </w:t>
      </w:r>
    </w:p>
  </w:footnote>
  <w:footnote w:id="120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tab/>
        <w:t xml:space="preserve">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vir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ill</w:t>
      </w:r>
      <w:proofErr w:type="spellEnd"/>
      <w:r>
        <w:rPr>
          <w:i/>
          <w:iCs/>
        </w:rPr>
        <w:t xml:space="preserve">., </w:t>
      </w:r>
      <w:r>
        <w:t xml:space="preserve">73.2. </w:t>
      </w:r>
    </w:p>
  </w:footnote>
  <w:footnote w:id="121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tab/>
        <w:t xml:space="preserve"> MRR I, s. 563.</w:t>
      </w:r>
    </w:p>
  </w:footnote>
  <w:footnote w:id="122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Ich polityczna orientacja jest raczej oczywista, zob. np. </w:t>
      </w:r>
      <w:r>
        <w:rPr>
          <w:lang w:val="en-US"/>
        </w:rPr>
        <w:t xml:space="preserve">E. </w:t>
      </w:r>
      <w:proofErr w:type="spellStart"/>
      <w:r>
        <w:rPr>
          <w:lang w:val="en-US"/>
        </w:rPr>
        <w:t>Badian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Studies…,</w:t>
      </w:r>
      <w:r>
        <w:rPr>
          <w:lang w:val="en-US"/>
        </w:rPr>
        <w:t xml:space="preserve"> ed. cit., s. 34-40;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 ed. cit., s. 164-170; H. </w:t>
      </w:r>
      <w:proofErr w:type="spellStart"/>
      <w:r>
        <w:rPr>
          <w:lang w:val="en-US"/>
        </w:rPr>
        <w:t>Doblhofer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56-60, 73-88. </w:t>
      </w:r>
    </w:p>
  </w:footnote>
  <w:footnote w:id="123">
    <w:p w:rsidR="0039189C" w:rsidRDefault="003032C1">
      <w:pPr>
        <w:pStyle w:val="Tekstprzypisudolnego"/>
        <w:jc w:val="both"/>
      </w:pPr>
      <w:r>
        <w:rPr>
          <w:sz w:val="24"/>
          <w:szCs w:val="24"/>
          <w:vertAlign w:val="superscript"/>
        </w:rPr>
        <w:footnoteRef/>
      </w:r>
      <w:r>
        <w:rPr>
          <w:vertAlign w:val="superscript"/>
        </w:rPr>
        <w:tab/>
      </w:r>
      <w:r>
        <w:t xml:space="preserve"> MRR I, s. 563-564. Najbardziej oczywiste pozostają koneksje </w:t>
      </w:r>
      <w:proofErr w:type="spellStart"/>
      <w:r>
        <w:t>Didiusza</w:t>
      </w:r>
      <w:proofErr w:type="spellEnd"/>
      <w:r>
        <w:t xml:space="preserve"> z </w:t>
      </w:r>
      <w:proofErr w:type="spellStart"/>
      <w:r>
        <w:rPr>
          <w:i/>
          <w:iCs/>
        </w:rPr>
        <w:t>factio</w:t>
      </w:r>
      <w:proofErr w:type="spellEnd"/>
      <w:r>
        <w:rPr>
          <w:i/>
          <w:iCs/>
        </w:rPr>
        <w:t xml:space="preserve"> </w:t>
      </w:r>
      <w:proofErr w:type="spellStart"/>
      <w:r>
        <w:t>Metelli</w:t>
      </w:r>
      <w:proofErr w:type="spellEnd"/>
      <w:r>
        <w:t xml:space="preserve">, por. także: E. Badian, </w:t>
      </w:r>
      <w:proofErr w:type="spellStart"/>
      <w:r>
        <w:rPr>
          <w:i/>
          <w:iCs/>
        </w:rPr>
        <w:t>Foreign</w:t>
      </w:r>
      <w:proofErr w:type="spellEnd"/>
      <w:r>
        <w:rPr>
          <w:i/>
          <w:iCs/>
        </w:rPr>
        <w:t>…,</w:t>
      </w:r>
      <w:r>
        <w:t xml:space="preserve"> ed. cit., s. 195, przyp. </w:t>
      </w:r>
      <w:r>
        <w:rPr>
          <w:lang w:val="en-US"/>
        </w:rPr>
        <w:t xml:space="preserve">1; E.S. </w:t>
      </w:r>
      <w:proofErr w:type="spellStart"/>
      <w:r>
        <w:rPr>
          <w:lang w:val="en-US"/>
        </w:rPr>
        <w:t>Gruen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Roman Politics…,</w:t>
      </w:r>
      <w:r>
        <w:rPr>
          <w:lang w:val="en-US"/>
        </w:rPr>
        <w:t xml:space="preserve"> ed. cit., s. 165; M. </w:t>
      </w:r>
      <w:proofErr w:type="spellStart"/>
      <w:r>
        <w:rPr>
          <w:lang w:val="en-US"/>
        </w:rPr>
        <w:t>Vardelli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op. cit.,</w:t>
      </w:r>
      <w:r>
        <w:rPr>
          <w:lang w:val="en-US"/>
        </w:rPr>
        <w:t xml:space="preserve"> s. 80. </w:t>
      </w:r>
      <w:r>
        <w:t xml:space="preserve">W odniesieniu do </w:t>
      </w:r>
      <w:proofErr w:type="spellStart"/>
      <w:r>
        <w:t>Kotty</w:t>
      </w:r>
      <w:proofErr w:type="spellEnd"/>
      <w:r>
        <w:t xml:space="preserve"> trzeba wziąć pod uwagę kilka spraw: wspólny konsulat jego ojca L. Aureliusza </w:t>
      </w:r>
      <w:proofErr w:type="spellStart"/>
      <w:r>
        <w:t>Kotty</w:t>
      </w:r>
      <w:proofErr w:type="spellEnd"/>
      <w:r>
        <w:t xml:space="preserve"> (cos. 119) z L. Cecyliuszem </w:t>
      </w:r>
      <w:proofErr w:type="spellStart"/>
      <w:r>
        <w:t>Metellusem</w:t>
      </w:r>
      <w:proofErr w:type="spellEnd"/>
      <w:r>
        <w:t xml:space="preserve"> Dalmatyńskim i ich współpracę w tym czasie, por. np. J. van </w:t>
      </w:r>
      <w:proofErr w:type="spellStart"/>
      <w:r>
        <w:t>Ooteghem</w:t>
      </w:r>
      <w:proofErr w:type="spellEnd"/>
      <w:r>
        <w:t xml:space="preserve">, </w:t>
      </w:r>
      <w:proofErr w:type="spellStart"/>
      <w:r>
        <w:rPr>
          <w:i/>
          <w:iCs/>
        </w:rPr>
        <w:t>Les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Caecilii</w:t>
      </w:r>
      <w:proofErr w:type="spellEnd"/>
      <w:r>
        <w:t xml:space="preserve">…, ed. cit., s. 106-107; P. </w:t>
      </w:r>
      <w:proofErr w:type="spellStart"/>
      <w:r>
        <w:t>Bicknell</w:t>
      </w:r>
      <w:proofErr w:type="spellEnd"/>
      <w:r>
        <w:t xml:space="preserve">, </w:t>
      </w:r>
      <w:r>
        <w:rPr>
          <w:i/>
          <w:iCs/>
        </w:rPr>
        <w:t>op. cit.,</w:t>
      </w:r>
      <w:r w:rsidR="00200735">
        <w:t xml:space="preserve"> s. 327-328;</w:t>
      </w:r>
      <w:r>
        <w:t xml:space="preserve"> I.W. </w:t>
      </w:r>
      <w:proofErr w:type="spellStart"/>
      <w:r>
        <w:t>Merkulow</w:t>
      </w:r>
      <w:proofErr w:type="spellEnd"/>
      <w:r>
        <w:t xml:space="preserve">, </w:t>
      </w:r>
      <w:r>
        <w:rPr>
          <w:i/>
          <w:iCs/>
        </w:rPr>
        <w:t xml:space="preserve">Lex </w:t>
      </w:r>
      <w:proofErr w:type="spellStart"/>
      <w:r>
        <w:rPr>
          <w:i/>
          <w:iCs/>
        </w:rPr>
        <w:t>maria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tabellaria</w:t>
      </w:r>
      <w:proofErr w:type="spellEnd"/>
      <w:r>
        <w:rPr>
          <w:i/>
          <w:iCs/>
        </w:rPr>
        <w:t xml:space="preserve"> 119 B.C.: к </w:t>
      </w:r>
      <w:proofErr w:type="spellStart"/>
      <w:r>
        <w:rPr>
          <w:i/>
          <w:iCs/>
        </w:rPr>
        <w:t>вопросу</w:t>
      </w:r>
      <w:proofErr w:type="spellEnd"/>
      <w:r>
        <w:rPr>
          <w:i/>
          <w:iCs/>
        </w:rPr>
        <w:t xml:space="preserve"> о </w:t>
      </w:r>
      <w:proofErr w:type="spellStart"/>
      <w:r>
        <w:rPr>
          <w:i/>
          <w:iCs/>
        </w:rPr>
        <w:t>взаимоотношениях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Мария</w:t>
      </w:r>
      <w:proofErr w:type="spellEnd"/>
      <w:r>
        <w:rPr>
          <w:i/>
          <w:iCs/>
        </w:rPr>
        <w:t xml:space="preserve"> с </w:t>
      </w:r>
      <w:proofErr w:type="spellStart"/>
      <w:r>
        <w:rPr>
          <w:i/>
          <w:iCs/>
        </w:rPr>
        <w:t>кланом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Метеллов</w:t>
      </w:r>
      <w:proofErr w:type="spellEnd"/>
      <w:r>
        <w:t>, „</w:t>
      </w:r>
      <w:proofErr w:type="spellStart"/>
      <w:r>
        <w:t>Antiqvitas</w:t>
      </w:r>
      <w:proofErr w:type="spellEnd"/>
      <w:r>
        <w:t xml:space="preserve"> </w:t>
      </w:r>
      <w:proofErr w:type="spellStart"/>
      <w:r>
        <w:t>Ivventae</w:t>
      </w:r>
      <w:proofErr w:type="spellEnd"/>
      <w:r>
        <w:t xml:space="preserve">” 2014, 2, s. 124-137; małżeństwo jego wuja z siostrą P. </w:t>
      </w:r>
      <w:proofErr w:type="spellStart"/>
      <w:r>
        <w:t>Rutyliusza</w:t>
      </w:r>
      <w:proofErr w:type="spellEnd"/>
      <w:r>
        <w:t xml:space="preserve"> Rufusa: </w:t>
      </w:r>
      <w:proofErr w:type="spellStart"/>
      <w:r>
        <w:t>Cic</w:t>
      </w:r>
      <w:proofErr w:type="spellEnd"/>
      <w:r>
        <w:t xml:space="preserve">., </w:t>
      </w:r>
      <w:proofErr w:type="spellStart"/>
      <w:r>
        <w:rPr>
          <w:i/>
          <w:iCs/>
        </w:rPr>
        <w:t>Brut</w:t>
      </w:r>
      <w:proofErr w:type="spellEnd"/>
      <w:r>
        <w:rPr>
          <w:i/>
          <w:iCs/>
        </w:rPr>
        <w:t xml:space="preserve">., </w:t>
      </w:r>
      <w:r>
        <w:t xml:space="preserve">115;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., </w:t>
      </w:r>
      <w:r>
        <w:t xml:space="preserve">1.229; </w:t>
      </w:r>
      <w:r>
        <w:rPr>
          <w:i/>
          <w:iCs/>
        </w:rPr>
        <w:t xml:space="preserve">ad </w:t>
      </w:r>
      <w:proofErr w:type="spellStart"/>
      <w:r>
        <w:rPr>
          <w:i/>
          <w:iCs/>
        </w:rPr>
        <w:t>Att</w:t>
      </w:r>
      <w:proofErr w:type="spellEnd"/>
      <w:r>
        <w:rPr>
          <w:i/>
          <w:iCs/>
        </w:rPr>
        <w:t xml:space="preserve">., </w:t>
      </w:r>
      <w:r>
        <w:t xml:space="preserve">12.20.2; por. F. </w:t>
      </w:r>
      <w:proofErr w:type="spellStart"/>
      <w:r>
        <w:t>Münzer</w:t>
      </w:r>
      <w:proofErr w:type="spellEnd"/>
      <w:r>
        <w:t xml:space="preserve">, </w:t>
      </w:r>
      <w:r>
        <w:rPr>
          <w:i/>
          <w:iCs/>
        </w:rPr>
        <w:t>op. cit.,</w:t>
      </w:r>
      <w:r>
        <w:t xml:space="preserve"> s. 313; wreszcie wiemy, że był przyjacielem Kw. </w:t>
      </w:r>
      <w:proofErr w:type="spellStart"/>
      <w:r>
        <w:t>Lutacjusza</w:t>
      </w:r>
      <w:proofErr w:type="spellEnd"/>
      <w:r>
        <w:t xml:space="preserve"> </w:t>
      </w:r>
      <w:proofErr w:type="spellStart"/>
      <w:r>
        <w:t>Katulusa</w:t>
      </w:r>
      <w:proofErr w:type="spellEnd"/>
      <w:r>
        <w:t xml:space="preserve"> (cos. 102): </w:t>
      </w:r>
      <w:proofErr w:type="spellStart"/>
      <w:r>
        <w:t>Cic</w:t>
      </w:r>
      <w:proofErr w:type="spellEnd"/>
      <w:r>
        <w:t xml:space="preserve">.,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., </w:t>
      </w:r>
      <w:r>
        <w:t xml:space="preserve">3.42. Z kolei </w:t>
      </w:r>
      <w:proofErr w:type="spellStart"/>
      <w:r>
        <w:t>Reginus</w:t>
      </w:r>
      <w:proofErr w:type="spellEnd"/>
      <w:r>
        <w:t xml:space="preserve"> i </w:t>
      </w:r>
      <w:proofErr w:type="spellStart"/>
      <w:r>
        <w:t>Bebiusz</w:t>
      </w:r>
      <w:proofErr w:type="spellEnd"/>
      <w:r>
        <w:t xml:space="preserve"> zapisali się w źródłach jednostkową aktywnością w roku 103 przeciwko trybunom Mariusza: pierwszy bronił Kw. </w:t>
      </w:r>
      <w:proofErr w:type="spellStart"/>
      <w:r>
        <w:t>Serwiliusza</w:t>
      </w:r>
      <w:proofErr w:type="spellEnd"/>
      <w:r>
        <w:t xml:space="preserve"> </w:t>
      </w:r>
      <w:proofErr w:type="spellStart"/>
      <w:r>
        <w:t>Cepiona</w:t>
      </w:r>
      <w:proofErr w:type="spellEnd"/>
      <w:r>
        <w:t xml:space="preserve"> przed </w:t>
      </w:r>
      <w:proofErr w:type="spellStart"/>
      <w:r>
        <w:t>Norbanusem</w:t>
      </w:r>
      <w:proofErr w:type="spellEnd"/>
      <w:r>
        <w:t xml:space="preserve">, a drugi próbował blokować jedną z ustaw </w:t>
      </w:r>
      <w:proofErr w:type="spellStart"/>
      <w:r>
        <w:t>Saturninusa</w:t>
      </w:r>
      <w:proofErr w:type="spellEnd"/>
      <w:r>
        <w:t xml:space="preserve">: Val. Max., 4.7.3; </w:t>
      </w:r>
      <w:r w:rsidR="00200735">
        <w:rPr>
          <w:i/>
          <w:iCs/>
        </w:rPr>
        <w:t>D</w:t>
      </w:r>
      <w:r>
        <w:rPr>
          <w:i/>
          <w:iCs/>
        </w:rPr>
        <w:t xml:space="preserve">e </w:t>
      </w:r>
      <w:proofErr w:type="spellStart"/>
      <w:r>
        <w:rPr>
          <w:i/>
          <w:iCs/>
        </w:rPr>
        <w:t>vir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ill</w:t>
      </w:r>
      <w:proofErr w:type="spellEnd"/>
      <w:r>
        <w:rPr>
          <w:i/>
          <w:iCs/>
        </w:rPr>
        <w:t xml:space="preserve">., </w:t>
      </w:r>
      <w:r>
        <w:t xml:space="preserve">73.1. </w:t>
      </w:r>
    </w:p>
  </w:footnote>
  <w:footnote w:id="124">
    <w:p w:rsidR="0039189C" w:rsidRDefault="003032C1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tab/>
        <w:t xml:space="preserve">Plut., </w:t>
      </w:r>
      <w:proofErr w:type="spellStart"/>
      <w:r>
        <w:rPr>
          <w:i/>
          <w:iCs/>
        </w:rPr>
        <w:t>Sull</w:t>
      </w:r>
      <w:proofErr w:type="spellEnd"/>
      <w:r>
        <w:rPr>
          <w:i/>
          <w:iCs/>
        </w:rPr>
        <w:t xml:space="preserve">., </w:t>
      </w:r>
      <w:r>
        <w:t xml:space="preserve">4.1.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893"/>
    <w:multiLevelType w:val="hybridMultilevel"/>
    <w:tmpl w:val="69986C44"/>
    <w:lvl w:ilvl="0" w:tplc="ECD8AB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29ED"/>
    <w:multiLevelType w:val="hybridMultilevel"/>
    <w:tmpl w:val="4F1EAFCE"/>
    <w:lvl w:ilvl="0" w:tplc="93CC9A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411CC"/>
    <w:multiLevelType w:val="hybridMultilevel"/>
    <w:tmpl w:val="7B4C9836"/>
    <w:lvl w:ilvl="0" w:tplc="6C5C5F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B1673"/>
    <w:multiLevelType w:val="hybridMultilevel"/>
    <w:tmpl w:val="557A9872"/>
    <w:lvl w:ilvl="0" w:tplc="14A8C0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189C"/>
    <w:rsid w:val="000A7C59"/>
    <w:rsid w:val="000B1861"/>
    <w:rsid w:val="00200735"/>
    <w:rsid w:val="00272873"/>
    <w:rsid w:val="002852FA"/>
    <w:rsid w:val="002B61E6"/>
    <w:rsid w:val="003032C1"/>
    <w:rsid w:val="00304F65"/>
    <w:rsid w:val="00326D5B"/>
    <w:rsid w:val="003364DF"/>
    <w:rsid w:val="0039189C"/>
    <w:rsid w:val="004124C8"/>
    <w:rsid w:val="00504F27"/>
    <w:rsid w:val="00531CAB"/>
    <w:rsid w:val="00624932"/>
    <w:rsid w:val="006E7AEF"/>
    <w:rsid w:val="00703745"/>
    <w:rsid w:val="007639C0"/>
    <w:rsid w:val="00837864"/>
    <w:rsid w:val="008835EB"/>
    <w:rsid w:val="009B17B0"/>
    <w:rsid w:val="00DE293C"/>
    <w:rsid w:val="00E37DD6"/>
    <w:rsid w:val="00ED4A24"/>
    <w:rsid w:val="00F8296F"/>
    <w:rsid w:val="00F926EC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u w:color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A"/>
      <w:sz w:val="22"/>
      <w:szCs w:val="22"/>
      <w:u w:color="00000A"/>
    </w:rPr>
  </w:style>
  <w:style w:type="paragraph" w:styleId="Tekstprzypisudolnego">
    <w:name w:val="footnote text"/>
    <w:pPr>
      <w:spacing w:after="200" w:line="276" w:lineRule="auto"/>
    </w:pPr>
    <w:rPr>
      <w:rFonts w:eastAsia="Times New Roman"/>
      <w:color w:val="000000"/>
      <w:u w:color="00000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C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C59"/>
    <w:rPr>
      <w:rFonts w:ascii="Calibri" w:eastAsia="Calibri" w:hAnsi="Calibri" w:cs="Calibri"/>
      <w:color w:val="00000A"/>
      <w:u w:color="00000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C5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0A7C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4DF"/>
    <w:rPr>
      <w:rFonts w:ascii="Calibri" w:eastAsia="Calibri" w:hAnsi="Calibri" w:cs="Calibri"/>
      <w:color w:val="00000A"/>
      <w:sz w:val="22"/>
      <w:szCs w:val="22"/>
      <w:u w:color="00000A"/>
    </w:rPr>
  </w:style>
  <w:style w:type="character" w:customStyle="1" w:styleId="StopkaZnak">
    <w:name w:val="Stopka Znak"/>
    <w:basedOn w:val="Domylnaczcionkaakapitu"/>
    <w:link w:val="Stopka"/>
    <w:uiPriority w:val="99"/>
    <w:rsid w:val="003364DF"/>
    <w:rPr>
      <w:rFonts w:ascii="Calibri" w:eastAsia="Calibri" w:hAnsi="Calibri" w:cs="Calibri"/>
      <w:color w:val="00000A"/>
      <w:sz w:val="22"/>
      <w:szCs w:val="22"/>
      <w:u w:color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4DF"/>
    <w:rPr>
      <w:rFonts w:ascii="Tahoma" w:eastAsia="Calibri" w:hAnsi="Tahoma" w:cs="Tahoma"/>
      <w:color w:val="00000A"/>
      <w:sz w:val="16"/>
      <w:szCs w:val="16"/>
      <w:u w:color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76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u w:color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A"/>
      <w:sz w:val="22"/>
      <w:szCs w:val="22"/>
      <w:u w:color="00000A"/>
    </w:rPr>
  </w:style>
  <w:style w:type="paragraph" w:styleId="Tekstprzypisudolnego">
    <w:name w:val="footnote text"/>
    <w:pPr>
      <w:spacing w:after="200" w:line="276" w:lineRule="auto"/>
    </w:pPr>
    <w:rPr>
      <w:rFonts w:eastAsia="Times New Roman"/>
      <w:color w:val="000000"/>
      <w:u w:color="00000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C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C59"/>
    <w:rPr>
      <w:rFonts w:ascii="Calibri" w:eastAsia="Calibri" w:hAnsi="Calibri" w:cs="Calibri"/>
      <w:color w:val="00000A"/>
      <w:u w:color="00000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C59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0A7C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4DF"/>
    <w:rPr>
      <w:rFonts w:ascii="Calibri" w:eastAsia="Calibri" w:hAnsi="Calibri" w:cs="Calibri"/>
      <w:color w:val="00000A"/>
      <w:sz w:val="22"/>
      <w:szCs w:val="22"/>
      <w:u w:color="00000A"/>
    </w:rPr>
  </w:style>
  <w:style w:type="character" w:customStyle="1" w:styleId="StopkaZnak">
    <w:name w:val="Stopka Znak"/>
    <w:basedOn w:val="Domylnaczcionkaakapitu"/>
    <w:link w:val="Stopka"/>
    <w:uiPriority w:val="99"/>
    <w:rsid w:val="003364DF"/>
    <w:rPr>
      <w:rFonts w:ascii="Calibri" w:eastAsia="Calibri" w:hAnsi="Calibri" w:cs="Calibri"/>
      <w:color w:val="00000A"/>
      <w:sz w:val="22"/>
      <w:szCs w:val="22"/>
      <w:u w:color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4DF"/>
    <w:rPr>
      <w:rFonts w:ascii="Tahoma" w:eastAsia="Calibri" w:hAnsi="Tahoma" w:cs="Tahoma"/>
      <w:color w:val="00000A"/>
      <w:sz w:val="16"/>
      <w:szCs w:val="16"/>
      <w:u w:color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76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B9F-5727-45CC-890F-150C786F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25</Pages>
  <Words>4398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11</cp:revision>
  <dcterms:created xsi:type="dcterms:W3CDTF">2018-04-14T23:10:00Z</dcterms:created>
  <dcterms:modified xsi:type="dcterms:W3CDTF">2018-05-23T22:09:00Z</dcterms:modified>
</cp:coreProperties>
</file>