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17" w:rsidRDefault="007E7B17"/>
    <w:tbl>
      <w:tblPr>
        <w:tblStyle w:val="Tabellenraster"/>
        <w:tblW w:w="9150" w:type="dxa"/>
        <w:tblLook w:val="04A0" w:firstRow="1" w:lastRow="0" w:firstColumn="1" w:lastColumn="0" w:noHBand="0" w:noVBand="1"/>
      </w:tblPr>
      <w:tblGrid>
        <w:gridCol w:w="316"/>
        <w:gridCol w:w="2208"/>
        <w:gridCol w:w="2209"/>
        <w:gridCol w:w="2208"/>
        <w:gridCol w:w="2209"/>
      </w:tblGrid>
      <w:tr w:rsidR="007E7B17" w:rsidRPr="001F7F63" w:rsidTr="007E7B17">
        <w:tc>
          <w:tcPr>
            <w:tcW w:w="316" w:type="dxa"/>
            <w:tcBorders>
              <w:top w:val="nil"/>
              <w:left w:val="nil"/>
              <w:bottom w:val="thinThickSmallGap" w:sz="24" w:space="0" w:color="auto"/>
            </w:tcBorders>
            <w:shd w:val="clear" w:color="auto" w:fill="FFFFFF" w:themeFill="background1"/>
          </w:tcPr>
          <w:p w:rsidR="007E7B17" w:rsidRPr="00571DC3" w:rsidRDefault="007E7B17" w:rsidP="00F162AD">
            <w:pPr>
              <w:pStyle w:val="Tabelle"/>
              <w:spacing w:line="240" w:lineRule="auto"/>
              <w:rPr>
                <w:color w:val="2E74B5" w:themeColor="accent1" w:themeShade="BF"/>
                <w:lang w:val="de-DE"/>
              </w:rPr>
            </w:pPr>
          </w:p>
        </w:tc>
        <w:tc>
          <w:tcPr>
            <w:tcW w:w="2208" w:type="dxa"/>
            <w:tcBorders>
              <w:top w:val="nil"/>
              <w:bottom w:val="thinThickSmallGap" w:sz="24" w:space="0" w:color="auto"/>
            </w:tcBorders>
            <w:shd w:val="clear" w:color="auto" w:fill="FFFFFF" w:themeFill="background1"/>
          </w:tcPr>
          <w:p w:rsidR="007E7B17" w:rsidRPr="00571DC3" w:rsidRDefault="007E7B17" w:rsidP="00F162AD">
            <w:pPr>
              <w:pStyle w:val="Tabelle"/>
              <w:spacing w:line="240" w:lineRule="auto"/>
              <w:rPr>
                <w:color w:val="2E74B5" w:themeColor="accent1" w:themeShade="BF"/>
                <w:lang w:val="pl-PL"/>
              </w:rPr>
            </w:pPr>
            <w:proofErr w:type="spellStart"/>
            <w:r w:rsidRPr="00571DC3">
              <w:t>Achrymenka</w:t>
            </w:r>
            <w:proofErr w:type="spellEnd"/>
            <w:r w:rsidRPr="00571DC3">
              <w:rPr>
                <w:lang w:val="pl-PL"/>
              </w:rPr>
              <w:t xml:space="preserve"> </w:t>
            </w:r>
            <w:proofErr w:type="spellStart"/>
            <w:r w:rsidRPr="00571DC3">
              <w:rPr>
                <w:lang w:val="pl-PL"/>
              </w:rPr>
              <w:t>und</w:t>
            </w:r>
            <w:proofErr w:type="spellEnd"/>
            <w:r w:rsidRPr="00571DC3">
              <w:rPr>
                <w:lang w:val="pl-PL"/>
              </w:rPr>
              <w:t xml:space="preserve"> </w:t>
            </w:r>
            <w:proofErr w:type="spellStart"/>
            <w:r w:rsidRPr="00571DC3">
              <w:t>Larčanka</w:t>
            </w:r>
            <w:proofErr w:type="spellEnd"/>
            <w:r w:rsidRPr="00571DC3">
              <w:rPr>
                <w:lang w:val="pl-PL"/>
              </w:rPr>
              <w:t xml:space="preserve"> (</w:t>
            </w:r>
            <w:r w:rsidRPr="00571DC3">
              <w:t>1968</w:t>
            </w:r>
            <w:r w:rsidRPr="00571DC3">
              <w:rPr>
                <w:lang w:val="pl-PL"/>
              </w:rPr>
              <w:t>)</w:t>
            </w:r>
          </w:p>
        </w:tc>
        <w:tc>
          <w:tcPr>
            <w:tcW w:w="2209" w:type="dxa"/>
            <w:tcBorders>
              <w:top w:val="nil"/>
              <w:bottom w:val="thinThickSmallGap" w:sz="24" w:space="0" w:color="auto"/>
            </w:tcBorders>
            <w:shd w:val="clear" w:color="auto" w:fill="FFFFFF" w:themeFill="background1"/>
          </w:tcPr>
          <w:p w:rsidR="007E7B17" w:rsidRPr="00571DC3" w:rsidRDefault="007E7B17" w:rsidP="00F162AD">
            <w:pPr>
              <w:pStyle w:val="Tabelle"/>
              <w:spacing w:line="240" w:lineRule="auto"/>
              <w:rPr>
                <w:color w:val="2E74B5" w:themeColor="accent1" w:themeShade="BF"/>
                <w:lang w:val="de-DE"/>
              </w:rPr>
            </w:pPr>
            <w:proofErr w:type="spellStart"/>
            <w:r w:rsidRPr="00571DC3">
              <w:t>Barysenka</w:t>
            </w:r>
            <w:proofErr w:type="spellEnd"/>
            <w:r w:rsidRPr="00571DC3">
              <w:t xml:space="preserve">, </w:t>
            </w:r>
            <w:proofErr w:type="spellStart"/>
            <w:r w:rsidRPr="00571DC3">
              <w:t>Berkaŭ</w:t>
            </w:r>
            <w:proofErr w:type="spellEnd"/>
            <w:r w:rsidRPr="00571DC3">
              <w:t xml:space="preserve">, </w:t>
            </w:r>
            <w:proofErr w:type="spellStart"/>
            <w:r w:rsidRPr="00571DC3">
              <w:t>Pšyrkoŭ</w:t>
            </w:r>
            <w:proofErr w:type="spellEnd"/>
            <w:r w:rsidRPr="00571DC3">
              <w:rPr>
                <w:lang w:val="de-DE"/>
              </w:rPr>
              <w:t xml:space="preserve"> und </w:t>
            </w:r>
            <w:proofErr w:type="spellStart"/>
            <w:r w:rsidRPr="00571DC3">
              <w:t>Čamjarycki</w:t>
            </w:r>
            <w:proofErr w:type="spellEnd"/>
            <w:r w:rsidRPr="00571DC3">
              <w:rPr>
                <w:lang w:val="de-DE"/>
              </w:rPr>
              <w:t xml:space="preserve"> (1968)</w:t>
            </w:r>
          </w:p>
        </w:tc>
        <w:tc>
          <w:tcPr>
            <w:tcW w:w="2208" w:type="dxa"/>
            <w:tcBorders>
              <w:top w:val="nil"/>
              <w:bottom w:val="thinThickSmallGap" w:sz="24" w:space="0" w:color="auto"/>
            </w:tcBorders>
            <w:shd w:val="clear" w:color="auto" w:fill="FFFFFF" w:themeFill="background1"/>
          </w:tcPr>
          <w:p w:rsidR="007E7B17" w:rsidRPr="00571DC3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proofErr w:type="spellStart"/>
            <w:r w:rsidRPr="00571DC3">
              <w:t>Borisenko</w:t>
            </w:r>
            <w:proofErr w:type="spellEnd"/>
            <w:r w:rsidRPr="00571DC3">
              <w:t>,</w:t>
            </w:r>
            <w:r w:rsidRPr="00571DC3">
              <w:rPr>
                <w:lang w:val="de-DE"/>
              </w:rPr>
              <w:t xml:space="preserve"> </w:t>
            </w:r>
            <w:proofErr w:type="spellStart"/>
            <w:r w:rsidR="00F12629">
              <w:t>Pširkov</w:t>
            </w:r>
            <w:proofErr w:type="spellEnd"/>
            <w:r w:rsidR="00F12629">
              <w:t xml:space="preserve"> und</w:t>
            </w:r>
            <w:bookmarkStart w:id="0" w:name="_GoBack"/>
            <w:bookmarkEnd w:id="0"/>
            <w:r w:rsidRPr="00571DC3">
              <w:t xml:space="preserve"> </w:t>
            </w:r>
            <w:proofErr w:type="spellStart"/>
            <w:r w:rsidRPr="00571DC3">
              <w:t>Čemerickij</w:t>
            </w:r>
            <w:proofErr w:type="spellEnd"/>
            <w:r w:rsidRPr="00571DC3">
              <w:rPr>
                <w:lang w:val="de-DE"/>
              </w:rPr>
              <w:t xml:space="preserve"> (</w:t>
            </w:r>
            <w:r w:rsidRPr="00571DC3">
              <w:t>1977</w:t>
            </w:r>
            <w:r w:rsidRPr="00571DC3">
              <w:rPr>
                <w:lang w:val="de-DE"/>
              </w:rPr>
              <w:t>)</w:t>
            </w:r>
          </w:p>
        </w:tc>
        <w:tc>
          <w:tcPr>
            <w:tcW w:w="2209" w:type="dxa"/>
            <w:tcBorders>
              <w:top w:val="nil"/>
              <w:bottom w:val="thinThickSmallGap" w:sz="24" w:space="0" w:color="auto"/>
              <w:right w:val="nil"/>
            </w:tcBorders>
            <w:shd w:val="clear" w:color="auto" w:fill="FFFFFF" w:themeFill="background1"/>
          </w:tcPr>
          <w:p w:rsidR="007E7B17" w:rsidRPr="00571DC3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proofErr w:type="spellStart"/>
            <w:r w:rsidRPr="00571DC3">
              <w:t>Lazaruk</w:t>
            </w:r>
            <w:proofErr w:type="spellEnd"/>
            <w:r w:rsidRPr="00571DC3">
              <w:t xml:space="preserve"> </w:t>
            </w:r>
            <w:proofErr w:type="spellStart"/>
            <w:r w:rsidRPr="00571DC3">
              <w:t>und</w:t>
            </w:r>
            <w:proofErr w:type="spellEnd"/>
            <w:r w:rsidRPr="00571DC3">
              <w:t xml:space="preserve"> </w:t>
            </w:r>
            <w:proofErr w:type="spellStart"/>
            <w:r w:rsidRPr="00571DC3">
              <w:t>Semjanovič</w:t>
            </w:r>
            <w:proofErr w:type="spellEnd"/>
            <w:r w:rsidRPr="00571DC3">
              <w:rPr>
                <w:rFonts w:cs="Times New Roman"/>
              </w:rPr>
              <w:t xml:space="preserve"> (</w:t>
            </w:r>
            <w:r w:rsidRPr="00571DC3">
              <w:rPr>
                <w:rFonts w:cs="Times New Roman"/>
                <w:lang w:val="de-DE"/>
              </w:rPr>
              <w:t>1985/</w:t>
            </w:r>
            <w:r w:rsidRPr="00571DC3">
              <w:rPr>
                <w:rFonts w:cs="Times New Roman"/>
                <w:vertAlign w:val="superscript"/>
              </w:rPr>
              <w:t>4</w:t>
            </w:r>
            <w:r w:rsidRPr="00571DC3">
              <w:rPr>
                <w:rFonts w:cs="Times New Roman"/>
              </w:rPr>
              <w:t>1998</w:t>
            </w:r>
            <w:r w:rsidRPr="00571DC3">
              <w:rPr>
                <w:rFonts w:cs="Times New Roman"/>
                <w:lang w:val="de-DE"/>
              </w:rPr>
              <w:t>)</w:t>
            </w:r>
          </w:p>
        </w:tc>
      </w:tr>
      <w:tr w:rsidR="007E7B17" w:rsidRPr="001F7F63" w:rsidTr="00571DC3">
        <w:tc>
          <w:tcPr>
            <w:tcW w:w="316" w:type="dxa"/>
            <w:tcBorders>
              <w:top w:val="thinThickSmallGap" w:sz="24" w:space="0" w:color="auto"/>
              <w:left w:val="nil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r w:rsidRPr="00EF55EE">
              <w:rPr>
                <w:lang w:val="de-DE"/>
              </w:rPr>
              <w:t>1</w:t>
            </w:r>
          </w:p>
        </w:tc>
        <w:tc>
          <w:tcPr>
            <w:tcW w:w="2208" w:type="dxa"/>
            <w:tcBorders>
              <w:top w:val="thinThickSmallGap" w:sz="2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Кіеўскай Русі (з XI да сярэдзіны  XIII ст.)</w:t>
            </w:r>
          </w:p>
        </w:tc>
        <w:tc>
          <w:tcPr>
            <w:tcW w:w="220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  <w:r w:rsidRPr="00E953D1">
              <w:rPr>
                <w:lang w:val="be-BY"/>
              </w:rPr>
              <w:t>Літаратура Старажытнай Рус</w:t>
            </w:r>
            <w:r w:rsidRPr="00E953D1">
              <w:rPr>
                <w:rFonts w:cs="Times New Roman"/>
                <w:lang w:val="be-BY"/>
              </w:rPr>
              <w:t>і</w:t>
            </w:r>
          </w:p>
        </w:tc>
        <w:tc>
          <w:tcPr>
            <w:tcW w:w="22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  <w:r w:rsidRPr="005A0343">
              <w:t>Литература древней Руси</w:t>
            </w:r>
          </w:p>
        </w:tc>
        <w:tc>
          <w:tcPr>
            <w:tcW w:w="2209" w:type="dxa"/>
            <w:tcBorders>
              <w:top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Старажытнай Рус</w:t>
            </w:r>
            <w:r w:rsidRPr="00E953D1">
              <w:rPr>
                <w:rFonts w:cs="Times New Roman"/>
                <w:lang w:val="be-BY"/>
              </w:rPr>
              <w:t>і</w:t>
            </w:r>
          </w:p>
        </w:tc>
      </w:tr>
      <w:tr w:rsidR="007E7B17" w:rsidRPr="001F7F63" w:rsidTr="00571DC3">
        <w:tc>
          <w:tcPr>
            <w:tcW w:w="316" w:type="dxa"/>
            <w:tcBorders>
              <w:left w:val="nil"/>
              <w:bottom w:val="single" w:sz="4" w:space="0" w:color="auto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r w:rsidRPr="00EF55EE">
              <w:rPr>
                <w:lang w:val="de-DE"/>
              </w:rPr>
              <w:t>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 xml:space="preserve">Літаратура сярэдзіны XIII – </w:t>
            </w:r>
            <w:r w:rsidRPr="00E6097F">
              <w:rPr>
                <w:lang w:val="be-BY"/>
              </w:rPr>
              <w:t>пачатку</w:t>
            </w:r>
            <w:r w:rsidRPr="00E953D1">
              <w:rPr>
                <w:lang w:val="be-BY"/>
              </w:rPr>
              <w:t xml:space="preserve"> XVI ст.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  <w:r w:rsidRPr="00E953D1">
              <w:rPr>
                <w:lang w:val="be-BY"/>
              </w:rPr>
              <w:t xml:space="preserve">Літаратура XIV – </w:t>
            </w:r>
            <w:r w:rsidRPr="00E953D1">
              <w:rPr>
                <w:b/>
                <w:lang w:val="be-BY"/>
              </w:rPr>
              <w:t>першай палав</w:t>
            </w:r>
            <w:r w:rsidRPr="00E953D1">
              <w:rPr>
                <w:rFonts w:cs="Times New Roman"/>
                <w:b/>
                <w:lang w:val="be-BY"/>
              </w:rPr>
              <w:t>і</w:t>
            </w:r>
            <w:r w:rsidRPr="00E953D1">
              <w:rPr>
                <w:b/>
                <w:lang w:val="be-BY"/>
              </w:rPr>
              <w:t>ны</w:t>
            </w:r>
            <w:r w:rsidRPr="00E953D1">
              <w:rPr>
                <w:lang w:val="be-BY"/>
              </w:rPr>
              <w:t xml:space="preserve"> XVI ст. 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  <w:r w:rsidRPr="005A0343">
              <w:t>Литература XIV–</w:t>
            </w:r>
            <w:r w:rsidRPr="005A0343">
              <w:rPr>
                <w:b/>
              </w:rPr>
              <w:t xml:space="preserve">начала </w:t>
            </w:r>
            <w:r w:rsidRPr="005A0343">
              <w:t>XVI в.</w:t>
            </w:r>
          </w:p>
        </w:tc>
        <w:tc>
          <w:tcPr>
            <w:tcW w:w="2209" w:type="dxa"/>
            <w:tcBorders>
              <w:bottom w:val="single" w:sz="4" w:space="0" w:color="auto"/>
              <w:right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 xml:space="preserve">Літаратура XIV – </w:t>
            </w:r>
            <w:r w:rsidRPr="00E953D1">
              <w:rPr>
                <w:b/>
                <w:lang w:val="be-BY"/>
              </w:rPr>
              <w:t>пачатку</w:t>
            </w:r>
            <w:r w:rsidRPr="00E953D1">
              <w:rPr>
                <w:lang w:val="be-BY"/>
              </w:rPr>
              <w:t xml:space="preserve"> XVI ст.</w:t>
            </w:r>
          </w:p>
        </w:tc>
      </w:tr>
      <w:tr w:rsidR="007E7B17" w:rsidRPr="001F7F63" w:rsidTr="00571DC3">
        <w:trPr>
          <w:trHeight w:val="640"/>
        </w:trPr>
        <w:tc>
          <w:tcPr>
            <w:tcW w:w="316" w:type="dxa"/>
            <w:vMerge w:val="restart"/>
            <w:tcBorders>
              <w:top w:val="single" w:sz="4" w:space="0" w:color="auto"/>
              <w:left w:val="nil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r w:rsidRPr="00EF55EE">
              <w:rPr>
                <w:lang w:val="de-DE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XVI ст.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  <w:r w:rsidRPr="00E953D1">
              <w:rPr>
                <w:lang w:val="be-BY"/>
              </w:rPr>
              <w:t xml:space="preserve">Літаратура </w:t>
            </w:r>
            <w:r w:rsidRPr="00E953D1">
              <w:rPr>
                <w:b/>
                <w:lang w:val="be-BY"/>
              </w:rPr>
              <w:t>другой палав</w:t>
            </w:r>
            <w:r w:rsidRPr="00E953D1">
              <w:rPr>
                <w:rFonts w:cs="Times New Roman"/>
                <w:b/>
                <w:lang w:val="be-BY"/>
              </w:rPr>
              <w:t>і</w:t>
            </w:r>
            <w:r w:rsidRPr="00E953D1">
              <w:rPr>
                <w:b/>
                <w:lang w:val="be-BY"/>
              </w:rPr>
              <w:t>ны</w:t>
            </w:r>
            <w:r w:rsidRPr="00E953D1">
              <w:rPr>
                <w:lang w:val="be-BY"/>
              </w:rPr>
              <w:t xml:space="preserve"> </w:t>
            </w:r>
            <w:r w:rsidRPr="00E953D1">
              <w:rPr>
                <w:b/>
                <w:lang w:val="be-BY"/>
              </w:rPr>
              <w:t>XVI</w:t>
            </w:r>
            <w:r w:rsidRPr="00E953D1">
              <w:rPr>
                <w:lang w:val="be-BY"/>
              </w:rPr>
              <w:t>–першай палав</w:t>
            </w:r>
            <w:r w:rsidRPr="00E953D1">
              <w:rPr>
                <w:rFonts w:cs="Times New Roman"/>
                <w:lang w:val="be-BY"/>
              </w:rPr>
              <w:t>і</w:t>
            </w:r>
            <w:r w:rsidRPr="00E953D1">
              <w:rPr>
                <w:lang w:val="be-BY"/>
              </w:rPr>
              <w:t>ны XVII ст.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</w:tcBorders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  <w:r w:rsidRPr="005A0343">
              <w:t xml:space="preserve">Литература </w:t>
            </w:r>
            <w:r w:rsidRPr="005A0343">
              <w:rPr>
                <w:b/>
              </w:rPr>
              <w:t>XVI</w:t>
            </w:r>
            <w:r w:rsidRPr="005A0343">
              <w:t>–</w:t>
            </w:r>
            <w:r w:rsidRPr="005A0343">
              <w:rPr>
                <w:b/>
              </w:rPr>
              <w:t xml:space="preserve">первой половины </w:t>
            </w:r>
            <w:r w:rsidRPr="005A0343">
              <w:rPr>
                <w:lang w:val="pl-PL"/>
              </w:rPr>
              <w:t>XVII</w:t>
            </w:r>
            <w:r w:rsidRPr="005A0343">
              <w:t xml:space="preserve"> в.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 xml:space="preserve">Літаратура </w:t>
            </w:r>
            <w:r w:rsidRPr="00E953D1">
              <w:rPr>
                <w:b/>
                <w:lang w:val="be-BY"/>
              </w:rPr>
              <w:t xml:space="preserve">XVI </w:t>
            </w:r>
            <w:r w:rsidRPr="00E953D1">
              <w:rPr>
                <w:lang w:val="be-BY"/>
              </w:rPr>
              <w:t>–</w:t>
            </w:r>
            <w:r w:rsidRPr="00E953D1">
              <w:rPr>
                <w:b/>
                <w:lang w:val="be-BY"/>
              </w:rPr>
              <w:t>першай паловы</w:t>
            </w:r>
            <w:r w:rsidRPr="00E953D1">
              <w:rPr>
                <w:lang w:val="be-BY"/>
              </w:rPr>
              <w:t xml:space="preserve"> XVII ст.</w:t>
            </w:r>
          </w:p>
        </w:tc>
      </w:tr>
      <w:tr w:rsidR="007E7B17" w:rsidRPr="001F7F63" w:rsidTr="007E7B17">
        <w:trPr>
          <w:trHeight w:val="360"/>
        </w:trPr>
        <w:tc>
          <w:tcPr>
            <w:tcW w:w="316" w:type="dxa"/>
            <w:vMerge/>
            <w:tcBorders>
              <w:left w:val="nil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</w:pPr>
          </w:p>
        </w:tc>
        <w:tc>
          <w:tcPr>
            <w:tcW w:w="2208" w:type="dxa"/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канца XVI – першай паловы XVII ст.</w:t>
            </w:r>
          </w:p>
        </w:tc>
        <w:tc>
          <w:tcPr>
            <w:tcW w:w="2209" w:type="dxa"/>
            <w:vMerge/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</w:p>
        </w:tc>
        <w:tc>
          <w:tcPr>
            <w:tcW w:w="2208" w:type="dxa"/>
            <w:vMerge/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</w:p>
        </w:tc>
        <w:tc>
          <w:tcPr>
            <w:tcW w:w="2209" w:type="dxa"/>
            <w:vMerge/>
            <w:tcBorders>
              <w:right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</w:p>
        </w:tc>
      </w:tr>
      <w:tr w:rsidR="007E7B17" w:rsidRPr="001F7F63" w:rsidTr="00571DC3">
        <w:tc>
          <w:tcPr>
            <w:tcW w:w="316" w:type="dxa"/>
            <w:tcBorders>
              <w:left w:val="nil"/>
              <w:bottom w:val="single" w:sz="4" w:space="0" w:color="auto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r w:rsidRPr="00EF55EE">
              <w:rPr>
                <w:lang w:val="de-DE"/>
              </w:rPr>
              <w:t>4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другой паловы XVII–XVIII ст.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  <w:r w:rsidRPr="00E953D1">
              <w:rPr>
                <w:lang w:val="be-BY"/>
              </w:rPr>
              <w:t>Перакладная літаратура XV–XVII ст.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  <w:r w:rsidRPr="005A0343">
              <w:t xml:space="preserve">Переводная литература </w:t>
            </w:r>
            <w:r w:rsidRPr="005A0343">
              <w:rPr>
                <w:lang w:val="pl-PL"/>
              </w:rPr>
              <w:t>XV</w:t>
            </w:r>
            <w:r w:rsidRPr="005A0343">
              <w:t>—</w:t>
            </w:r>
            <w:r w:rsidRPr="005A0343">
              <w:rPr>
                <w:lang w:val="pl-PL"/>
              </w:rPr>
              <w:t>XVII</w:t>
            </w:r>
            <w:r w:rsidRPr="005A0343">
              <w:t xml:space="preserve"> вв.</w:t>
            </w:r>
          </w:p>
        </w:tc>
        <w:tc>
          <w:tcPr>
            <w:tcW w:w="220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Перакладная літаратура XV–XVII ст.</w:t>
            </w:r>
          </w:p>
        </w:tc>
      </w:tr>
      <w:tr w:rsidR="007E7B17" w:rsidRPr="001F7F63" w:rsidTr="00571DC3">
        <w:tc>
          <w:tcPr>
            <w:tcW w:w="316" w:type="dxa"/>
            <w:tcBorders>
              <w:left w:val="nil"/>
              <w:bottom w:val="nil"/>
            </w:tcBorders>
          </w:tcPr>
          <w:p w:rsidR="007E7B17" w:rsidRPr="00EF55EE" w:rsidRDefault="007E7B17" w:rsidP="00F162AD">
            <w:pPr>
              <w:pStyle w:val="Tabelle"/>
              <w:spacing w:line="240" w:lineRule="auto"/>
              <w:rPr>
                <w:lang w:val="de-DE"/>
              </w:rPr>
            </w:pPr>
            <w:r w:rsidRPr="00EF55EE">
              <w:rPr>
                <w:lang w:val="de-DE"/>
              </w:rPr>
              <w:t>5</w:t>
            </w:r>
          </w:p>
        </w:tc>
        <w:tc>
          <w:tcPr>
            <w:tcW w:w="220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Перакладная літаратура старажытнай Беларусі</w:t>
            </w:r>
          </w:p>
        </w:tc>
        <w:tc>
          <w:tcPr>
            <w:tcW w:w="2209" w:type="dxa"/>
            <w:tcBorders>
              <w:bottom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color w:val="2E74B5" w:themeColor="accent1" w:themeShade="BF"/>
                <w:lang w:val="be-BY"/>
              </w:rPr>
            </w:pPr>
            <w:r w:rsidRPr="00E953D1">
              <w:rPr>
                <w:lang w:val="be-BY"/>
              </w:rPr>
              <w:t>Літаратура другой палав</w:t>
            </w:r>
            <w:r w:rsidRPr="00E953D1">
              <w:rPr>
                <w:rFonts w:cs="Times New Roman"/>
                <w:lang w:val="be-BY"/>
              </w:rPr>
              <w:t>і</w:t>
            </w:r>
            <w:r w:rsidRPr="00E953D1">
              <w:rPr>
                <w:lang w:val="be-BY"/>
              </w:rPr>
              <w:t>ны XVII–XVIII ст.</w:t>
            </w:r>
          </w:p>
        </w:tc>
        <w:tc>
          <w:tcPr>
            <w:tcW w:w="2208" w:type="dxa"/>
            <w:tcBorders>
              <w:bottom w:val="nil"/>
            </w:tcBorders>
            <w:vAlign w:val="center"/>
          </w:tcPr>
          <w:p w:rsidR="007E7B17" w:rsidRPr="005A0343" w:rsidRDefault="007E7B17" w:rsidP="007E7B17">
            <w:pPr>
              <w:pStyle w:val="Tabelle"/>
              <w:spacing w:line="240" w:lineRule="auto"/>
              <w:jc w:val="left"/>
            </w:pPr>
            <w:r w:rsidRPr="005A0343">
              <w:t xml:space="preserve">Литература второй половины </w:t>
            </w:r>
            <w:r w:rsidRPr="005A0343">
              <w:rPr>
                <w:lang w:val="pl-PL"/>
              </w:rPr>
              <w:t>XVII</w:t>
            </w:r>
            <w:r w:rsidRPr="005A0343">
              <w:t>—</w:t>
            </w:r>
            <w:r w:rsidRPr="005A0343">
              <w:rPr>
                <w:lang w:val="pl-PL"/>
              </w:rPr>
              <w:t>XVIII</w:t>
            </w:r>
            <w:r w:rsidRPr="005A0343">
              <w:t xml:space="preserve"> в.</w:t>
            </w:r>
          </w:p>
        </w:tc>
        <w:tc>
          <w:tcPr>
            <w:tcW w:w="2209" w:type="dxa"/>
            <w:tcBorders>
              <w:bottom w:val="nil"/>
              <w:right w:val="nil"/>
            </w:tcBorders>
            <w:vAlign w:val="center"/>
          </w:tcPr>
          <w:p w:rsidR="007E7B17" w:rsidRPr="00E953D1" w:rsidRDefault="007E7B17" w:rsidP="007E7B17">
            <w:pPr>
              <w:pStyle w:val="Tabelle"/>
              <w:spacing w:line="240" w:lineRule="auto"/>
              <w:jc w:val="left"/>
              <w:rPr>
                <w:lang w:val="be-BY"/>
              </w:rPr>
            </w:pPr>
            <w:r w:rsidRPr="00E953D1">
              <w:rPr>
                <w:lang w:val="be-BY"/>
              </w:rPr>
              <w:t>Літаратура другой палав</w:t>
            </w:r>
            <w:r w:rsidRPr="00E953D1">
              <w:rPr>
                <w:rFonts w:cs="Times New Roman"/>
                <w:lang w:val="be-BY"/>
              </w:rPr>
              <w:t>і</w:t>
            </w:r>
            <w:r w:rsidRPr="00E953D1">
              <w:rPr>
                <w:lang w:val="be-BY"/>
              </w:rPr>
              <w:t>ны XVII–XVIII ст.</w:t>
            </w:r>
          </w:p>
        </w:tc>
      </w:tr>
    </w:tbl>
    <w:p w:rsidR="007E7B17" w:rsidRDefault="007E7B17" w:rsidP="007E7B17"/>
    <w:p w:rsidR="007C2104" w:rsidRPr="007E7B17" w:rsidRDefault="007E7B17" w:rsidP="007E7B17">
      <w:pPr>
        <w:rPr>
          <w:i/>
        </w:rPr>
      </w:pPr>
      <w:r w:rsidRPr="007E7B17">
        <w:rPr>
          <w:i/>
        </w:rPr>
        <w:t xml:space="preserve">Tabelle: </w:t>
      </w:r>
      <w:r>
        <w:rPr>
          <w:i/>
        </w:rPr>
        <w:t>Epochenunterteilung</w:t>
      </w:r>
    </w:p>
    <w:sectPr w:rsidR="007C2104" w:rsidRPr="007E7B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0F"/>
    <w:rsid w:val="00097574"/>
    <w:rsid w:val="00164EA4"/>
    <w:rsid w:val="002860D5"/>
    <w:rsid w:val="0038252B"/>
    <w:rsid w:val="00383A05"/>
    <w:rsid w:val="00397DBC"/>
    <w:rsid w:val="003D7023"/>
    <w:rsid w:val="00460EA6"/>
    <w:rsid w:val="00491A6C"/>
    <w:rsid w:val="0051597C"/>
    <w:rsid w:val="00571DC3"/>
    <w:rsid w:val="007E7B17"/>
    <w:rsid w:val="008625C5"/>
    <w:rsid w:val="008864E2"/>
    <w:rsid w:val="009003AB"/>
    <w:rsid w:val="009E4570"/>
    <w:rsid w:val="00A84C0B"/>
    <w:rsid w:val="00B70F3C"/>
    <w:rsid w:val="00B8439A"/>
    <w:rsid w:val="00D63564"/>
    <w:rsid w:val="00D97C0F"/>
    <w:rsid w:val="00E6097F"/>
    <w:rsid w:val="00F12629"/>
    <w:rsid w:val="00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803A"/>
  <w15:chartTrackingRefBased/>
  <w15:docId w15:val="{4A512086-AAB4-4535-98EE-F7EAE5C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7B1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1A6C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3D7023"/>
    <w:pPr>
      <w:spacing w:before="120" w:after="120" w:line="240" w:lineRule="auto"/>
      <w:ind w:left="862" w:right="862" w:firstLine="0"/>
      <w:contextualSpacing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7023"/>
    <w:rPr>
      <w:rFonts w:ascii="Times New Roman" w:hAnsi="Times New Roman"/>
      <w:iCs/>
      <w:color w:val="404040" w:themeColor="text1" w:themeTint="BF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D7023"/>
    <w:pPr>
      <w:spacing w:after="120"/>
      <w:ind w:firstLine="0"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7023"/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1A6C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59"/>
    <w:rsid w:val="007E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qFormat/>
    <w:rsid w:val="007E7B17"/>
    <w:pPr>
      <w:spacing w:line="276" w:lineRule="auto"/>
      <w:ind w:firstLine="0"/>
    </w:pPr>
    <w:rPr>
      <w:sz w:val="20"/>
      <w:lang w:val="ru-RU"/>
    </w:rPr>
  </w:style>
  <w:style w:type="character" w:customStyle="1" w:styleId="TabelleZchn">
    <w:name w:val="Tabelle Zchn"/>
    <w:basedOn w:val="Absatz-Standardschriftart"/>
    <w:link w:val="Tabelle"/>
    <w:rsid w:val="007E7B17"/>
    <w:rPr>
      <w:rFonts w:ascii="Times New Roman" w:hAnsi="Times New Roman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Passau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Rutz, Marion</dc:creator>
  <cp:keywords/>
  <dc:description/>
  <cp:lastModifiedBy>Rutz, Marion</cp:lastModifiedBy>
  <cp:revision>3</cp:revision>
  <dcterms:created xsi:type="dcterms:W3CDTF">2018-12-21T14:17:00Z</dcterms:created>
  <dcterms:modified xsi:type="dcterms:W3CDTF">2018-12-21T17:18:00Z</dcterms:modified>
</cp:coreProperties>
</file>