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3EAA2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DD223D" w14:textId="77777777" w:rsidR="002D394F" w:rsidRDefault="002D394F" w:rsidP="002D3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UWAGI RECENZENTÓW</w:t>
      </w:r>
    </w:p>
    <w:p w14:paraId="597772BF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79FB80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394F">
        <w:rPr>
          <w:rFonts w:ascii="Times New Roman" w:eastAsia="Times New Roman" w:hAnsi="Times New Roman" w:cs="Times New Roman"/>
          <w:sz w:val="24"/>
          <w:szCs w:val="24"/>
          <w:lang w:eastAsia="pl-PL"/>
        </w:rPr>
        <w:t>Recenzent A:</w:t>
      </w:r>
    </w:p>
    <w:p w14:paraId="20B24FD8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ADCBFC" w14:textId="77777777" w:rsidR="002D394F" w:rsidRP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2D394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„Glosa nie podejmuje problemu budzącego istotne wątpliwości czy</w:t>
      </w:r>
      <w:r w:rsidRPr="002D394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kontrowersje w orzecznictwie bądź w doktrynie prawa karnego materialnego,</w:t>
      </w:r>
      <w:r w:rsidRPr="002D394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a mianowicie kradzieży na szkodę współmałżonka”</w:t>
      </w:r>
    </w:p>
    <w:p w14:paraId="6D777D6D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13BA9B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Glosa podejmuje w pierwszej części problem kradzieży na szkodę współmałżonka dokonanej </w:t>
      </w:r>
      <w:r w:rsidRPr="002D394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 przeprowadzeniu rozdzielności majątkowej małżeńskiej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Już w przypisie nr 3 zaznaczono, że nie obejmuje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budzącej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kontrowersji kwestii braku realizacji znamienia „cudze” w razie istnienia wspólności majątkowej między małżonkami.</w:t>
      </w:r>
    </w:p>
    <w:p w14:paraId="3BEA9776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pierwsze, glosa poddaje krytyce błędną wykładnię sądu znamienia </w:t>
      </w:r>
      <w:r w:rsidR="00C94450">
        <w:rPr>
          <w:rFonts w:ascii="Times New Roman" w:eastAsia="Times New Roman" w:hAnsi="Times New Roman" w:cs="Times New Roman"/>
          <w:sz w:val="24"/>
          <w:szCs w:val="24"/>
          <w:lang w:eastAsia="pl-PL"/>
        </w:rPr>
        <w:t>„zaboru w celu przywłaszczenia”, która doprowadziła do uniewinnienia oskarżonej.</w:t>
      </w:r>
    </w:p>
    <w:p w14:paraId="31C16AD3" w14:textId="77777777" w:rsidR="002D394F" w:rsidRDefault="002D394F" w:rsidP="00685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drugie, glosa poddaje krytyce</w:t>
      </w:r>
      <w:r w:rsidRPr="002D39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przyjęcie, że kradzież może stanowić legalny sposób „</w:t>
      </w:r>
      <w:r w:rsidRPr="00AC445D">
        <w:rPr>
          <w:rFonts w:ascii="Times New Roman" w:hAnsi="Times New Roman"/>
          <w:sz w:val="24"/>
          <w:szCs w:val="24"/>
        </w:rPr>
        <w:t>pozyskiwania pieniędzy na życie</w:t>
      </w:r>
      <w:r w:rsidR="00C94450">
        <w:rPr>
          <w:rFonts w:ascii="Times New Roman" w:hAnsi="Times New Roman"/>
          <w:sz w:val="24"/>
          <w:szCs w:val="24"/>
        </w:rPr>
        <w:t>”, co również stanowiło argument sądu.</w:t>
      </w:r>
    </w:p>
    <w:p w14:paraId="642BFC23" w14:textId="77777777" w:rsidR="002D394F" w:rsidRDefault="002D394F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trzecie, glosa poddaje krytyce przyjęcie, że brak realizacji znamion kradzieży może wynikać z samodzielnego dokonania rozliczenia roszczeń wzajemnych, co </w:t>
      </w:r>
      <w:r w:rsidR="00FC19A3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przecież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</w:t>
      </w:r>
      <w:r w:rsidR="00C94450">
        <w:rPr>
          <w:rFonts w:ascii="Times New Roman" w:eastAsia="Times New Roman" w:hAnsi="Times New Roman" w:cs="Times New Roman"/>
          <w:sz w:val="24"/>
          <w:szCs w:val="24"/>
          <w:lang w:eastAsia="pl-PL"/>
        </w:rPr>
        <w:t>est karalne (art. 191 § 2 k.k.), nad czym zastanawiał się sąd.</w:t>
      </w:r>
    </w:p>
    <w:p w14:paraId="0674C29B" w14:textId="77777777" w:rsidR="002D394F" w:rsidRDefault="002D394F" w:rsidP="00685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czwarte, glosa wskazuje </w:t>
      </w:r>
      <w:r w:rsidR="00FC19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jednocześnie, kontynuując poprzedni wątek, na niedostrzeżenie przez sąd możliwości zaprzeczenia realizacji znamienia podmiotowego działania </w:t>
      </w:r>
      <w:r w:rsidR="00FC19A3" w:rsidRPr="00AC445D">
        <w:rPr>
          <w:rFonts w:ascii="Times New Roman" w:hAnsi="Times New Roman"/>
          <w:sz w:val="24"/>
          <w:szCs w:val="24"/>
        </w:rPr>
        <w:t>„w celu przywłaszczenia”</w:t>
      </w:r>
      <w:r w:rsidR="00FC19A3">
        <w:rPr>
          <w:rFonts w:ascii="Times New Roman" w:hAnsi="Times New Roman"/>
          <w:sz w:val="24"/>
          <w:szCs w:val="24"/>
        </w:rPr>
        <w:t xml:space="preserve"> w przypadku braku woli powiększenia swojego majątku.</w:t>
      </w:r>
    </w:p>
    <w:p w14:paraId="485A5966" w14:textId="77777777" w:rsidR="00FC19A3" w:rsidRDefault="00FC19A3" w:rsidP="00685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Przyjęta przez sądy wykładnia jawi się jako wysoce kontrowersyjna, jeśli nie ja</w:t>
      </w:r>
      <w:r w:rsidR="00C94450">
        <w:rPr>
          <w:rFonts w:ascii="Times New Roman" w:hAnsi="Times New Roman"/>
          <w:sz w:val="24"/>
          <w:szCs w:val="24"/>
        </w:rPr>
        <w:t xml:space="preserve">wnie błędna, dlatego orzeczenia te należało </w:t>
      </w:r>
      <w:proofErr w:type="spellStart"/>
      <w:r w:rsidR="00C94450">
        <w:rPr>
          <w:rFonts w:ascii="Times New Roman" w:hAnsi="Times New Roman"/>
          <w:sz w:val="24"/>
          <w:szCs w:val="24"/>
        </w:rPr>
        <w:t>zglosować</w:t>
      </w:r>
      <w:proofErr w:type="spellEnd"/>
      <w:r w:rsidR="00C94450">
        <w:rPr>
          <w:rFonts w:ascii="Times New Roman" w:hAnsi="Times New Roman"/>
          <w:sz w:val="24"/>
          <w:szCs w:val="24"/>
        </w:rPr>
        <w:t xml:space="preserve"> (łącznie).</w:t>
      </w:r>
    </w:p>
    <w:p w14:paraId="4D247485" w14:textId="77777777" w:rsidR="00FC19A3" w:rsidRDefault="00C94450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pisze Recenzent, że </w:t>
      </w: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C9445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 obecnym orzecznictwie sądowym nie budzi wątpliwości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(…)</w:t>
      </w:r>
      <w:r w:rsidRPr="00C9445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strona podmiotowa przestępstwa z art. 278 k.</w:t>
      </w: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>k.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to wydaje sie, że rolą doktryny, jeśli na takie nietrafne orzeczenia się trafiło, jest właśnie wskazanie błędów sądu i trafnej wykładni. Nie jest rolą doktryny pisanie wyłącznie glos aprobujących, ponieważ nie jest to ani interesujące, ani nie stanowi wyzwania intelektualnego w postaci podjęcia polemiki. </w:t>
      </w:r>
    </w:p>
    <w:p w14:paraId="0A9703B0" w14:textId="77777777" w:rsidR="00C94450" w:rsidRDefault="00C94450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752398" w14:textId="77777777" w:rsidR="00C94450" w:rsidRDefault="00C94450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9445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„W obecnym orzecznictwie sądowym nie budzi wątpliwości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(…) </w:t>
      </w:r>
      <w:r w:rsidRPr="00C9445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niemożność powoływania się współmałżonka przywłaszczającego w sytuacji trudnej sytuacji materialnej rodziny mienie będące współwłasnością ustawową (bądź majątkiem osobistym) drugiego współmałżonka na instytucję stanu wyższej konieczności z art.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26 k.k.”</w:t>
      </w:r>
    </w:p>
    <w:p w14:paraId="4EE361F3" w14:textId="77777777" w:rsidR="00C94450" w:rsidRDefault="00C94450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31780E" w14:textId="77777777" w:rsidR="00C94450" w:rsidRPr="00C94450" w:rsidRDefault="00C94450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Glosator pozostawał w tym przekonaniu, dopóki nie trafił na zgłosowane orzeczenia oraz inne, zgłosowane do innych periodyków, w których sądy próbują stosować stan wyższej konieczności do sytuacji, co do których powszechnie przyjmowano, że zastosowalny on nie jest. </w:t>
      </w:r>
      <w:r w:rsidR="00F963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kwestia ta nie budzi wątpliwości, to pojawienie się prawomocnego </w:t>
      </w:r>
      <w:proofErr w:type="spellStart"/>
      <w:r w:rsidR="00F96313">
        <w:rPr>
          <w:rFonts w:ascii="Times New Roman" w:eastAsia="Times New Roman" w:hAnsi="Times New Roman" w:cs="Times New Roman"/>
          <w:sz w:val="24"/>
          <w:szCs w:val="24"/>
          <w:lang w:eastAsia="pl-PL"/>
        </w:rPr>
        <w:t>judykatu</w:t>
      </w:r>
      <w:proofErr w:type="spellEnd"/>
      <w:r w:rsidR="00F963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idącego pod prąd powszechnie przyjmowanej wykładni zasługuje właśnie na krytyczne </w:t>
      </w:r>
      <w:proofErr w:type="spellStart"/>
      <w:r w:rsidR="00F96313">
        <w:rPr>
          <w:rFonts w:ascii="Times New Roman" w:eastAsia="Times New Roman" w:hAnsi="Times New Roman" w:cs="Times New Roman"/>
          <w:sz w:val="24"/>
          <w:szCs w:val="24"/>
          <w:lang w:eastAsia="pl-PL"/>
        </w:rPr>
        <w:t>zglosowanie</w:t>
      </w:r>
      <w:proofErr w:type="spellEnd"/>
      <w:r w:rsidR="00F9631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8D75D37" w14:textId="77777777" w:rsidR="00C94450" w:rsidRDefault="00C94450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2006A8" w14:textId="77777777" w:rsidR="00C94450" w:rsidRP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„(zob. np. Wyrok Sądu Apelacyjnego w Katowicach - II Wydział Karny z dnia 30 kwietnia 2015 r. II </w:t>
      </w:r>
      <w:proofErr w:type="spellStart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AKa</w:t>
      </w:r>
      <w:proofErr w:type="spellEnd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62/15, </w:t>
      </w:r>
      <w:proofErr w:type="spellStart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Legalis</w:t>
      </w:r>
      <w:proofErr w:type="spellEnd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. Odnośnie do kradzieży osoby znajdującej się w nędzy zob. wyrok Sądu Apelacyjnego w Krakowie - II Wydział Karny z dnia 26 kwietnia 2013 </w:t>
      </w:r>
      <w:proofErr w:type="spellStart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r.II</w:t>
      </w:r>
      <w:proofErr w:type="spellEnd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AKa</w:t>
      </w:r>
      <w:proofErr w:type="spellEnd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53/13, </w:t>
      </w:r>
      <w:proofErr w:type="spellStart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Legalis</w:t>
      </w:r>
      <w:proofErr w:type="spellEnd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i powołany tam wyrok SN z dnia 26 listopada 1935 roku, OSP 1935, poz. 339.”</w:t>
      </w:r>
    </w:p>
    <w:p w14:paraId="5CAC48A6" w14:textId="77777777" w:rsid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6BFE9E" w14:textId="77777777" w:rsid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Recenzent odsyła glosatora do orzeczeń, do których przecież glosator sięgnął i powołuj</w:t>
      </w:r>
      <w:r w:rsidR="00835048">
        <w:rPr>
          <w:rFonts w:ascii="Times New Roman" w:eastAsia="Times New Roman" w:hAnsi="Times New Roman" w:cs="Times New Roman"/>
          <w:sz w:val="24"/>
          <w:szCs w:val="24"/>
          <w:lang w:eastAsia="pl-PL"/>
        </w:rPr>
        <w:t>e w treści glosy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213C5F8" w14:textId="77777777" w:rsidR="00F96313" w:rsidRDefault="008A11EC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lastRenderedPageBreak/>
        <w:t>„powołane w niej orzecznictwo (w znacznej części sądów rejonowych i okręgowych) nie ma</w:t>
      </w:r>
      <w:r w:rsidR="00F96313"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charakteru reprezentatywnego</w:t>
      </w:r>
      <w:r w:rsid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  <w:r w:rsidR="00F96313"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Zasadnicze pomijanie w najnowszym orzecznictwie sądowym (poza podanymi wyżej orzeczeniami Sądu Apelacyjnego w Katowicach) świadczy o tym, że problem kradzieży na szkodę współmałżonka nie stanowi istotnego problemu orzeczniczego ani doktrynalnego</w:t>
      </w:r>
      <w:r w:rsid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”</w:t>
      </w:r>
    </w:p>
    <w:p w14:paraId="0B9E9B61" w14:textId="77777777" w:rsidR="00F96313" w:rsidRP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5EBB9B5F" w14:textId="77777777" w:rsidR="001564EF" w:rsidRDefault="008A11EC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Zebrane orzecznictwo odnosi się do stosowan</w:t>
      </w:r>
      <w:r w:rsidR="004F36B3">
        <w:rPr>
          <w:rFonts w:ascii="Times New Roman" w:eastAsia="Times New Roman" w:hAnsi="Times New Roman" w:cs="Times New Roman"/>
          <w:sz w:val="24"/>
          <w:szCs w:val="24"/>
          <w:lang w:eastAsia="pl-PL"/>
        </w:rPr>
        <w:t>ia stanu wyższej konieczności dla</w:t>
      </w: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uzasadnienia kradzieży, a nie niemożności kradzieży mienia objętego wspólnością majątkową. </w:t>
      </w:r>
      <w:r w:rsidR="004F36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 kwestia nie budzi wątpliwości, dlatego w glosie odniesiono się tylko do kwestii z wyroków, które budziły kontrowersje. </w:t>
      </w: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zna Recenzent inne</w:t>
      </w:r>
      <w:r w:rsidR="00322D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orzecznictwo </w:t>
      </w:r>
      <w:r w:rsidR="004F36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dotyczące stosowania stanu wyższej konieczności dla uzasadnienia kradzieży, </w:t>
      </w:r>
      <w:r w:rsidR="00322DD6">
        <w:rPr>
          <w:rFonts w:ascii="Times New Roman" w:eastAsia="Times New Roman" w:hAnsi="Times New Roman" w:cs="Times New Roman"/>
          <w:sz w:val="24"/>
          <w:szCs w:val="24"/>
          <w:lang w:eastAsia="pl-PL"/>
        </w:rPr>
        <w:t>poza tym, które już</w:t>
      </w:r>
      <w:r w:rsidR="00F963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glosator powołał</w:t>
      </w: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350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pokornie uzupełni swoją wiedzę po jego wskazaniu</w:t>
      </w: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915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E44821F" w14:textId="77777777" w:rsidR="00F96313" w:rsidRDefault="00F96313" w:rsidP="00685A36">
      <w:pPr>
        <w:spacing w:after="0" w:line="240" w:lineRule="auto"/>
        <w:jc w:val="both"/>
      </w:pPr>
    </w:p>
    <w:p w14:paraId="0540CDB6" w14:textId="77777777" w:rsidR="00F96313" w:rsidRP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„</w:t>
      </w:r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Czy wykorzystana literatura przedmiotu jest wystarczająca do postawienia tez badawczych i uzasadnienia </w:t>
      </w:r>
      <w:proofErr w:type="gramStart"/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wniosków?:</w:t>
      </w:r>
      <w:proofErr w:type="gramEnd"/>
    </w:p>
    <w:p w14:paraId="2220688E" w14:textId="77777777" w:rsidR="00F96313" w:rsidRP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F9631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Nie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”</w:t>
      </w:r>
    </w:p>
    <w:p w14:paraId="5057D438" w14:textId="77777777" w:rsidR="00F96313" w:rsidRPr="00685A36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7550DE" w14:textId="77777777" w:rsidR="00F96313" w:rsidRDefault="004F36B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Skoro, jak zauważa Recenzent, glosator sięgnął aż do </w:t>
      </w:r>
      <w:proofErr w:type="spellStart"/>
      <w:r w:rsidRPr="004F36B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Constitutio</w:t>
      </w:r>
      <w:proofErr w:type="spellEnd"/>
      <w:r w:rsidRPr="004F36B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Pr="004F36B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Criminalis</w:t>
      </w:r>
      <w:proofErr w:type="spellEnd"/>
      <w:r w:rsidRPr="004F36B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Carolina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zebrana literatura jawi się jako wystarczająca. W innym przypadku należało podać wakujące pozycja bibliograficzne.</w:t>
      </w:r>
    </w:p>
    <w:p w14:paraId="33AC3D66" w14:textId="77777777" w:rsid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BC4958" w14:textId="77777777" w:rsidR="004F36B3" w:rsidRDefault="004F36B3" w:rsidP="004F36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Recenzent B</w:t>
      </w:r>
      <w:r w:rsidRPr="002D394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F56A642" w14:textId="77777777" w:rsidR="00F96313" w:rsidRDefault="00F96313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352465" w14:textId="77777777" w:rsidR="00CA3DE1" w:rsidRPr="00CA3DE1" w:rsidRDefault="008A11EC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685A36"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„</w:t>
      </w:r>
      <w:r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Przede wszystkim "zarzuty" stawiane </w:t>
      </w:r>
      <w:proofErr w:type="spellStart"/>
      <w:r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glosowanym</w:t>
      </w:r>
      <w:proofErr w:type="spellEnd"/>
      <w:r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orzeczeniom są niekompletne i niekonsekwentne. Z jednej strony bowiem Autor podnosi fakt nieprzeprowadzenia analizy przez sądy orzekające, równocześnie nie dając odpowiedzi na pytanie, czy sam argument jest trafny; w innym przypadku Autor glosy samodzielnie ocenia określoną przesłankę w odniesieniu do stanu faktycznego. Ponadto ocena danej przesłanki na podstawie zgodności stanu faktycznego z przykładami wskazywanymi w piśmiennictwie </w:t>
      </w:r>
      <w:r w:rsidR="00685A36"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wydaje się bardzo powierzchowna” </w:t>
      </w:r>
    </w:p>
    <w:p w14:paraId="03C1F82F" w14:textId="77777777" w:rsidR="00CA3DE1" w:rsidRDefault="00CA3DE1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5ACD1C" w14:textId="77777777" w:rsidR="00CA3DE1" w:rsidRDefault="00CA3DE1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uwagi tej nie wynikają żadne konkretne sugesti</w:t>
      </w:r>
      <w:r w:rsidR="00727E6F">
        <w:rPr>
          <w:rFonts w:ascii="Times New Roman" w:eastAsia="Times New Roman" w:hAnsi="Times New Roman" w:cs="Times New Roman"/>
          <w:sz w:val="24"/>
          <w:szCs w:val="24"/>
          <w:lang w:eastAsia="pl-PL"/>
        </w:rPr>
        <w:t>e dotyczące koniecznych zmian, ich zakresu oraz umiejscowienia, w związku z czym trudno uczynić zadość oczekiwaniom Recenzenta.</w:t>
      </w:r>
    </w:p>
    <w:p w14:paraId="0D7B8131" w14:textId="77777777" w:rsidR="00CA3DE1" w:rsidRDefault="00CA3DE1" w:rsidP="00685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17FC5B" w14:textId="77777777" w:rsidR="00CA3DE1" w:rsidRPr="00CA3DE1" w:rsidRDefault="00685A36" w:rsidP="00685A3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A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„</w:t>
      </w:r>
      <w:r w:rsidRPr="00CA3DE1">
        <w:rPr>
          <w:rFonts w:ascii="Times New Roman" w:hAnsi="Times New Roman" w:cs="Times New Roman"/>
          <w:i/>
          <w:sz w:val="24"/>
          <w:szCs w:val="24"/>
        </w:rPr>
        <w:t>Rozważania dotyczące możliwości powoływania się na stan wyższej konieczności w przypadku nędzy, głody itp. zupełnie pomijają fakt, że w art. 26 k.k. ustawodawca nie zawęził katalogu dóbr prawnych, dla ochrony których można poświęcać inne dobro prawne</w:t>
      </w:r>
      <w:r w:rsidR="00CA3DE1" w:rsidRPr="00CA3DE1">
        <w:rPr>
          <w:rFonts w:ascii="Times New Roman" w:hAnsi="Times New Roman" w:cs="Times New Roman"/>
          <w:i/>
          <w:sz w:val="24"/>
          <w:szCs w:val="24"/>
        </w:rPr>
        <w:t>”</w:t>
      </w:r>
    </w:p>
    <w:p w14:paraId="71391ACE" w14:textId="77777777" w:rsidR="00CA3DE1" w:rsidRDefault="00CA3DE1" w:rsidP="00685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63252" w14:textId="77777777" w:rsidR="00CA3DE1" w:rsidRDefault="00CA3DE1" w:rsidP="00685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85A36">
        <w:rPr>
          <w:rFonts w:ascii="Times New Roman" w:hAnsi="Times New Roman" w:cs="Times New Roman"/>
          <w:sz w:val="24"/>
          <w:szCs w:val="24"/>
        </w:rPr>
        <w:t>omijają</w:t>
      </w:r>
      <w:r>
        <w:rPr>
          <w:rFonts w:ascii="Times New Roman" w:hAnsi="Times New Roman" w:cs="Times New Roman"/>
          <w:sz w:val="24"/>
          <w:szCs w:val="24"/>
        </w:rPr>
        <w:t xml:space="preserve"> ten fakt</w:t>
      </w:r>
      <w:r w:rsidR="00685A36">
        <w:rPr>
          <w:rFonts w:ascii="Times New Roman" w:hAnsi="Times New Roman" w:cs="Times New Roman"/>
          <w:sz w:val="24"/>
          <w:szCs w:val="24"/>
        </w:rPr>
        <w:t xml:space="preserve">, </w:t>
      </w:r>
      <w:r w:rsidR="00685A36" w:rsidRPr="00EE1C26">
        <w:rPr>
          <w:rFonts w:ascii="Times New Roman" w:hAnsi="Times New Roman" w:cs="Times New Roman"/>
          <w:sz w:val="24"/>
          <w:szCs w:val="24"/>
        </w:rPr>
        <w:t xml:space="preserve">ponieważ jest </w:t>
      </w:r>
      <w:r w:rsidRPr="00EE1C26">
        <w:rPr>
          <w:rFonts w:ascii="Times New Roman" w:hAnsi="Times New Roman" w:cs="Times New Roman"/>
          <w:sz w:val="24"/>
          <w:szCs w:val="24"/>
        </w:rPr>
        <w:t>on</w:t>
      </w:r>
      <w:r w:rsidR="00685A36" w:rsidRPr="00EE1C26">
        <w:rPr>
          <w:rFonts w:ascii="Times New Roman" w:hAnsi="Times New Roman" w:cs="Times New Roman"/>
          <w:sz w:val="24"/>
          <w:szCs w:val="24"/>
        </w:rPr>
        <w:t xml:space="preserve"> bez znaczenia – stan wyższej konieczności nie znajdzie zastosowania ze względu na niespełnienie warunku subsydiarności</w:t>
      </w:r>
      <w:r w:rsidR="00A13A3F" w:rsidRPr="00EE1C26">
        <w:rPr>
          <w:rFonts w:ascii="Times New Roman" w:hAnsi="Times New Roman" w:cs="Times New Roman"/>
          <w:sz w:val="24"/>
          <w:szCs w:val="24"/>
        </w:rPr>
        <w:t xml:space="preserve"> i in</w:t>
      </w:r>
      <w:r w:rsidRPr="00EE1C26">
        <w:rPr>
          <w:rFonts w:ascii="Times New Roman" w:hAnsi="Times New Roman" w:cs="Times New Roman"/>
          <w:sz w:val="24"/>
          <w:szCs w:val="24"/>
        </w:rPr>
        <w:t>nych warunków, o których mowa jest w glosie.</w:t>
      </w:r>
      <w:r w:rsidR="00835048" w:rsidRPr="00EE1C26">
        <w:rPr>
          <w:rFonts w:ascii="Times New Roman" w:hAnsi="Times New Roman" w:cs="Times New Roman"/>
          <w:sz w:val="24"/>
          <w:szCs w:val="24"/>
        </w:rPr>
        <w:t xml:space="preserve"> Mimo to tekst uzupełniono o stosowną wzmiankę.</w:t>
      </w:r>
    </w:p>
    <w:p w14:paraId="6C853367" w14:textId="77777777" w:rsidR="00CA3DE1" w:rsidRDefault="00CA3DE1" w:rsidP="00685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1D86C" w14:textId="77777777" w:rsidR="00CA3DE1" w:rsidRPr="00CA3DE1" w:rsidRDefault="00685A36" w:rsidP="00685A3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3D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„</w:t>
      </w:r>
      <w:r w:rsidRPr="00CA3DE1">
        <w:rPr>
          <w:rFonts w:ascii="Times New Roman" w:hAnsi="Times New Roman" w:cs="Times New Roman"/>
          <w:i/>
          <w:sz w:val="24"/>
          <w:szCs w:val="24"/>
        </w:rPr>
        <w:t xml:space="preserve">Zabrakło w moim przekonaniu najważniejszego problemu – głębszej analizy możliwości zastosowania art. 25 k.k., co jest o tyle istotne, iż podstawy zarzut stawiany </w:t>
      </w:r>
      <w:proofErr w:type="spellStart"/>
      <w:r w:rsidRPr="00CA3DE1">
        <w:rPr>
          <w:rFonts w:ascii="Times New Roman" w:hAnsi="Times New Roman" w:cs="Times New Roman"/>
          <w:i/>
          <w:sz w:val="24"/>
          <w:szCs w:val="24"/>
        </w:rPr>
        <w:t>glosowanym</w:t>
      </w:r>
      <w:proofErr w:type="spellEnd"/>
      <w:r w:rsidRPr="00CA3DE1">
        <w:rPr>
          <w:rFonts w:ascii="Times New Roman" w:hAnsi="Times New Roman" w:cs="Times New Roman"/>
          <w:i/>
          <w:sz w:val="24"/>
          <w:szCs w:val="24"/>
        </w:rPr>
        <w:t xml:space="preserve"> orzeczeniom – naruszenie zasady subsydiarności – nie mógłby być podnoszony”</w:t>
      </w:r>
    </w:p>
    <w:p w14:paraId="40A8978D" w14:textId="77777777" w:rsidR="00CA3DE1" w:rsidRDefault="00CA3DE1" w:rsidP="00685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AE0C7" w14:textId="77777777" w:rsidR="008A11EC" w:rsidRDefault="00CA3DE1" w:rsidP="00685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685A36">
        <w:rPr>
          <w:rFonts w:ascii="Times New Roman" w:hAnsi="Times New Roman" w:cs="Times New Roman"/>
          <w:sz w:val="24"/>
          <w:szCs w:val="24"/>
        </w:rPr>
        <w:t>brona konieczna nie może być stosowana, ponieważ zamach nie jest bezpośredni, o ile w ogóle jest zam</w:t>
      </w:r>
      <w:r w:rsidR="00727E6F">
        <w:rPr>
          <w:rFonts w:ascii="Times New Roman" w:hAnsi="Times New Roman" w:cs="Times New Roman"/>
          <w:sz w:val="24"/>
          <w:szCs w:val="24"/>
        </w:rPr>
        <w:t>achem. Prawo karne nie zastępuje</w:t>
      </w:r>
      <w:r w:rsidR="00685A36">
        <w:rPr>
          <w:rFonts w:ascii="Times New Roman" w:hAnsi="Times New Roman" w:cs="Times New Roman"/>
          <w:sz w:val="24"/>
          <w:szCs w:val="24"/>
        </w:rPr>
        <w:t xml:space="preserve"> stosowania instytucji cywi</w:t>
      </w:r>
      <w:r w:rsidR="00727E6F">
        <w:rPr>
          <w:rFonts w:ascii="Times New Roman" w:hAnsi="Times New Roman" w:cs="Times New Roman"/>
          <w:sz w:val="24"/>
          <w:szCs w:val="24"/>
        </w:rPr>
        <w:t>listycznych, to jest oczywiste. W glosie następuje odesłanie w tym zakresie</w:t>
      </w:r>
      <w:r w:rsidR="00A13A3F">
        <w:rPr>
          <w:rFonts w:ascii="Times New Roman" w:hAnsi="Times New Roman" w:cs="Times New Roman"/>
          <w:sz w:val="24"/>
          <w:szCs w:val="24"/>
        </w:rPr>
        <w:t xml:space="preserve"> do odpowiedniego fragmentu Systemu Prawa Karnego. </w:t>
      </w:r>
      <w:r w:rsidR="00727E6F">
        <w:rPr>
          <w:rFonts w:ascii="Times New Roman" w:hAnsi="Times New Roman" w:cs="Times New Roman"/>
          <w:sz w:val="24"/>
          <w:szCs w:val="24"/>
        </w:rPr>
        <w:t xml:space="preserve">Skoro </w:t>
      </w:r>
      <w:r w:rsidR="00145DCC">
        <w:rPr>
          <w:rFonts w:ascii="Times New Roman" w:hAnsi="Times New Roman" w:cs="Times New Roman"/>
          <w:sz w:val="24"/>
          <w:szCs w:val="24"/>
        </w:rPr>
        <w:t>„</w:t>
      </w:r>
      <w:r w:rsidR="00727E6F" w:rsidRPr="00145DCC">
        <w:rPr>
          <w:rFonts w:ascii="Times New Roman" w:hAnsi="Times New Roman" w:cs="Times New Roman"/>
          <w:i/>
          <w:sz w:val="24"/>
          <w:szCs w:val="24"/>
        </w:rPr>
        <w:t xml:space="preserve">Glosa stanowi naukowy komentarz do wybranego </w:t>
      </w:r>
      <w:r w:rsidR="00727E6F" w:rsidRPr="00145DCC">
        <w:rPr>
          <w:rFonts w:ascii="Times New Roman" w:hAnsi="Times New Roman" w:cs="Times New Roman"/>
          <w:i/>
          <w:sz w:val="24"/>
          <w:szCs w:val="24"/>
        </w:rPr>
        <w:lastRenderedPageBreak/>
        <w:t>orzeczenia sądowego</w:t>
      </w:r>
      <w:r w:rsidR="00145DCC">
        <w:rPr>
          <w:rFonts w:ascii="Times New Roman" w:hAnsi="Times New Roman" w:cs="Times New Roman"/>
          <w:sz w:val="24"/>
          <w:szCs w:val="24"/>
        </w:rPr>
        <w:t>” (Wytyczne dla autorów SIL)</w:t>
      </w:r>
      <w:r w:rsidR="00727E6F" w:rsidRPr="00145DCC">
        <w:rPr>
          <w:rFonts w:ascii="Times New Roman" w:hAnsi="Times New Roman" w:cs="Times New Roman"/>
          <w:sz w:val="24"/>
          <w:szCs w:val="24"/>
        </w:rPr>
        <w:t xml:space="preserve">, a </w:t>
      </w:r>
      <w:r w:rsidR="00727E6F">
        <w:rPr>
          <w:rFonts w:ascii="Times New Roman" w:hAnsi="Times New Roman" w:cs="Times New Roman"/>
          <w:sz w:val="24"/>
          <w:szCs w:val="24"/>
        </w:rPr>
        <w:t>orzekające w sprawie</w:t>
      </w:r>
      <w:r w:rsidR="00A13A3F">
        <w:rPr>
          <w:rFonts w:ascii="Times New Roman" w:hAnsi="Times New Roman" w:cs="Times New Roman"/>
          <w:sz w:val="24"/>
          <w:szCs w:val="24"/>
        </w:rPr>
        <w:t xml:space="preserve"> sądy obroną konieczną się nie zajmowały, </w:t>
      </w:r>
      <w:r w:rsidR="00727E6F">
        <w:rPr>
          <w:rFonts w:ascii="Times New Roman" w:hAnsi="Times New Roman" w:cs="Times New Roman"/>
          <w:sz w:val="24"/>
          <w:szCs w:val="24"/>
        </w:rPr>
        <w:t>brak jest miejsca na poświęcanie jej więcej uwagi, aniżeli uczyniono</w:t>
      </w:r>
      <w:r w:rsidR="00145DCC">
        <w:rPr>
          <w:rFonts w:ascii="Times New Roman" w:hAnsi="Times New Roman" w:cs="Times New Roman"/>
          <w:sz w:val="24"/>
          <w:szCs w:val="24"/>
        </w:rPr>
        <w:t>.</w:t>
      </w:r>
    </w:p>
    <w:p w14:paraId="681E02FD" w14:textId="77777777" w:rsidR="00CA3DE1" w:rsidRDefault="00CA3DE1" w:rsidP="00685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595CD" w14:textId="77777777" w:rsidR="00727E6F" w:rsidRPr="005851E4" w:rsidRDefault="00183BF5" w:rsidP="00685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Pozostałe uwagi Recenzenta B uwzględniono.</w:t>
      </w:r>
    </w:p>
    <w:sectPr w:rsidR="00727E6F" w:rsidRPr="005851E4" w:rsidSect="001564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1EC"/>
    <w:rsid w:val="00145DCC"/>
    <w:rsid w:val="0015081B"/>
    <w:rsid w:val="001564EF"/>
    <w:rsid w:val="00183BF5"/>
    <w:rsid w:val="002859F4"/>
    <w:rsid w:val="002D394F"/>
    <w:rsid w:val="00322DD6"/>
    <w:rsid w:val="003A2F27"/>
    <w:rsid w:val="004F36B3"/>
    <w:rsid w:val="005851E4"/>
    <w:rsid w:val="00595B35"/>
    <w:rsid w:val="005B01CC"/>
    <w:rsid w:val="00637A22"/>
    <w:rsid w:val="00685A36"/>
    <w:rsid w:val="00727E6F"/>
    <w:rsid w:val="00832C38"/>
    <w:rsid w:val="00835048"/>
    <w:rsid w:val="00894455"/>
    <w:rsid w:val="008A11EC"/>
    <w:rsid w:val="009915E7"/>
    <w:rsid w:val="00A13A3F"/>
    <w:rsid w:val="00A16688"/>
    <w:rsid w:val="00C94450"/>
    <w:rsid w:val="00CA3DE1"/>
    <w:rsid w:val="00EC6A4A"/>
    <w:rsid w:val="00EE1C26"/>
    <w:rsid w:val="00F955BB"/>
    <w:rsid w:val="00F96313"/>
    <w:rsid w:val="00FC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CF86"/>
  <w15:docId w15:val="{8EF8A4F9-40CA-0446-8601-2E57C910D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64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6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907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Kulesza</dc:creator>
  <cp:keywords/>
  <dc:description/>
  <cp:lastModifiedBy>Jarosław Kostrubiec</cp:lastModifiedBy>
  <cp:revision>2</cp:revision>
  <dcterms:created xsi:type="dcterms:W3CDTF">2021-11-11T22:06:00Z</dcterms:created>
  <dcterms:modified xsi:type="dcterms:W3CDTF">2021-11-11T22:06:00Z</dcterms:modified>
</cp:coreProperties>
</file>