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48C9" w14:textId="209DDB5D" w:rsidR="002D0DAF" w:rsidRPr="002D0DAF" w:rsidRDefault="002D0DAF" w:rsidP="00445CE8">
      <w:pPr>
        <w:pStyle w:val="Cmsor3"/>
        <w:spacing w:before="0" w:after="0" w:line="360" w:lineRule="auto"/>
        <w:jc w:val="both"/>
        <w:rPr>
          <w:rFonts w:ascii="Times New Roman" w:hAnsi="Times New Roman" w:cs="Times New Roman"/>
          <w:color w:val="auto"/>
          <w:lang w:val="en-US"/>
        </w:rPr>
      </w:pPr>
      <w:r w:rsidRPr="002D0DAF">
        <w:rPr>
          <w:rFonts w:ascii="Times New Roman" w:hAnsi="Times New Roman" w:cs="Times New Roman"/>
          <w:color w:val="auto"/>
          <w:lang w:val="en-US"/>
        </w:rPr>
        <w:t>Appendix A</w:t>
      </w:r>
    </w:p>
    <w:p w14:paraId="76CF398B" w14:textId="1415DD8E" w:rsidR="00445CE8" w:rsidRPr="00AC57DB" w:rsidRDefault="00445CE8" w:rsidP="00445CE8">
      <w:pPr>
        <w:pStyle w:val="Cmsor3"/>
        <w:spacing w:before="0" w:after="0" w:line="360" w:lineRule="auto"/>
        <w:jc w:val="both"/>
        <w:rPr>
          <w:rFonts w:ascii="Times New Roman" w:hAnsi="Times New Roman" w:cs="Times New Roman"/>
          <w:smallCaps/>
          <w:color w:val="auto"/>
          <w:lang w:val="en-US"/>
        </w:rPr>
      </w:pPr>
      <w:r w:rsidRPr="00AC57DB">
        <w:rPr>
          <w:rFonts w:ascii="Times New Roman" w:hAnsi="Times New Roman" w:cs="Times New Roman"/>
          <w:smallCaps/>
          <w:color w:val="auto"/>
          <w:lang w:val="en-US"/>
        </w:rPr>
        <w:t>Case Study - The representation of different constitutional reasoning methods through the practice of the Constitutional Court</w:t>
      </w:r>
    </w:p>
    <w:p w14:paraId="06DF7180" w14:textId="77777777" w:rsidR="00445CE8" w:rsidRPr="00AC57DB" w:rsidRDefault="00445CE8" w:rsidP="00445CE8">
      <w:pPr>
        <w:spacing w:line="360" w:lineRule="auto"/>
        <w:rPr>
          <w:lang w:val="en-US"/>
        </w:rPr>
      </w:pPr>
    </w:p>
    <w:p w14:paraId="4511F379" w14:textId="77777777" w:rsidR="00445CE8" w:rsidRPr="00AC57DB" w:rsidRDefault="00445CE8" w:rsidP="00445CE8">
      <w:pPr>
        <w:spacing w:line="360" w:lineRule="auto"/>
        <w:jc w:val="both"/>
        <w:rPr>
          <w:rFonts w:ascii="Times New Roman" w:eastAsia="Times New Roman" w:hAnsi="Times New Roman" w:cs="Times New Roman"/>
          <w:sz w:val="24"/>
          <w:szCs w:val="24"/>
        </w:rPr>
      </w:pPr>
      <w:r w:rsidRPr="00AC57DB">
        <w:rPr>
          <w:rFonts w:ascii="Times New Roman" w:eastAsia="Times New Roman" w:hAnsi="Times New Roman" w:cs="Times New Roman"/>
          <w:sz w:val="24"/>
          <w:szCs w:val="24"/>
        </w:rPr>
        <w:t>The case study is intended to show that, although only in a minimal number of them, self-reflection is included in some decisions of the Constitutional Court. This means that the Constitutional Court names the specific methods of reasoning that are applied. The Constitutional Court gives reasons for its decisions based on these methods by explaining the methods of reasoning.</w:t>
      </w:r>
    </w:p>
    <w:p w14:paraId="5CB636BB" w14:textId="77777777" w:rsidR="00445CE8" w:rsidRPr="00AC57DB" w:rsidRDefault="00445CE8" w:rsidP="00445CE8">
      <w:pPr>
        <w:spacing w:line="360" w:lineRule="auto"/>
        <w:ind w:firstLine="720"/>
        <w:jc w:val="both"/>
        <w:rPr>
          <w:rFonts w:ascii="Times New Roman" w:eastAsia="Times New Roman" w:hAnsi="Times New Roman" w:cs="Times New Roman"/>
          <w:sz w:val="24"/>
          <w:szCs w:val="24"/>
        </w:rPr>
      </w:pPr>
      <w:r w:rsidRPr="00AC57DB">
        <w:rPr>
          <w:rFonts w:ascii="Times New Roman" w:eastAsia="Times New Roman" w:hAnsi="Times New Roman" w:cs="Times New Roman"/>
          <w:sz w:val="24"/>
          <w:szCs w:val="24"/>
        </w:rPr>
        <w:t xml:space="preserve">The Constitutional Court has received numerous petitions from individuals, including law professors, lawyers, former constitutional judges, interest organizations, and political parties, on the unconstitutionality of Act CXIX of 2010 amending Act XX of 1949 on the Constitution of the Republic of Hungary. Typically, the petitioners required its annulment ex </w:t>
      </w:r>
      <w:proofErr w:type="spellStart"/>
      <w:r w:rsidRPr="00AC57DB">
        <w:rPr>
          <w:rFonts w:ascii="Times New Roman" w:eastAsia="Times New Roman" w:hAnsi="Times New Roman" w:cs="Times New Roman"/>
          <w:sz w:val="24"/>
          <w:szCs w:val="24"/>
        </w:rPr>
        <w:t>tunc</w:t>
      </w:r>
      <w:proofErr w:type="spellEnd"/>
      <w:r w:rsidRPr="00AC57DB">
        <w:rPr>
          <w:rFonts w:ascii="Times New Roman" w:eastAsia="Times New Roman" w:hAnsi="Times New Roman" w:cs="Times New Roman"/>
          <w:sz w:val="24"/>
          <w:szCs w:val="24"/>
        </w:rPr>
        <w:t>, i.e., with retroactive effect to its promulgation, because it introduced retroactive tax</w:t>
      </w:r>
      <w:r>
        <w:rPr>
          <w:rFonts w:ascii="Times New Roman" w:eastAsia="Times New Roman" w:hAnsi="Times New Roman" w:cs="Times New Roman"/>
          <w:sz w:val="24"/>
          <w:szCs w:val="24"/>
        </w:rPr>
        <w:t>ation</w:t>
      </w:r>
      <w:r w:rsidRPr="00AC57DB">
        <w:rPr>
          <w:rFonts w:ascii="Times New Roman" w:eastAsia="Times New Roman" w:hAnsi="Times New Roman" w:cs="Times New Roman"/>
          <w:sz w:val="24"/>
          <w:szCs w:val="24"/>
        </w:rPr>
        <w:t xml:space="preserve"> in the public sector that was against the rule of law and legal certainty. </w:t>
      </w:r>
    </w:p>
    <w:p w14:paraId="555E929A" w14:textId="77777777" w:rsidR="00445CE8" w:rsidRPr="00AC57DB" w:rsidRDefault="00445CE8" w:rsidP="00445CE8">
      <w:pPr>
        <w:spacing w:line="360" w:lineRule="auto"/>
        <w:ind w:firstLine="720"/>
        <w:jc w:val="both"/>
        <w:rPr>
          <w:rFonts w:ascii="Times New Roman" w:eastAsia="Times New Roman" w:hAnsi="Times New Roman" w:cs="Times New Roman"/>
          <w:sz w:val="24"/>
          <w:szCs w:val="24"/>
        </w:rPr>
      </w:pPr>
      <w:r w:rsidRPr="00AC57DB">
        <w:rPr>
          <w:rFonts w:ascii="Times New Roman" w:eastAsia="Times New Roman" w:hAnsi="Times New Roman" w:cs="Times New Roman"/>
          <w:sz w:val="24"/>
          <w:szCs w:val="24"/>
        </w:rPr>
        <w:t>Although this was an important decision in terms of content,</w:t>
      </w:r>
      <w:r w:rsidRPr="00AC57DB">
        <w:rPr>
          <w:rStyle w:val="Lbjegyzet-hivatkozs"/>
          <w:rFonts w:ascii="Times New Roman" w:eastAsia="Times New Roman" w:hAnsi="Times New Roman" w:cs="Times New Roman"/>
          <w:sz w:val="24"/>
          <w:szCs w:val="24"/>
        </w:rPr>
        <w:footnoteReference w:id="1"/>
      </w:r>
      <w:r w:rsidRPr="00AC57DB">
        <w:rPr>
          <w:rFonts w:ascii="Times New Roman" w:eastAsia="Times New Roman" w:hAnsi="Times New Roman" w:cs="Times New Roman"/>
          <w:sz w:val="24"/>
          <w:szCs w:val="24"/>
        </w:rPr>
        <w:t xml:space="preserve"> here we are not concerned with the examination of the content, but with the methods used by the Constitutional Court in its reasoning. In the </w:t>
      </w:r>
      <w:r w:rsidRPr="00AC57DB">
        <w:rPr>
          <w:rFonts w:ascii="Times New Roman" w:eastAsia="Times New Roman" w:hAnsi="Times New Roman" w:cs="Times New Roman"/>
          <w:sz w:val="24"/>
          <w:szCs w:val="24"/>
          <w:lang w:val="en-GB"/>
        </w:rPr>
        <w:t xml:space="preserve">61/2011. (VII. 13.) </w:t>
      </w:r>
      <w:r w:rsidRPr="00AC57DB">
        <w:rPr>
          <w:rFonts w:ascii="Times New Roman" w:eastAsia="Times New Roman" w:hAnsi="Times New Roman" w:cs="Times New Roman"/>
          <w:sz w:val="24"/>
          <w:szCs w:val="24"/>
        </w:rPr>
        <w:t xml:space="preserve">Constitutional Court decision the </w:t>
      </w:r>
      <w:r w:rsidRPr="00AC57DB">
        <w:rPr>
          <w:rFonts w:ascii="Times New Roman" w:eastAsia="Times New Roman" w:hAnsi="Times New Roman" w:cs="Times New Roman"/>
          <w:sz w:val="24"/>
          <w:szCs w:val="24"/>
          <w:lang w:val="en-GB"/>
        </w:rPr>
        <w:t>linguistic</w:t>
      </w:r>
      <w:r w:rsidRPr="00AC57DB">
        <w:rPr>
          <w:rFonts w:ascii="Times New Roman" w:eastAsia="Times New Roman" w:hAnsi="Times New Roman" w:cs="Times New Roman"/>
          <w:sz w:val="24"/>
          <w:szCs w:val="24"/>
        </w:rPr>
        <w:t xml:space="preserve">, contextual, teleological, historical, </w:t>
      </w:r>
      <w:r>
        <w:rPr>
          <w:rFonts w:ascii="Times New Roman" w:eastAsia="Times New Roman" w:hAnsi="Times New Roman" w:cs="Times New Roman"/>
          <w:sz w:val="24"/>
          <w:szCs w:val="24"/>
        </w:rPr>
        <w:t>‘</w:t>
      </w:r>
      <w:r w:rsidRPr="00AC57DB">
        <w:rPr>
          <w:rFonts w:ascii="Times New Roman" w:eastAsia="Times New Roman" w:hAnsi="Times New Roman" w:cs="Times New Roman"/>
          <w:sz w:val="24"/>
          <w:szCs w:val="24"/>
        </w:rPr>
        <w:t>beyond the law</w:t>
      </w:r>
      <w:r>
        <w:rPr>
          <w:rFonts w:ascii="Times New Roman" w:eastAsia="Times New Roman" w:hAnsi="Times New Roman" w:cs="Times New Roman"/>
          <w:sz w:val="24"/>
          <w:szCs w:val="24"/>
        </w:rPr>
        <w:t>’</w:t>
      </w:r>
      <w:r w:rsidRPr="00AC57D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Pr="00AC57DB">
        <w:rPr>
          <w:rFonts w:ascii="Times New Roman" w:eastAsia="Times New Roman" w:hAnsi="Times New Roman" w:cs="Times New Roman"/>
          <w:sz w:val="24"/>
          <w:szCs w:val="24"/>
        </w:rPr>
        <w:t>according to precedent interpretation</w:t>
      </w:r>
      <w:r>
        <w:rPr>
          <w:rFonts w:ascii="Times New Roman" w:eastAsia="Times New Roman" w:hAnsi="Times New Roman" w:cs="Times New Roman"/>
          <w:sz w:val="24"/>
          <w:szCs w:val="24"/>
        </w:rPr>
        <w:t>’</w:t>
      </w:r>
      <w:r w:rsidRPr="00AC57DB">
        <w:rPr>
          <w:rFonts w:ascii="Times New Roman" w:eastAsia="Times New Roman" w:hAnsi="Times New Roman" w:cs="Times New Roman"/>
          <w:sz w:val="24"/>
          <w:szCs w:val="24"/>
        </w:rPr>
        <w:t xml:space="preserve"> aspects are also reflected, along with the following keywords: linguistic, linguistic interpretation, the text of the Constitution, tradition, v</w:t>
      </w:r>
      <w:proofErr w:type="spellStart"/>
      <w:r w:rsidRPr="00AC57DB">
        <w:rPr>
          <w:rFonts w:ascii="Times New Roman" w:eastAsia="Times New Roman" w:hAnsi="Times New Roman" w:cs="Times New Roman"/>
          <w:sz w:val="24"/>
          <w:szCs w:val="24"/>
          <w:lang w:val="en-GB"/>
        </w:rPr>
        <w:t>alues</w:t>
      </w:r>
      <w:proofErr w:type="spellEnd"/>
      <w:r w:rsidRPr="00AC57DB">
        <w:rPr>
          <w:rFonts w:ascii="Times New Roman" w:eastAsia="Times New Roman" w:hAnsi="Times New Roman" w:cs="Times New Roman"/>
          <w:sz w:val="24"/>
          <w:szCs w:val="24"/>
          <w:lang w:val="en-GB"/>
        </w:rPr>
        <w:t xml:space="preserve"> of the Constitution, legislative purpose, </w:t>
      </w:r>
      <w:r w:rsidRPr="00AC57DB">
        <w:rPr>
          <w:rFonts w:ascii="Times New Roman" w:eastAsia="Times New Roman" w:hAnsi="Times New Roman" w:cs="Times New Roman"/>
          <w:sz w:val="24"/>
          <w:szCs w:val="24"/>
        </w:rPr>
        <w:t>beyond the law, extra-legal, constant practice of the Constitutional Court.</w:t>
      </w:r>
      <w:r w:rsidRPr="00AC57DB">
        <w:rPr>
          <w:rStyle w:val="Lbjegyzet-hivatkozs"/>
          <w:rFonts w:ascii="Times New Roman" w:eastAsia="Times New Roman" w:hAnsi="Times New Roman" w:cs="Times New Roman"/>
          <w:sz w:val="24"/>
          <w:szCs w:val="24"/>
        </w:rPr>
        <w:footnoteReference w:id="2"/>
      </w:r>
    </w:p>
    <w:p w14:paraId="282B02A7" w14:textId="77777777" w:rsidR="00445CE8" w:rsidRPr="00AC57DB" w:rsidRDefault="00445CE8" w:rsidP="00445CE8">
      <w:pPr>
        <w:spacing w:line="360" w:lineRule="auto"/>
        <w:ind w:firstLine="720"/>
        <w:jc w:val="both"/>
        <w:rPr>
          <w:rFonts w:ascii="Times New Roman" w:eastAsia="Times New Roman" w:hAnsi="Times New Roman" w:cs="Times New Roman"/>
          <w:sz w:val="24"/>
          <w:szCs w:val="24"/>
        </w:rPr>
      </w:pPr>
      <w:r w:rsidRPr="00AC57DB">
        <w:rPr>
          <w:rFonts w:ascii="Times New Roman" w:eastAsia="Times New Roman" w:hAnsi="Times New Roman" w:cs="Times New Roman"/>
          <w:sz w:val="24"/>
          <w:szCs w:val="24"/>
        </w:rPr>
        <w:t xml:space="preserve">Below we present examples of the interpretative methods used in the </w:t>
      </w:r>
      <w:r w:rsidRPr="00AC57DB">
        <w:rPr>
          <w:rFonts w:ascii="Times New Roman" w:eastAsia="Times New Roman" w:hAnsi="Times New Roman" w:cs="Times New Roman"/>
          <w:sz w:val="24"/>
          <w:szCs w:val="24"/>
          <w:lang w:val="en-GB"/>
        </w:rPr>
        <w:t xml:space="preserve">61/2011. (VII. 13.) </w:t>
      </w:r>
      <w:r w:rsidRPr="00AC57DB">
        <w:rPr>
          <w:rFonts w:ascii="Times New Roman" w:eastAsia="Times New Roman" w:hAnsi="Times New Roman" w:cs="Times New Roman"/>
          <w:sz w:val="24"/>
          <w:szCs w:val="24"/>
        </w:rPr>
        <w:t>Constitutional Court decision:</w:t>
      </w:r>
    </w:p>
    <w:p w14:paraId="151178F1" w14:textId="77777777" w:rsidR="00445CE8" w:rsidRDefault="00445CE8" w:rsidP="00445CE8">
      <w:pPr>
        <w:spacing w:line="360" w:lineRule="auto"/>
        <w:jc w:val="both"/>
        <w:rPr>
          <w:rFonts w:ascii="Times New Roman" w:eastAsia="Times New Roman" w:hAnsi="Times New Roman" w:cs="Times New Roman"/>
          <w:sz w:val="24"/>
          <w:szCs w:val="24"/>
        </w:rPr>
      </w:pPr>
    </w:p>
    <w:p w14:paraId="3B4B21AB" w14:textId="77777777" w:rsidR="006274E5" w:rsidRDefault="006274E5" w:rsidP="00445CE8">
      <w:pPr>
        <w:spacing w:line="360" w:lineRule="auto"/>
        <w:jc w:val="both"/>
        <w:rPr>
          <w:rFonts w:ascii="Times New Roman" w:eastAsia="Times New Roman" w:hAnsi="Times New Roman" w:cs="Times New Roman"/>
          <w:sz w:val="24"/>
          <w:szCs w:val="24"/>
        </w:rPr>
      </w:pPr>
    </w:p>
    <w:p w14:paraId="52E30862" w14:textId="77777777" w:rsidR="006274E5" w:rsidRDefault="006274E5" w:rsidP="00445CE8">
      <w:pPr>
        <w:spacing w:line="360" w:lineRule="auto"/>
        <w:jc w:val="both"/>
        <w:rPr>
          <w:rFonts w:ascii="Times New Roman" w:eastAsia="Times New Roman" w:hAnsi="Times New Roman" w:cs="Times New Roman"/>
          <w:sz w:val="24"/>
          <w:szCs w:val="24"/>
        </w:rPr>
      </w:pPr>
    </w:p>
    <w:p w14:paraId="345005B5" w14:textId="77777777" w:rsidR="006274E5" w:rsidRDefault="006274E5" w:rsidP="00445CE8">
      <w:pPr>
        <w:spacing w:line="360" w:lineRule="auto"/>
        <w:jc w:val="both"/>
        <w:rPr>
          <w:rFonts w:ascii="Times New Roman" w:eastAsia="Times New Roman" w:hAnsi="Times New Roman" w:cs="Times New Roman"/>
          <w:sz w:val="24"/>
          <w:szCs w:val="24"/>
        </w:rPr>
      </w:pPr>
    </w:p>
    <w:p w14:paraId="45472761" w14:textId="77777777" w:rsidR="006274E5" w:rsidRDefault="006274E5" w:rsidP="00445CE8">
      <w:pPr>
        <w:spacing w:line="360" w:lineRule="auto"/>
        <w:jc w:val="both"/>
        <w:rPr>
          <w:rFonts w:ascii="Times New Roman" w:eastAsia="Times New Roman" w:hAnsi="Times New Roman" w:cs="Times New Roman"/>
          <w:sz w:val="24"/>
          <w:szCs w:val="24"/>
        </w:rPr>
      </w:pPr>
    </w:p>
    <w:p w14:paraId="0A0CEA90" w14:textId="77777777" w:rsidR="006274E5" w:rsidRPr="00AC57DB" w:rsidRDefault="006274E5" w:rsidP="00445CE8">
      <w:pPr>
        <w:spacing w:line="360" w:lineRule="auto"/>
        <w:jc w:val="both"/>
        <w:rPr>
          <w:rFonts w:ascii="Times New Roman" w:eastAsia="Times New Roman" w:hAnsi="Times New Roman" w:cs="Times New Roman"/>
          <w:sz w:val="24"/>
          <w:szCs w:val="24"/>
        </w:rPr>
      </w:pPr>
    </w:p>
    <w:p w14:paraId="5A5978D6" w14:textId="143D7977" w:rsidR="00445CE8" w:rsidRPr="00AC57DB" w:rsidRDefault="0062343F" w:rsidP="00445CE8">
      <w:pPr>
        <w:pStyle w:val="Szvegtrzs"/>
        <w:spacing w:before="0" w:after="120" w:line="360" w:lineRule="auto"/>
        <w:jc w:val="both"/>
      </w:pPr>
      <w:r>
        <w:rPr>
          <w:b/>
          <w:bCs/>
        </w:rPr>
        <w:lastRenderedPageBreak/>
        <w:t>Appendix 1</w:t>
      </w:r>
      <w:r w:rsidR="00445CE8" w:rsidRPr="00AC57DB">
        <w:rPr>
          <w:b/>
          <w:bCs/>
        </w:rPr>
        <w:t>:</w:t>
      </w:r>
      <w:r w:rsidR="00445CE8" w:rsidRPr="00AC57DB">
        <w:rPr>
          <w:spacing w:val="-1"/>
        </w:rPr>
        <w:t xml:space="preserve"> Methods of interpretation found in the 61/2011. </w:t>
      </w:r>
      <w:r w:rsidR="00445CE8" w:rsidRPr="00AC57DB">
        <w:rPr>
          <w:lang w:val="en-GB"/>
        </w:rPr>
        <w:t xml:space="preserve">(VII. 13.) </w:t>
      </w:r>
      <w:r w:rsidR="00445CE8" w:rsidRPr="00AC57DB">
        <w:rPr>
          <w:spacing w:val="-1"/>
        </w:rPr>
        <w:t xml:space="preserve">Constitutional Court decision and examples of such methods </w:t>
      </w:r>
      <w:r w:rsidR="00445CE8" w:rsidRPr="00AC57DB">
        <w:t>(author’s own compilation)</w:t>
      </w:r>
    </w:p>
    <w:tbl>
      <w:tblPr>
        <w:tblStyle w:val="Tblzategyszer2"/>
        <w:tblW w:w="9360" w:type="dxa"/>
        <w:shd w:val="clear" w:color="auto" w:fill="F2F2F2" w:themeFill="background1" w:themeFillShade="F2"/>
        <w:tblLayout w:type="fixed"/>
        <w:tblLook w:val="0600" w:firstRow="0" w:lastRow="0" w:firstColumn="0" w:lastColumn="0" w:noHBand="1" w:noVBand="1"/>
      </w:tblPr>
      <w:tblGrid>
        <w:gridCol w:w="1701"/>
        <w:gridCol w:w="1701"/>
        <w:gridCol w:w="2835"/>
        <w:gridCol w:w="3123"/>
      </w:tblGrid>
      <w:tr w:rsidR="00445CE8" w:rsidRPr="006274E5" w14:paraId="014E79C0" w14:textId="77777777" w:rsidTr="00B074A3">
        <w:trPr>
          <w:trHeight w:val="500"/>
        </w:trPr>
        <w:tc>
          <w:tcPr>
            <w:tcW w:w="1701" w:type="dxa"/>
            <w:tcBorders>
              <w:top w:val="single" w:sz="8" w:space="0" w:color="auto"/>
              <w:bottom w:val="single" w:sz="8" w:space="0" w:color="auto"/>
            </w:tcBorders>
            <w:shd w:val="clear" w:color="auto" w:fill="F2F2F2" w:themeFill="background1" w:themeFillShade="F2"/>
          </w:tcPr>
          <w:p w14:paraId="357D87EE" w14:textId="77777777" w:rsidR="00445CE8" w:rsidRPr="006274E5" w:rsidRDefault="00445CE8" w:rsidP="006274E5">
            <w:pPr>
              <w:spacing w:line="240" w:lineRule="auto"/>
              <w:jc w:val="center"/>
              <w:rPr>
                <w:rFonts w:ascii="Times New Roman" w:eastAsia="Times New Roman" w:hAnsi="Times New Roman" w:cs="Times New Roman"/>
                <w:b/>
                <w:bCs/>
                <w:iCs/>
                <w:sz w:val="20"/>
                <w:szCs w:val="20"/>
                <w:lang w:val="en-GB"/>
              </w:rPr>
            </w:pPr>
            <w:r w:rsidRPr="006274E5">
              <w:rPr>
                <w:rFonts w:ascii="Times New Roman" w:eastAsia="Times New Roman" w:hAnsi="Times New Roman" w:cs="Times New Roman"/>
                <w:b/>
                <w:bCs/>
                <w:iCs/>
                <w:sz w:val="20"/>
                <w:szCs w:val="20"/>
                <w:lang w:val="en-GB"/>
              </w:rPr>
              <w:t>Interpretation method</w:t>
            </w:r>
          </w:p>
        </w:tc>
        <w:tc>
          <w:tcPr>
            <w:tcW w:w="1701" w:type="dxa"/>
            <w:tcBorders>
              <w:top w:val="single" w:sz="8" w:space="0" w:color="auto"/>
              <w:bottom w:val="single" w:sz="8" w:space="0" w:color="auto"/>
            </w:tcBorders>
            <w:shd w:val="clear" w:color="auto" w:fill="F2F2F2" w:themeFill="background1" w:themeFillShade="F2"/>
          </w:tcPr>
          <w:p w14:paraId="2BD4754D" w14:textId="77777777" w:rsidR="00445CE8" w:rsidRPr="006274E5" w:rsidRDefault="00445CE8" w:rsidP="006274E5">
            <w:pPr>
              <w:spacing w:line="240" w:lineRule="auto"/>
              <w:jc w:val="center"/>
              <w:rPr>
                <w:rFonts w:ascii="Times New Roman" w:eastAsia="Times New Roman" w:hAnsi="Times New Roman" w:cs="Times New Roman"/>
                <w:b/>
                <w:bCs/>
                <w:iCs/>
                <w:sz w:val="20"/>
                <w:szCs w:val="20"/>
                <w:lang w:val="en-GB"/>
              </w:rPr>
            </w:pPr>
            <w:r w:rsidRPr="006274E5">
              <w:rPr>
                <w:rFonts w:ascii="Times New Roman" w:eastAsia="Times New Roman" w:hAnsi="Times New Roman" w:cs="Times New Roman"/>
                <w:b/>
                <w:bCs/>
                <w:iCs/>
                <w:sz w:val="20"/>
                <w:szCs w:val="20"/>
                <w:lang w:val="en-GB"/>
              </w:rPr>
              <w:t>Keyword</w:t>
            </w:r>
          </w:p>
        </w:tc>
        <w:tc>
          <w:tcPr>
            <w:tcW w:w="2835" w:type="dxa"/>
            <w:tcBorders>
              <w:top w:val="single" w:sz="8" w:space="0" w:color="auto"/>
              <w:bottom w:val="single" w:sz="8" w:space="0" w:color="auto"/>
            </w:tcBorders>
            <w:shd w:val="clear" w:color="auto" w:fill="F2F2F2" w:themeFill="background1" w:themeFillShade="F2"/>
          </w:tcPr>
          <w:p w14:paraId="10A4DB86" w14:textId="77777777" w:rsidR="00445CE8" w:rsidRPr="006274E5" w:rsidRDefault="00445CE8" w:rsidP="006274E5">
            <w:pPr>
              <w:spacing w:line="240" w:lineRule="auto"/>
              <w:jc w:val="center"/>
              <w:rPr>
                <w:rFonts w:ascii="Times New Roman" w:eastAsia="Times New Roman" w:hAnsi="Times New Roman" w:cs="Times New Roman"/>
                <w:b/>
                <w:bCs/>
                <w:iCs/>
                <w:sz w:val="20"/>
                <w:szCs w:val="20"/>
                <w:lang w:val="en-GB"/>
              </w:rPr>
            </w:pPr>
            <w:r w:rsidRPr="006274E5">
              <w:rPr>
                <w:rFonts w:ascii="Times New Roman" w:eastAsia="Times New Roman" w:hAnsi="Times New Roman" w:cs="Times New Roman"/>
                <w:b/>
                <w:bCs/>
                <w:iCs/>
                <w:sz w:val="20"/>
                <w:szCs w:val="20"/>
                <w:lang w:val="en-GB"/>
              </w:rPr>
              <w:t>The example sentence in the decision in English</w:t>
            </w:r>
          </w:p>
        </w:tc>
        <w:tc>
          <w:tcPr>
            <w:tcW w:w="3123" w:type="dxa"/>
            <w:tcBorders>
              <w:top w:val="single" w:sz="8" w:space="0" w:color="auto"/>
              <w:bottom w:val="single" w:sz="8" w:space="0" w:color="auto"/>
            </w:tcBorders>
            <w:shd w:val="clear" w:color="auto" w:fill="F2F2F2" w:themeFill="background1" w:themeFillShade="F2"/>
          </w:tcPr>
          <w:p w14:paraId="1F866146" w14:textId="77777777" w:rsidR="00445CE8" w:rsidRPr="006274E5" w:rsidRDefault="00445CE8" w:rsidP="006274E5">
            <w:pPr>
              <w:spacing w:line="240" w:lineRule="auto"/>
              <w:jc w:val="center"/>
              <w:rPr>
                <w:rFonts w:ascii="Times New Roman" w:eastAsia="Times New Roman" w:hAnsi="Times New Roman" w:cs="Times New Roman"/>
                <w:b/>
                <w:bCs/>
                <w:iCs/>
                <w:sz w:val="20"/>
                <w:szCs w:val="20"/>
                <w:lang w:val="en-GB"/>
              </w:rPr>
            </w:pPr>
            <w:r w:rsidRPr="006274E5">
              <w:rPr>
                <w:rFonts w:ascii="Times New Roman" w:eastAsia="Times New Roman" w:hAnsi="Times New Roman" w:cs="Times New Roman"/>
                <w:b/>
                <w:bCs/>
                <w:iCs/>
                <w:sz w:val="20"/>
                <w:szCs w:val="20"/>
                <w:lang w:val="en-GB"/>
              </w:rPr>
              <w:t>The example sentence in the decision in Hungarian</w:t>
            </w:r>
          </w:p>
        </w:tc>
      </w:tr>
      <w:tr w:rsidR="00445CE8" w:rsidRPr="006274E5" w14:paraId="5E90A946" w14:textId="77777777" w:rsidTr="00B074A3">
        <w:trPr>
          <w:trHeight w:val="165"/>
        </w:trPr>
        <w:tc>
          <w:tcPr>
            <w:tcW w:w="1701" w:type="dxa"/>
            <w:tcBorders>
              <w:top w:val="single" w:sz="8" w:space="0" w:color="auto"/>
              <w:bottom w:val="single" w:sz="4" w:space="0" w:color="auto"/>
            </w:tcBorders>
            <w:shd w:val="clear" w:color="auto" w:fill="F2F2F2" w:themeFill="background1" w:themeFillShade="F2"/>
          </w:tcPr>
          <w:p w14:paraId="3AA15A85"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Linguistic</w:t>
            </w:r>
          </w:p>
        </w:tc>
        <w:tc>
          <w:tcPr>
            <w:tcW w:w="1701" w:type="dxa"/>
            <w:tcBorders>
              <w:top w:val="single" w:sz="8" w:space="0" w:color="auto"/>
              <w:bottom w:val="single" w:sz="4" w:space="0" w:color="auto"/>
            </w:tcBorders>
            <w:shd w:val="clear" w:color="auto" w:fill="F2F2F2" w:themeFill="background1" w:themeFillShade="F2"/>
          </w:tcPr>
          <w:p w14:paraId="5B1A7AC1"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rPr>
              <w:t>linguistic interpretation</w:t>
            </w:r>
          </w:p>
        </w:tc>
        <w:tc>
          <w:tcPr>
            <w:tcW w:w="2835" w:type="dxa"/>
            <w:tcBorders>
              <w:top w:val="single" w:sz="8" w:space="0" w:color="auto"/>
              <w:bottom w:val="single" w:sz="4" w:space="0" w:color="auto"/>
            </w:tcBorders>
            <w:shd w:val="clear" w:color="auto" w:fill="F2F2F2" w:themeFill="background1" w:themeFillShade="F2"/>
          </w:tcPr>
          <w:p w14:paraId="21E42CA2"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 xml:space="preserve">“According to a </w:t>
            </w:r>
            <w:r w:rsidRPr="006274E5">
              <w:rPr>
                <w:rFonts w:ascii="Times New Roman" w:eastAsia="Times New Roman" w:hAnsi="Times New Roman" w:cs="Times New Roman"/>
                <w:i/>
                <w:iCs/>
                <w:sz w:val="20"/>
                <w:szCs w:val="20"/>
              </w:rPr>
              <w:t>linguistic interpretation</w:t>
            </w:r>
            <w:r w:rsidRPr="006274E5">
              <w:rPr>
                <w:rFonts w:ascii="Times New Roman" w:eastAsia="Times New Roman" w:hAnsi="Times New Roman" w:cs="Times New Roman"/>
                <w:sz w:val="20"/>
                <w:szCs w:val="20"/>
              </w:rPr>
              <w:t>, the term ‘source of public charges’ means all income in connection with which there is an obligation to pay public charges.”</w:t>
            </w:r>
          </w:p>
        </w:tc>
        <w:tc>
          <w:tcPr>
            <w:tcW w:w="3123" w:type="dxa"/>
            <w:tcBorders>
              <w:top w:val="single" w:sz="8" w:space="0" w:color="auto"/>
              <w:bottom w:val="single" w:sz="4" w:space="0" w:color="auto"/>
            </w:tcBorders>
            <w:shd w:val="clear" w:color="auto" w:fill="F2F2F2" w:themeFill="background1" w:themeFillShade="F2"/>
          </w:tcPr>
          <w:p w14:paraId="4991199E"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„A »</w:t>
            </w:r>
            <w:proofErr w:type="spellStart"/>
            <w:r w:rsidRPr="006274E5">
              <w:rPr>
                <w:rFonts w:ascii="Times New Roman" w:eastAsia="Times New Roman" w:hAnsi="Times New Roman" w:cs="Times New Roman"/>
                <w:sz w:val="20"/>
                <w:szCs w:val="20"/>
              </w:rPr>
              <w:t>közterhek</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viselésére</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szolgáló</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forrás</w:t>
            </w:r>
            <w:proofErr w:type="spellEnd"/>
            <w:r w:rsidRPr="006274E5">
              <w:rPr>
                <w:rFonts w:ascii="Times New Roman" w:eastAsia="Times New Roman" w:hAnsi="Times New Roman" w:cs="Times New Roman"/>
                <w:sz w:val="20"/>
                <w:szCs w:val="20"/>
              </w:rPr>
              <w:t xml:space="preserve">« - </w:t>
            </w:r>
            <w:proofErr w:type="spellStart"/>
            <w:r w:rsidRPr="006274E5">
              <w:rPr>
                <w:rFonts w:ascii="Times New Roman" w:eastAsia="Times New Roman" w:hAnsi="Times New Roman" w:cs="Times New Roman"/>
                <w:i/>
                <w:iCs/>
                <w:sz w:val="20"/>
                <w:szCs w:val="20"/>
              </w:rPr>
              <w:t>nyelvtani</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i/>
                <w:iCs/>
                <w:sz w:val="20"/>
                <w:szCs w:val="20"/>
              </w:rPr>
              <w:t>értelmezés</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sz w:val="20"/>
                <w:szCs w:val="20"/>
              </w:rPr>
              <w:t>alapján</w:t>
            </w:r>
            <w:proofErr w:type="spellEnd"/>
            <w:r w:rsidRPr="006274E5">
              <w:rPr>
                <w:rFonts w:ascii="Times New Roman" w:eastAsia="Times New Roman" w:hAnsi="Times New Roman" w:cs="Times New Roman"/>
                <w:sz w:val="20"/>
                <w:szCs w:val="20"/>
              </w:rPr>
              <w:t xml:space="preserve"> - </w:t>
            </w:r>
            <w:proofErr w:type="spellStart"/>
            <w:r w:rsidRPr="006274E5">
              <w:rPr>
                <w:rFonts w:ascii="Times New Roman" w:eastAsia="Times New Roman" w:hAnsi="Times New Roman" w:cs="Times New Roman"/>
                <w:sz w:val="20"/>
                <w:szCs w:val="20"/>
              </w:rPr>
              <w:t>ugyanis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minden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olyan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jövedelmet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jelent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amellyel</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kapcsolatban</w:t>
            </w:r>
            <w:proofErr w:type="spellEnd"/>
            <w:r w:rsidRPr="006274E5">
              <w:rPr>
                <w:rFonts w:ascii="Times New Roman" w:eastAsia="Times New Roman" w:hAnsi="Times New Roman" w:cs="Times New Roman"/>
                <w:sz w:val="20"/>
                <w:szCs w:val="20"/>
              </w:rPr>
              <w:t xml:space="preserve"> a </w:t>
            </w:r>
            <w:proofErr w:type="spellStart"/>
            <w:r w:rsidRPr="006274E5">
              <w:rPr>
                <w:rFonts w:ascii="Times New Roman" w:eastAsia="Times New Roman" w:hAnsi="Times New Roman" w:cs="Times New Roman"/>
                <w:sz w:val="20"/>
                <w:szCs w:val="20"/>
              </w:rPr>
              <w:t>közteherviselési</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kötelezettség</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fennáll</w:t>
            </w:r>
            <w:proofErr w:type="spellEnd"/>
            <w:r w:rsidRPr="006274E5">
              <w:rPr>
                <w:rFonts w:ascii="Times New Roman" w:eastAsia="Times New Roman" w:hAnsi="Times New Roman" w:cs="Times New Roman"/>
                <w:sz w:val="20"/>
                <w:szCs w:val="20"/>
              </w:rPr>
              <w:t>.”</w:t>
            </w:r>
          </w:p>
        </w:tc>
      </w:tr>
      <w:tr w:rsidR="00445CE8" w:rsidRPr="006274E5" w14:paraId="2ACC3166" w14:textId="77777777" w:rsidTr="00B074A3">
        <w:trPr>
          <w:trHeight w:val="79"/>
        </w:trPr>
        <w:tc>
          <w:tcPr>
            <w:tcW w:w="1701" w:type="dxa"/>
            <w:tcBorders>
              <w:top w:val="single" w:sz="4" w:space="0" w:color="auto"/>
              <w:bottom w:val="single" w:sz="4" w:space="0" w:color="auto"/>
            </w:tcBorders>
            <w:shd w:val="clear" w:color="auto" w:fill="F2F2F2" w:themeFill="background1" w:themeFillShade="F2"/>
          </w:tcPr>
          <w:p w14:paraId="6EBACB54"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Contextual</w:t>
            </w:r>
          </w:p>
        </w:tc>
        <w:tc>
          <w:tcPr>
            <w:tcW w:w="1701" w:type="dxa"/>
            <w:tcBorders>
              <w:top w:val="single" w:sz="4" w:space="0" w:color="auto"/>
              <w:bottom w:val="single" w:sz="4" w:space="0" w:color="auto"/>
            </w:tcBorders>
            <w:shd w:val="clear" w:color="auto" w:fill="F2F2F2" w:themeFill="background1" w:themeFillShade="F2"/>
          </w:tcPr>
          <w:p w14:paraId="0F173ABF"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System of the Constitution/ the Fundamental Law</w:t>
            </w:r>
          </w:p>
          <w:p w14:paraId="09357427"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Values of the Constitution/ the Fundamental Law</w:t>
            </w:r>
          </w:p>
          <w:p w14:paraId="62B5A993" w14:textId="77777777" w:rsidR="00445CE8" w:rsidRPr="006274E5" w:rsidRDefault="00445CE8" w:rsidP="006274E5">
            <w:pPr>
              <w:spacing w:line="240" w:lineRule="auto"/>
              <w:jc w:val="center"/>
              <w:rPr>
                <w:rFonts w:ascii="Times New Roman" w:eastAsia="Times New Roman" w:hAnsi="Times New Roman" w:cs="Times New Roman"/>
                <w:sz w:val="20"/>
                <w:szCs w:val="20"/>
                <w:lang w:val="en-GB"/>
              </w:rPr>
            </w:pPr>
          </w:p>
        </w:tc>
        <w:tc>
          <w:tcPr>
            <w:tcW w:w="2835" w:type="dxa"/>
            <w:tcBorders>
              <w:top w:val="single" w:sz="4" w:space="0" w:color="auto"/>
              <w:bottom w:val="single" w:sz="4" w:space="0" w:color="auto"/>
            </w:tcBorders>
            <w:shd w:val="clear" w:color="auto" w:fill="F2F2F2" w:themeFill="background1" w:themeFillShade="F2"/>
          </w:tcPr>
          <w:p w14:paraId="6E374916"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“If there is a conflict between the constitutional amendment and the Constitution, the Constitutional Court has the power to decide based on the text,</w:t>
            </w:r>
            <w:r w:rsidRPr="006274E5">
              <w:rPr>
                <w:rStyle w:val="Lbjegyzet-hivatkozs"/>
                <w:rFonts w:ascii="Times New Roman" w:eastAsia="Times New Roman" w:hAnsi="Times New Roman" w:cs="Times New Roman"/>
                <w:sz w:val="20"/>
                <w:szCs w:val="20"/>
              </w:rPr>
              <w:footnoteReference w:id="3"/>
            </w:r>
            <w:r w:rsidRPr="006274E5">
              <w:rPr>
                <w:rFonts w:ascii="Times New Roman" w:eastAsia="Times New Roman" w:hAnsi="Times New Roman" w:cs="Times New Roman"/>
                <w:i/>
                <w:iCs/>
                <w:sz w:val="20"/>
                <w:szCs w:val="20"/>
              </w:rPr>
              <w:t xml:space="preserve"> system, and values of the Constitution</w:t>
            </w:r>
            <w:r w:rsidRPr="006274E5">
              <w:rPr>
                <w:rFonts w:ascii="Times New Roman" w:eastAsia="Times New Roman" w:hAnsi="Times New Roman" w:cs="Times New Roman"/>
                <w:sz w:val="20"/>
                <w:szCs w:val="20"/>
              </w:rPr>
              <w:t xml:space="preserve"> and to annul the constitutional amendment.</w:t>
            </w:r>
            <w:r w:rsidRPr="006274E5">
              <w:rPr>
                <w:sz w:val="20"/>
                <w:szCs w:val="20"/>
              </w:rPr>
              <w:t xml:space="preserve"> </w:t>
            </w:r>
            <w:r w:rsidRPr="006274E5">
              <w:rPr>
                <w:rFonts w:ascii="Times New Roman" w:eastAsia="Times New Roman" w:hAnsi="Times New Roman" w:cs="Times New Roman"/>
                <w:sz w:val="20"/>
                <w:szCs w:val="20"/>
              </w:rPr>
              <w:t xml:space="preserve">If the Constitutional Court were not allowed to do so in these </w:t>
            </w:r>
            <w:proofErr w:type="gramStart"/>
            <w:r w:rsidRPr="006274E5">
              <w:rPr>
                <w:rFonts w:ascii="Times New Roman" w:eastAsia="Times New Roman" w:hAnsi="Times New Roman" w:cs="Times New Roman"/>
                <w:sz w:val="20"/>
                <w:szCs w:val="20"/>
              </w:rPr>
              <w:t>particular cases</w:t>
            </w:r>
            <w:proofErr w:type="gramEnd"/>
            <w:r w:rsidRPr="006274E5">
              <w:rPr>
                <w:rFonts w:ascii="Times New Roman" w:eastAsia="Times New Roman" w:hAnsi="Times New Roman" w:cs="Times New Roman"/>
                <w:sz w:val="20"/>
                <w:szCs w:val="20"/>
              </w:rPr>
              <w:t>, it would create a serious crisis of constitutional interpretation and protection.”</w:t>
            </w:r>
          </w:p>
        </w:tc>
        <w:tc>
          <w:tcPr>
            <w:tcW w:w="3123" w:type="dxa"/>
            <w:tcBorders>
              <w:top w:val="single" w:sz="4" w:space="0" w:color="auto"/>
              <w:bottom w:val="single" w:sz="4" w:space="0" w:color="auto"/>
            </w:tcBorders>
            <w:shd w:val="clear" w:color="auto" w:fill="F2F2F2" w:themeFill="background1" w:themeFillShade="F2"/>
          </w:tcPr>
          <w:p w14:paraId="59FBC548"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w:t>
            </w:r>
            <w:proofErr w:type="spellStart"/>
            <w:r w:rsidRPr="006274E5">
              <w:rPr>
                <w:rFonts w:ascii="Times New Roman" w:eastAsia="Times New Roman" w:hAnsi="Times New Roman" w:cs="Times New Roman"/>
                <w:sz w:val="20"/>
                <w:szCs w:val="20"/>
              </w:rPr>
              <w:t>Amennyiben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alkotmánymódosítás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és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között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kirívó</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ellentét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áll</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fenn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Alkotmánybíróságnak</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módja</w:t>
            </w:r>
            <w:proofErr w:type="spellEnd"/>
            <w:r w:rsidRPr="006274E5">
              <w:rPr>
                <w:rFonts w:ascii="Times New Roman" w:eastAsia="Times New Roman" w:hAnsi="Times New Roman" w:cs="Times New Roman"/>
                <w:sz w:val="20"/>
                <w:szCs w:val="20"/>
              </w:rPr>
              <w:t xml:space="preserve"> van </w:t>
            </w:r>
            <w:proofErr w:type="spellStart"/>
            <w:r w:rsidRPr="006274E5">
              <w:rPr>
                <w:rFonts w:ascii="Times New Roman" w:eastAsia="Times New Roman" w:hAnsi="Times New Roman" w:cs="Times New Roman"/>
                <w:sz w:val="20"/>
                <w:szCs w:val="20"/>
              </w:rPr>
              <w:t>arra</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hogy</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szövege</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i/>
                <w:iCs/>
                <w:sz w:val="20"/>
                <w:szCs w:val="20"/>
              </w:rPr>
              <w:t>rendszere</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i/>
                <w:iCs/>
                <w:sz w:val="20"/>
                <w:szCs w:val="20"/>
              </w:rPr>
              <w:t>értékrendje</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i/>
                <w:iCs/>
                <w:sz w:val="20"/>
                <w:szCs w:val="20"/>
              </w:rPr>
              <w:t>alapján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döntsön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és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alkotmánymódosítást</w:t>
            </w:r>
            <w:proofErr w:type="spellEnd"/>
            <w:r w:rsidRPr="006274E5">
              <w:rPr>
                <w:rFonts w:ascii="Times New Roman" w:eastAsia="Times New Roman" w:hAnsi="Times New Roman" w:cs="Times New Roman"/>
                <w:sz w:val="20"/>
                <w:szCs w:val="20"/>
              </w:rPr>
              <w:t xml:space="preserve"> is </w:t>
            </w:r>
            <w:proofErr w:type="spellStart"/>
            <w:r w:rsidRPr="006274E5">
              <w:rPr>
                <w:rFonts w:ascii="Times New Roman" w:eastAsia="Times New Roman" w:hAnsi="Times New Roman" w:cs="Times New Roman"/>
                <w:sz w:val="20"/>
                <w:szCs w:val="20"/>
              </w:rPr>
              <w:t>megsemmisíthesse</w:t>
            </w:r>
            <w:proofErr w:type="spellEnd"/>
            <w:r w:rsidRPr="006274E5">
              <w:rPr>
                <w:rFonts w:ascii="Times New Roman" w:eastAsia="Times New Roman" w:hAnsi="Times New Roman" w:cs="Times New Roman"/>
                <w:sz w:val="20"/>
                <w:szCs w:val="20"/>
              </w:rPr>
              <w:t xml:space="preserve">. Ha </w:t>
            </w:r>
            <w:proofErr w:type="spellStart"/>
            <w:r w:rsidRPr="006274E5">
              <w:rPr>
                <w:rFonts w:ascii="Times New Roman" w:eastAsia="Times New Roman" w:hAnsi="Times New Roman" w:cs="Times New Roman"/>
                <w:sz w:val="20"/>
                <w:szCs w:val="20"/>
              </w:rPr>
              <w:t>ezt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nem</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tehetné</w:t>
            </w:r>
            <w:proofErr w:type="spellEnd"/>
            <w:r w:rsidRPr="006274E5">
              <w:rPr>
                <w:rFonts w:ascii="Times New Roman" w:eastAsia="Times New Roman" w:hAnsi="Times New Roman" w:cs="Times New Roman"/>
                <w:sz w:val="20"/>
                <w:szCs w:val="20"/>
              </w:rPr>
              <w:t xml:space="preserve"> meg </w:t>
            </w:r>
            <w:proofErr w:type="spellStart"/>
            <w:r w:rsidRPr="006274E5">
              <w:rPr>
                <w:rFonts w:ascii="Times New Roman" w:eastAsia="Times New Roman" w:hAnsi="Times New Roman" w:cs="Times New Roman"/>
                <w:sz w:val="20"/>
                <w:szCs w:val="20"/>
              </w:rPr>
              <w:t>ezekben</w:t>
            </w:r>
            <w:proofErr w:type="spellEnd"/>
            <w:r w:rsidRPr="006274E5">
              <w:rPr>
                <w:rFonts w:ascii="Times New Roman" w:eastAsia="Times New Roman" w:hAnsi="Times New Roman" w:cs="Times New Roman"/>
                <w:sz w:val="20"/>
                <w:szCs w:val="20"/>
              </w:rPr>
              <w:t xml:space="preserve"> a </w:t>
            </w:r>
            <w:proofErr w:type="spellStart"/>
            <w:r w:rsidRPr="006274E5">
              <w:rPr>
                <w:rFonts w:ascii="Times New Roman" w:eastAsia="Times New Roman" w:hAnsi="Times New Roman" w:cs="Times New Roman"/>
                <w:sz w:val="20"/>
                <w:szCs w:val="20"/>
              </w:rPr>
              <w:t>kirívó</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esetekben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akkor</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súlyos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krízist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teremtene</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alkotmányértelmezés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és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alkotmányvédelem</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terén</w:t>
            </w:r>
            <w:proofErr w:type="spellEnd"/>
            <w:r w:rsidRPr="006274E5">
              <w:rPr>
                <w:rFonts w:ascii="Times New Roman" w:eastAsia="Times New Roman" w:hAnsi="Times New Roman" w:cs="Times New Roman"/>
                <w:sz w:val="20"/>
                <w:szCs w:val="20"/>
              </w:rPr>
              <w:t>.”</w:t>
            </w:r>
          </w:p>
        </w:tc>
      </w:tr>
      <w:tr w:rsidR="00445CE8" w:rsidRPr="006274E5" w14:paraId="12C02777" w14:textId="77777777" w:rsidTr="00B074A3">
        <w:trPr>
          <w:trHeight w:val="79"/>
        </w:trPr>
        <w:tc>
          <w:tcPr>
            <w:tcW w:w="1701" w:type="dxa"/>
            <w:tcBorders>
              <w:top w:val="single" w:sz="4" w:space="0" w:color="auto"/>
              <w:bottom w:val="single" w:sz="4" w:space="0" w:color="auto"/>
            </w:tcBorders>
            <w:shd w:val="clear" w:color="auto" w:fill="F2F2F2" w:themeFill="background1" w:themeFillShade="F2"/>
          </w:tcPr>
          <w:p w14:paraId="768FF283"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Teleological</w:t>
            </w:r>
          </w:p>
        </w:tc>
        <w:tc>
          <w:tcPr>
            <w:tcW w:w="1701" w:type="dxa"/>
            <w:tcBorders>
              <w:top w:val="single" w:sz="4" w:space="0" w:color="auto"/>
              <w:bottom w:val="single" w:sz="4" w:space="0" w:color="auto"/>
            </w:tcBorders>
            <w:shd w:val="clear" w:color="auto" w:fill="F2F2F2" w:themeFill="background1" w:themeFillShade="F2"/>
          </w:tcPr>
          <w:p w14:paraId="0B579157"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Legislative purpose</w:t>
            </w:r>
          </w:p>
        </w:tc>
        <w:tc>
          <w:tcPr>
            <w:tcW w:w="2835" w:type="dxa"/>
            <w:tcBorders>
              <w:top w:val="single" w:sz="4" w:space="0" w:color="auto"/>
              <w:bottom w:val="single" w:sz="4" w:space="0" w:color="auto"/>
            </w:tcBorders>
            <w:shd w:val="clear" w:color="auto" w:fill="F2F2F2" w:themeFill="background1" w:themeFillShade="F2"/>
          </w:tcPr>
          <w:p w14:paraId="396F72EC"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 xml:space="preserve">“Constitutional amendment and </w:t>
            </w:r>
            <w:r w:rsidRPr="006274E5">
              <w:rPr>
                <w:rFonts w:ascii="Times New Roman" w:eastAsia="Times New Roman" w:hAnsi="Times New Roman" w:cs="Times New Roman"/>
                <w:i/>
                <w:iCs/>
                <w:sz w:val="20"/>
                <w:szCs w:val="20"/>
              </w:rPr>
              <w:t>legislative purpose</w:t>
            </w:r>
            <w:r w:rsidRPr="006274E5">
              <w:rPr>
                <w:rFonts w:ascii="Times New Roman" w:eastAsia="Times New Roman" w:hAnsi="Times New Roman" w:cs="Times New Roman"/>
                <w:sz w:val="20"/>
                <w:szCs w:val="20"/>
              </w:rPr>
              <w:t xml:space="preserve"> that establish an obligation retroactively are contrary to the fundamental constitutional values</w:t>
            </w:r>
            <w:r w:rsidRPr="006274E5">
              <w:rPr>
                <w:rStyle w:val="Lbjegyzet-hivatkozs"/>
                <w:rFonts w:ascii="Times New Roman" w:eastAsia="Times New Roman" w:hAnsi="Times New Roman" w:cs="Times New Roman"/>
                <w:sz w:val="20"/>
                <w:szCs w:val="20"/>
              </w:rPr>
              <w:footnoteReference w:id="4"/>
            </w:r>
            <w:r w:rsidRPr="006274E5">
              <w:rPr>
                <w:rFonts w:ascii="Times New Roman" w:eastAsia="Times New Roman" w:hAnsi="Times New Roman" w:cs="Times New Roman"/>
                <w:sz w:val="20"/>
                <w:szCs w:val="20"/>
              </w:rPr>
              <w:t xml:space="preserve"> explicitly accepted by the Constitutional Court.”</w:t>
            </w:r>
          </w:p>
        </w:tc>
        <w:tc>
          <w:tcPr>
            <w:tcW w:w="3123" w:type="dxa"/>
            <w:tcBorders>
              <w:top w:val="single" w:sz="4" w:space="0" w:color="auto"/>
              <w:bottom w:val="single" w:sz="4" w:space="0" w:color="auto"/>
            </w:tcBorders>
            <w:shd w:val="clear" w:color="auto" w:fill="F2F2F2" w:themeFill="background1" w:themeFillShade="F2"/>
          </w:tcPr>
          <w:p w14:paraId="0398AA0B" w14:textId="77777777" w:rsidR="00445CE8" w:rsidRPr="006274E5" w:rsidRDefault="00445CE8" w:rsidP="006274E5">
            <w:pPr>
              <w:spacing w:line="240" w:lineRule="auto"/>
              <w:jc w:val="both"/>
              <w:rPr>
                <w:rFonts w:ascii="Times New Roman" w:eastAsia="Times New Roman" w:hAnsi="Times New Roman" w:cs="Times New Roman"/>
                <w:sz w:val="20"/>
                <w:szCs w:val="20"/>
              </w:rPr>
            </w:pPr>
            <w:r w:rsidRPr="006274E5">
              <w:rPr>
                <w:rFonts w:ascii="Times New Roman" w:eastAsia="Times New Roman" w:hAnsi="Times New Roman" w:cs="Times New Roman"/>
                <w:sz w:val="20"/>
                <w:szCs w:val="20"/>
              </w:rPr>
              <w:t xml:space="preserve">“Az </w:t>
            </w:r>
            <w:proofErr w:type="spellStart"/>
            <w:r w:rsidRPr="006274E5">
              <w:rPr>
                <w:rFonts w:ascii="Times New Roman" w:eastAsia="Times New Roman" w:hAnsi="Times New Roman" w:cs="Times New Roman"/>
                <w:sz w:val="20"/>
                <w:szCs w:val="20"/>
              </w:rPr>
              <w:t>ilyen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kötelezettséget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visszamenőlegesen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megállapító</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alkotmánymódosító</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és</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jogalkotói</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szándék</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i/>
                <w:iCs/>
                <w:sz w:val="20"/>
                <w:szCs w:val="20"/>
              </w:rPr>
              <w:t>Alkotmány</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i/>
                <w:iCs/>
                <w:sz w:val="20"/>
                <w:szCs w:val="20"/>
              </w:rPr>
              <w:t>alapvető</w:t>
            </w:r>
            <w:proofErr w:type="spellEnd"/>
            <w:r w:rsidRPr="006274E5">
              <w:rPr>
                <w:rFonts w:ascii="Times New Roman" w:eastAsia="Times New Roman" w:hAnsi="Times New Roman" w:cs="Times New Roman"/>
                <w:i/>
                <w:iCs/>
                <w:sz w:val="20"/>
                <w:szCs w:val="20"/>
              </w:rPr>
              <w:t xml:space="preserve"> </w:t>
            </w:r>
            <w:proofErr w:type="spellStart"/>
            <w:r w:rsidRPr="006274E5">
              <w:rPr>
                <w:rFonts w:ascii="Times New Roman" w:eastAsia="Times New Roman" w:hAnsi="Times New Roman" w:cs="Times New Roman"/>
                <w:i/>
                <w:iCs/>
                <w:sz w:val="20"/>
                <w:szCs w:val="20"/>
              </w:rPr>
              <w:t>értékrendjével</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áll</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szemben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amely</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értékrend</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létét</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az</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Alkotmánybíróság</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kifejezetten</w:t>
            </w:r>
            <w:proofErr w:type="spellEnd"/>
            <w:r w:rsidRPr="006274E5">
              <w:rPr>
                <w:rFonts w:ascii="Times New Roman" w:eastAsia="Times New Roman" w:hAnsi="Times New Roman" w:cs="Times New Roman"/>
                <w:sz w:val="20"/>
                <w:szCs w:val="20"/>
              </w:rPr>
              <w:t xml:space="preserve"> </w:t>
            </w:r>
            <w:proofErr w:type="spellStart"/>
            <w:r w:rsidRPr="006274E5">
              <w:rPr>
                <w:rFonts w:ascii="Times New Roman" w:eastAsia="Times New Roman" w:hAnsi="Times New Roman" w:cs="Times New Roman"/>
                <w:sz w:val="20"/>
                <w:szCs w:val="20"/>
              </w:rPr>
              <w:t>elismerte</w:t>
            </w:r>
            <w:proofErr w:type="spellEnd"/>
            <w:r w:rsidRPr="006274E5">
              <w:rPr>
                <w:rFonts w:ascii="Times New Roman" w:eastAsia="Times New Roman" w:hAnsi="Times New Roman" w:cs="Times New Roman"/>
                <w:sz w:val="20"/>
                <w:szCs w:val="20"/>
              </w:rPr>
              <w:t>.”</w:t>
            </w:r>
          </w:p>
        </w:tc>
      </w:tr>
      <w:tr w:rsidR="00445CE8" w:rsidRPr="006274E5" w14:paraId="60D07AF2" w14:textId="77777777" w:rsidTr="00B074A3">
        <w:trPr>
          <w:trHeight w:val="79"/>
        </w:trPr>
        <w:tc>
          <w:tcPr>
            <w:tcW w:w="1701" w:type="dxa"/>
            <w:tcBorders>
              <w:top w:val="single" w:sz="4" w:space="0" w:color="auto"/>
              <w:bottom w:val="single" w:sz="4" w:space="0" w:color="auto"/>
            </w:tcBorders>
            <w:shd w:val="clear" w:color="auto" w:fill="F2F2F2" w:themeFill="background1" w:themeFillShade="F2"/>
          </w:tcPr>
          <w:p w14:paraId="70B6ADEF"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Historical</w:t>
            </w:r>
          </w:p>
        </w:tc>
        <w:tc>
          <w:tcPr>
            <w:tcW w:w="1701" w:type="dxa"/>
            <w:tcBorders>
              <w:top w:val="single" w:sz="4" w:space="0" w:color="auto"/>
              <w:bottom w:val="single" w:sz="4" w:space="0" w:color="auto"/>
            </w:tcBorders>
            <w:shd w:val="clear" w:color="auto" w:fill="F2F2F2" w:themeFill="background1" w:themeFillShade="F2"/>
          </w:tcPr>
          <w:p w14:paraId="2B3BA263"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Constitutional tradition</w:t>
            </w:r>
          </w:p>
        </w:tc>
        <w:tc>
          <w:tcPr>
            <w:tcW w:w="2835" w:type="dxa"/>
            <w:tcBorders>
              <w:top w:val="single" w:sz="4" w:space="0" w:color="auto"/>
              <w:bottom w:val="single" w:sz="4" w:space="0" w:color="auto"/>
            </w:tcBorders>
            <w:shd w:val="clear" w:color="auto" w:fill="F2F2F2" w:themeFill="background1" w:themeFillShade="F2"/>
          </w:tcPr>
          <w:p w14:paraId="29D16D7C"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 xml:space="preserve">“The essential core of the Constitution is made up of the fundamental principles, which – at the present stage of democratic constitutional development – are accepted in all constitutional states and which are part of the common European </w:t>
            </w:r>
            <w:r w:rsidRPr="006274E5">
              <w:rPr>
                <w:rFonts w:ascii="Times New Roman" w:eastAsia="Times New Roman" w:hAnsi="Times New Roman" w:cs="Times New Roman"/>
                <w:i/>
                <w:iCs/>
                <w:sz w:val="20"/>
                <w:szCs w:val="20"/>
                <w:lang w:val="en-GB"/>
              </w:rPr>
              <w:t>constitutional tradition</w:t>
            </w:r>
            <w:r w:rsidRPr="006274E5">
              <w:rPr>
                <w:rFonts w:ascii="Times New Roman" w:eastAsia="Times New Roman" w:hAnsi="Times New Roman" w:cs="Times New Roman"/>
                <w:sz w:val="20"/>
                <w:szCs w:val="20"/>
                <w:lang w:val="en-GB"/>
              </w:rPr>
              <w:t>.”</w:t>
            </w:r>
          </w:p>
        </w:tc>
        <w:tc>
          <w:tcPr>
            <w:tcW w:w="3123" w:type="dxa"/>
            <w:tcBorders>
              <w:top w:val="single" w:sz="4" w:space="0" w:color="auto"/>
              <w:bottom w:val="single" w:sz="4" w:space="0" w:color="auto"/>
            </w:tcBorders>
            <w:shd w:val="clear" w:color="auto" w:fill="F2F2F2" w:themeFill="background1" w:themeFillShade="F2"/>
          </w:tcPr>
          <w:p w14:paraId="6261E664"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 xml:space="preserve">“Az </w:t>
            </w:r>
            <w:proofErr w:type="spellStart"/>
            <w:r w:rsidRPr="006274E5">
              <w:rPr>
                <w:rFonts w:ascii="Times New Roman" w:eastAsia="Times New Roman" w:hAnsi="Times New Roman" w:cs="Times New Roman"/>
                <w:sz w:val="20"/>
                <w:szCs w:val="20"/>
                <w:lang w:val="en-GB"/>
              </w:rPr>
              <w:t>Alkotmány</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lényeges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magja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körébe</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azok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alapelvi</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normák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tartoznak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amelyek</w:t>
            </w:r>
            <w:proofErr w:type="spellEnd"/>
            <w:r w:rsidRPr="006274E5">
              <w:rPr>
                <w:rFonts w:ascii="Times New Roman" w:eastAsia="Times New Roman" w:hAnsi="Times New Roman" w:cs="Times New Roman"/>
                <w:sz w:val="20"/>
                <w:szCs w:val="20"/>
                <w:lang w:val="en-GB"/>
              </w:rPr>
              <w:t xml:space="preserve"> a </w:t>
            </w:r>
            <w:proofErr w:type="spellStart"/>
            <w:r w:rsidRPr="006274E5">
              <w:rPr>
                <w:rFonts w:ascii="Times New Roman" w:eastAsia="Times New Roman" w:hAnsi="Times New Roman" w:cs="Times New Roman"/>
                <w:sz w:val="20"/>
                <w:szCs w:val="20"/>
                <w:lang w:val="en-GB"/>
              </w:rPr>
              <w:t>demokratikus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alkotmányfejlődés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jelenlegi</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állása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szerint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minden</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alkotmányos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jogállamban</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elfogadottak</w:t>
            </w:r>
            <w:proofErr w:type="spellEnd"/>
            <w:r w:rsidRPr="006274E5">
              <w:rPr>
                <w:rFonts w:ascii="Times New Roman" w:eastAsia="Times New Roman" w:hAnsi="Times New Roman" w:cs="Times New Roman"/>
                <w:sz w:val="20"/>
                <w:szCs w:val="20"/>
                <w:lang w:val="en-GB"/>
              </w:rPr>
              <w:t xml:space="preserve">, a </w:t>
            </w:r>
            <w:proofErr w:type="spellStart"/>
            <w:r w:rsidRPr="006274E5">
              <w:rPr>
                <w:rFonts w:ascii="Times New Roman" w:eastAsia="Times New Roman" w:hAnsi="Times New Roman" w:cs="Times New Roman"/>
                <w:sz w:val="20"/>
                <w:szCs w:val="20"/>
                <w:lang w:val="en-GB"/>
              </w:rPr>
              <w:t>közös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európai</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i/>
                <w:iCs/>
                <w:sz w:val="20"/>
                <w:szCs w:val="20"/>
                <w:lang w:val="en-GB"/>
              </w:rPr>
              <w:t>alkotmányos</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i/>
                <w:iCs/>
                <w:sz w:val="20"/>
                <w:szCs w:val="20"/>
                <w:lang w:val="en-GB"/>
              </w:rPr>
              <w:t>tradíció</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részét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képezik</w:t>
            </w:r>
            <w:proofErr w:type="spellEnd"/>
            <w:r w:rsidRPr="006274E5">
              <w:rPr>
                <w:rFonts w:ascii="Times New Roman" w:eastAsia="Times New Roman" w:hAnsi="Times New Roman" w:cs="Times New Roman"/>
                <w:sz w:val="20"/>
                <w:szCs w:val="20"/>
                <w:lang w:val="en-GB"/>
              </w:rPr>
              <w:t>.”</w:t>
            </w:r>
          </w:p>
        </w:tc>
      </w:tr>
      <w:tr w:rsidR="00445CE8" w:rsidRPr="006274E5" w14:paraId="0181B860" w14:textId="77777777" w:rsidTr="00B074A3">
        <w:trPr>
          <w:trHeight w:val="79"/>
        </w:trPr>
        <w:tc>
          <w:tcPr>
            <w:tcW w:w="1701" w:type="dxa"/>
            <w:tcBorders>
              <w:top w:val="single" w:sz="4" w:space="0" w:color="auto"/>
              <w:bottom w:val="single" w:sz="4" w:space="0" w:color="auto"/>
            </w:tcBorders>
            <w:shd w:val="clear" w:color="auto" w:fill="F2F2F2" w:themeFill="background1" w:themeFillShade="F2"/>
          </w:tcPr>
          <w:p w14:paraId="39096FFB"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rPr>
              <w:t>Beyond the law</w:t>
            </w:r>
          </w:p>
        </w:tc>
        <w:tc>
          <w:tcPr>
            <w:tcW w:w="1701" w:type="dxa"/>
            <w:tcBorders>
              <w:top w:val="single" w:sz="4" w:space="0" w:color="auto"/>
              <w:bottom w:val="single" w:sz="4" w:space="0" w:color="auto"/>
            </w:tcBorders>
            <w:shd w:val="clear" w:color="auto" w:fill="F2F2F2" w:themeFill="background1" w:themeFillShade="F2"/>
          </w:tcPr>
          <w:p w14:paraId="3A19B066"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rPr>
              <w:t>Beyond the law</w:t>
            </w:r>
          </w:p>
        </w:tc>
        <w:tc>
          <w:tcPr>
            <w:tcW w:w="2835" w:type="dxa"/>
            <w:tcBorders>
              <w:top w:val="single" w:sz="4" w:space="0" w:color="auto"/>
              <w:bottom w:val="single" w:sz="4" w:space="0" w:color="auto"/>
            </w:tcBorders>
            <w:shd w:val="clear" w:color="auto" w:fill="F2F2F2" w:themeFill="background1" w:themeFillShade="F2"/>
          </w:tcPr>
          <w:p w14:paraId="06910616"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 xml:space="preserve">“This basic legal value ensures first and foremost that the law gives the measure and form to the exercise of state power, and therefore, it is not possible to give an arbitrary and </w:t>
            </w:r>
            <w:r w:rsidRPr="006274E5">
              <w:rPr>
                <w:rFonts w:ascii="Times New Roman" w:eastAsia="Times New Roman" w:hAnsi="Times New Roman" w:cs="Times New Roman"/>
                <w:i/>
                <w:iCs/>
                <w:sz w:val="20"/>
                <w:szCs w:val="20"/>
                <w:lang w:val="en-GB"/>
              </w:rPr>
              <w:t>beyond the law</w:t>
            </w:r>
            <w:r w:rsidRPr="006274E5">
              <w:rPr>
                <w:rFonts w:ascii="Times New Roman" w:eastAsia="Times New Roman" w:hAnsi="Times New Roman" w:cs="Times New Roman"/>
                <w:sz w:val="20"/>
                <w:szCs w:val="20"/>
                <w:lang w:val="en-GB"/>
              </w:rPr>
              <w:t xml:space="preserve"> interpretation to the state interest.”</w:t>
            </w:r>
          </w:p>
        </w:tc>
        <w:tc>
          <w:tcPr>
            <w:tcW w:w="3123" w:type="dxa"/>
            <w:tcBorders>
              <w:top w:val="single" w:sz="4" w:space="0" w:color="auto"/>
              <w:bottom w:val="single" w:sz="4" w:space="0" w:color="auto"/>
            </w:tcBorders>
            <w:shd w:val="clear" w:color="auto" w:fill="F2F2F2" w:themeFill="background1" w:themeFillShade="F2"/>
          </w:tcPr>
          <w:p w14:paraId="04A322FB"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w:t>
            </w:r>
            <w:proofErr w:type="spellStart"/>
            <w:r w:rsidRPr="006274E5">
              <w:rPr>
                <w:rFonts w:ascii="Times New Roman" w:eastAsia="Times New Roman" w:hAnsi="Times New Roman" w:cs="Times New Roman"/>
                <w:sz w:val="20"/>
                <w:szCs w:val="20"/>
                <w:lang w:val="en-GB"/>
              </w:rPr>
              <w:t>Ez</w:t>
            </w:r>
            <w:proofErr w:type="spellEnd"/>
            <w:r w:rsidRPr="006274E5">
              <w:rPr>
                <w:rFonts w:ascii="Times New Roman" w:eastAsia="Times New Roman" w:hAnsi="Times New Roman" w:cs="Times New Roman"/>
                <w:sz w:val="20"/>
                <w:szCs w:val="20"/>
                <w:lang w:val="en-GB"/>
              </w:rPr>
              <w:t xml:space="preserve"> a </w:t>
            </w:r>
            <w:proofErr w:type="spellStart"/>
            <w:r w:rsidRPr="006274E5">
              <w:rPr>
                <w:rFonts w:ascii="Times New Roman" w:eastAsia="Times New Roman" w:hAnsi="Times New Roman" w:cs="Times New Roman"/>
                <w:sz w:val="20"/>
                <w:szCs w:val="20"/>
                <w:lang w:val="en-GB"/>
              </w:rPr>
              <w:t>jogi</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alapérték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elsősorban</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biztosítja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hogy</w:t>
            </w:r>
            <w:proofErr w:type="spellEnd"/>
            <w:r w:rsidRPr="006274E5">
              <w:rPr>
                <w:rFonts w:ascii="Times New Roman" w:eastAsia="Times New Roman" w:hAnsi="Times New Roman" w:cs="Times New Roman"/>
                <w:sz w:val="20"/>
                <w:szCs w:val="20"/>
                <w:lang w:val="en-GB"/>
              </w:rPr>
              <w:t xml:space="preserve"> a jog ad </w:t>
            </w:r>
            <w:proofErr w:type="spellStart"/>
            <w:r w:rsidRPr="006274E5">
              <w:rPr>
                <w:rFonts w:ascii="Times New Roman" w:eastAsia="Times New Roman" w:hAnsi="Times New Roman" w:cs="Times New Roman"/>
                <w:sz w:val="20"/>
                <w:szCs w:val="20"/>
                <w:lang w:val="en-GB"/>
              </w:rPr>
              <w:t>mértéket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és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formát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államhatalom</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gyakorlásának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ezért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nem</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lehetséges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államérdeknek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i/>
                <w:iCs/>
                <w:sz w:val="20"/>
                <w:szCs w:val="20"/>
                <w:lang w:val="en-GB"/>
              </w:rPr>
              <w:t>jogon</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i/>
                <w:iCs/>
                <w:sz w:val="20"/>
                <w:szCs w:val="20"/>
                <w:lang w:val="en-GB"/>
              </w:rPr>
              <w:t>túli</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önkényes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értelmezést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adni</w:t>
            </w:r>
            <w:proofErr w:type="spellEnd"/>
            <w:r w:rsidRPr="006274E5">
              <w:rPr>
                <w:rFonts w:ascii="Times New Roman" w:eastAsia="Times New Roman" w:hAnsi="Times New Roman" w:cs="Times New Roman"/>
                <w:sz w:val="20"/>
                <w:szCs w:val="20"/>
                <w:lang w:val="en-GB"/>
              </w:rPr>
              <w:t>.”</w:t>
            </w:r>
          </w:p>
        </w:tc>
      </w:tr>
      <w:tr w:rsidR="00445CE8" w:rsidRPr="006274E5" w14:paraId="76644E09" w14:textId="77777777" w:rsidTr="00B074A3">
        <w:trPr>
          <w:trHeight w:val="79"/>
        </w:trPr>
        <w:tc>
          <w:tcPr>
            <w:tcW w:w="1701" w:type="dxa"/>
            <w:tcBorders>
              <w:top w:val="single" w:sz="4" w:space="0" w:color="auto"/>
              <w:bottom w:val="single" w:sz="4" w:space="0" w:color="auto"/>
            </w:tcBorders>
            <w:shd w:val="clear" w:color="auto" w:fill="F2F2F2" w:themeFill="background1" w:themeFillShade="F2"/>
          </w:tcPr>
          <w:p w14:paraId="688AEF66"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rPr>
              <w:t>Decision-based on former decisions</w:t>
            </w:r>
          </w:p>
        </w:tc>
        <w:tc>
          <w:tcPr>
            <w:tcW w:w="1701" w:type="dxa"/>
            <w:tcBorders>
              <w:top w:val="single" w:sz="4" w:space="0" w:color="auto"/>
              <w:bottom w:val="single" w:sz="4" w:space="0" w:color="auto"/>
            </w:tcBorders>
            <w:shd w:val="clear" w:color="auto" w:fill="F2F2F2" w:themeFill="background1" w:themeFillShade="F2"/>
          </w:tcPr>
          <w:p w14:paraId="350F028F" w14:textId="77777777" w:rsidR="00445CE8" w:rsidRPr="006274E5" w:rsidRDefault="00445CE8" w:rsidP="006274E5">
            <w:pPr>
              <w:spacing w:line="240" w:lineRule="auto"/>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rPr>
              <w:t>Constitutional Court (uninterrupted) practice; Constitutional precedent</w:t>
            </w:r>
          </w:p>
        </w:tc>
        <w:tc>
          <w:tcPr>
            <w:tcW w:w="2835" w:type="dxa"/>
            <w:tcBorders>
              <w:top w:val="single" w:sz="4" w:space="0" w:color="auto"/>
              <w:bottom w:val="single" w:sz="4" w:space="0" w:color="auto"/>
            </w:tcBorders>
            <w:shd w:val="clear" w:color="auto" w:fill="F2F2F2" w:themeFill="background1" w:themeFillShade="F2"/>
          </w:tcPr>
          <w:p w14:paraId="1BE1F979"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 xml:space="preserve">“In reviewing the </w:t>
            </w:r>
            <w:r w:rsidRPr="006274E5">
              <w:rPr>
                <w:rFonts w:ascii="Times New Roman" w:eastAsia="Times New Roman" w:hAnsi="Times New Roman" w:cs="Times New Roman"/>
                <w:i/>
                <w:iCs/>
                <w:sz w:val="20"/>
                <w:szCs w:val="20"/>
                <w:lang w:val="en-GB"/>
              </w:rPr>
              <w:t>Constitutional Court's precedent</w:t>
            </w:r>
            <w:r w:rsidRPr="006274E5">
              <w:rPr>
                <w:rFonts w:ascii="Times New Roman" w:eastAsia="Times New Roman" w:hAnsi="Times New Roman" w:cs="Times New Roman"/>
                <w:sz w:val="20"/>
                <w:szCs w:val="20"/>
                <w:lang w:val="en-GB"/>
              </w:rPr>
              <w:t xml:space="preserve"> decisions [it was]</w:t>
            </w:r>
          </w:p>
          <w:p w14:paraId="472C6269"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t>found that</w:t>
            </w:r>
            <w:r w:rsidRPr="006274E5">
              <w:rPr>
                <w:sz w:val="20"/>
                <w:szCs w:val="20"/>
              </w:rPr>
              <w:t xml:space="preserve"> </w:t>
            </w:r>
            <w:r w:rsidRPr="006274E5">
              <w:rPr>
                <w:rFonts w:ascii="Times New Roman" w:eastAsia="Times New Roman" w:hAnsi="Times New Roman" w:cs="Times New Roman"/>
                <w:sz w:val="20"/>
                <w:szCs w:val="20"/>
                <w:lang w:val="en-GB"/>
              </w:rPr>
              <w:t xml:space="preserve">the </w:t>
            </w:r>
            <w:r w:rsidRPr="006274E5">
              <w:rPr>
                <w:rFonts w:ascii="Times New Roman" w:eastAsia="Times New Roman" w:hAnsi="Times New Roman" w:cs="Times New Roman"/>
                <w:i/>
                <w:iCs/>
                <w:sz w:val="20"/>
                <w:szCs w:val="20"/>
                <w:lang w:val="en-GB"/>
              </w:rPr>
              <w:t>practice of the Constitutional Court</w:t>
            </w:r>
            <w:r w:rsidRPr="006274E5">
              <w:rPr>
                <w:rFonts w:ascii="Times New Roman" w:eastAsia="Times New Roman" w:hAnsi="Times New Roman" w:cs="Times New Roman"/>
                <w:sz w:val="20"/>
                <w:szCs w:val="20"/>
                <w:lang w:val="en-GB"/>
              </w:rPr>
              <w:t xml:space="preserve"> is uninterrupted in that it has so far not extended its authority to </w:t>
            </w:r>
            <w:r w:rsidRPr="006274E5">
              <w:rPr>
                <w:rFonts w:ascii="Times New Roman" w:eastAsia="Times New Roman" w:hAnsi="Times New Roman" w:cs="Times New Roman"/>
                <w:sz w:val="20"/>
                <w:szCs w:val="20"/>
                <w:lang w:val="en-GB"/>
              </w:rPr>
              <w:lastRenderedPageBreak/>
              <w:t>review either the Constitution itself or laws amending the Constitution.</w:t>
            </w:r>
          </w:p>
        </w:tc>
        <w:tc>
          <w:tcPr>
            <w:tcW w:w="3123" w:type="dxa"/>
            <w:tcBorders>
              <w:top w:val="single" w:sz="4" w:space="0" w:color="auto"/>
              <w:bottom w:val="single" w:sz="4" w:space="0" w:color="auto"/>
            </w:tcBorders>
            <w:shd w:val="clear" w:color="auto" w:fill="F2F2F2" w:themeFill="background1" w:themeFillShade="F2"/>
          </w:tcPr>
          <w:p w14:paraId="0CC82C9D" w14:textId="77777777" w:rsidR="00445CE8" w:rsidRPr="006274E5" w:rsidRDefault="00445CE8" w:rsidP="006274E5">
            <w:pPr>
              <w:spacing w:line="240" w:lineRule="auto"/>
              <w:jc w:val="both"/>
              <w:rPr>
                <w:rFonts w:ascii="Times New Roman" w:eastAsia="Times New Roman" w:hAnsi="Times New Roman" w:cs="Times New Roman"/>
                <w:sz w:val="20"/>
                <w:szCs w:val="20"/>
                <w:lang w:val="en-GB"/>
              </w:rPr>
            </w:pPr>
            <w:r w:rsidRPr="006274E5">
              <w:rPr>
                <w:rFonts w:ascii="Times New Roman" w:eastAsia="Times New Roman" w:hAnsi="Times New Roman" w:cs="Times New Roman"/>
                <w:sz w:val="20"/>
                <w:szCs w:val="20"/>
                <w:lang w:val="en-GB"/>
              </w:rPr>
              <w:lastRenderedPageBreak/>
              <w:t xml:space="preserve">“Az </w:t>
            </w:r>
            <w:proofErr w:type="spellStart"/>
            <w:r w:rsidRPr="006274E5">
              <w:rPr>
                <w:rFonts w:ascii="Times New Roman" w:eastAsia="Times New Roman" w:hAnsi="Times New Roman" w:cs="Times New Roman"/>
                <w:i/>
                <w:iCs/>
                <w:sz w:val="20"/>
                <w:szCs w:val="20"/>
                <w:lang w:val="en-GB"/>
              </w:rPr>
              <w:t>Alkotmánybíróság</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sz w:val="20"/>
                <w:szCs w:val="20"/>
                <w:lang w:val="en-GB"/>
              </w:rPr>
              <w:t>precedens</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határozatainak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áttekintése</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során</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megállapította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hogy</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i/>
                <w:iCs/>
                <w:sz w:val="20"/>
                <w:szCs w:val="20"/>
                <w:lang w:val="en-GB"/>
              </w:rPr>
              <w:t>töretlen</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i/>
                <w:iCs/>
                <w:sz w:val="20"/>
                <w:szCs w:val="20"/>
                <w:lang w:val="en-GB"/>
              </w:rPr>
              <w:t>az</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i/>
                <w:iCs/>
                <w:sz w:val="20"/>
                <w:szCs w:val="20"/>
                <w:lang w:val="en-GB"/>
              </w:rPr>
              <w:t>Alkotmánybíróság</w:t>
            </w:r>
            <w:proofErr w:type="spellEnd"/>
            <w:r w:rsidRPr="006274E5">
              <w:rPr>
                <w:rFonts w:ascii="Times New Roman" w:eastAsia="Times New Roman" w:hAnsi="Times New Roman" w:cs="Times New Roman"/>
                <w:i/>
                <w:iCs/>
                <w:sz w:val="20"/>
                <w:szCs w:val="20"/>
                <w:lang w:val="en-GB"/>
              </w:rPr>
              <w:t xml:space="preserve"> </w:t>
            </w:r>
            <w:proofErr w:type="spellStart"/>
            <w:r w:rsidRPr="006274E5">
              <w:rPr>
                <w:rFonts w:ascii="Times New Roman" w:eastAsia="Times New Roman" w:hAnsi="Times New Roman" w:cs="Times New Roman"/>
                <w:i/>
                <w:iCs/>
                <w:sz w:val="20"/>
                <w:szCs w:val="20"/>
                <w:lang w:val="en-GB"/>
              </w:rPr>
              <w:t>gyakorlata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abban</w:t>
            </w:r>
            <w:proofErr w:type="spellEnd"/>
            <w:r w:rsidRPr="006274E5">
              <w:rPr>
                <w:rFonts w:ascii="Times New Roman" w:eastAsia="Times New Roman" w:hAnsi="Times New Roman" w:cs="Times New Roman"/>
                <w:sz w:val="20"/>
                <w:szCs w:val="20"/>
                <w:lang w:val="en-GB"/>
              </w:rPr>
              <w:t xml:space="preserve"> a </w:t>
            </w:r>
            <w:proofErr w:type="spellStart"/>
            <w:r w:rsidRPr="006274E5">
              <w:rPr>
                <w:rFonts w:ascii="Times New Roman" w:eastAsia="Times New Roman" w:hAnsi="Times New Roman" w:cs="Times New Roman"/>
                <w:sz w:val="20"/>
                <w:szCs w:val="20"/>
                <w:lang w:val="en-GB"/>
              </w:rPr>
              <w:t>vonatkozásban</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hogy</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sem</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magának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Alkotmánynak</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sem</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az</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Alkotmányt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módosító</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törvényeknek</w:t>
            </w:r>
            <w:proofErr w:type="spellEnd"/>
            <w:r w:rsidRPr="006274E5">
              <w:rPr>
                <w:rFonts w:ascii="Times New Roman" w:eastAsia="Times New Roman" w:hAnsi="Times New Roman" w:cs="Times New Roman"/>
                <w:sz w:val="20"/>
                <w:szCs w:val="20"/>
                <w:lang w:val="en-GB"/>
              </w:rPr>
              <w:t xml:space="preserve"> </w:t>
            </w:r>
            <w:r w:rsidRPr="006274E5">
              <w:rPr>
                <w:rFonts w:ascii="Times New Roman" w:eastAsia="Times New Roman" w:hAnsi="Times New Roman" w:cs="Times New Roman"/>
                <w:sz w:val="20"/>
                <w:szCs w:val="20"/>
                <w:lang w:val="en-GB"/>
              </w:rPr>
              <w:lastRenderedPageBreak/>
              <w:t xml:space="preserve">a </w:t>
            </w:r>
            <w:proofErr w:type="spellStart"/>
            <w:r w:rsidRPr="006274E5">
              <w:rPr>
                <w:rFonts w:ascii="Times New Roman" w:eastAsia="Times New Roman" w:hAnsi="Times New Roman" w:cs="Times New Roman"/>
                <w:sz w:val="20"/>
                <w:szCs w:val="20"/>
                <w:lang w:val="en-GB"/>
              </w:rPr>
              <w:t>felülvizsgálatára</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nem</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terjesztette</w:t>
            </w:r>
            <w:proofErr w:type="spellEnd"/>
            <w:r w:rsidRPr="006274E5">
              <w:rPr>
                <w:rFonts w:ascii="Times New Roman" w:eastAsia="Times New Roman" w:hAnsi="Times New Roman" w:cs="Times New Roman"/>
                <w:sz w:val="20"/>
                <w:szCs w:val="20"/>
                <w:lang w:val="en-GB"/>
              </w:rPr>
              <w:t xml:space="preserve"> ki </w:t>
            </w:r>
            <w:proofErr w:type="spellStart"/>
            <w:r w:rsidRPr="006274E5">
              <w:rPr>
                <w:rFonts w:ascii="Times New Roman" w:eastAsia="Times New Roman" w:hAnsi="Times New Roman" w:cs="Times New Roman"/>
                <w:sz w:val="20"/>
                <w:szCs w:val="20"/>
                <w:lang w:val="en-GB"/>
              </w:rPr>
              <w:t>eddig</w:t>
            </w:r>
            <w:proofErr w:type="spellEnd"/>
            <w:r w:rsidRPr="006274E5">
              <w:rPr>
                <w:rFonts w:ascii="Times New Roman" w:eastAsia="Times New Roman" w:hAnsi="Times New Roman" w:cs="Times New Roman"/>
                <w:sz w:val="20"/>
                <w:szCs w:val="20"/>
                <w:lang w:val="en-GB"/>
              </w:rPr>
              <w:t xml:space="preserve"> a </w:t>
            </w:r>
            <w:proofErr w:type="spellStart"/>
            <w:r w:rsidRPr="006274E5">
              <w:rPr>
                <w:rFonts w:ascii="Times New Roman" w:eastAsia="Times New Roman" w:hAnsi="Times New Roman" w:cs="Times New Roman"/>
                <w:sz w:val="20"/>
                <w:szCs w:val="20"/>
                <w:lang w:val="en-GB"/>
              </w:rPr>
              <w:t>saját</w:t>
            </w:r>
            <w:proofErr w:type="spellEnd"/>
            <w:r w:rsidRPr="006274E5">
              <w:rPr>
                <w:rFonts w:ascii="Times New Roman" w:eastAsia="Times New Roman" w:hAnsi="Times New Roman" w:cs="Times New Roman"/>
                <w:sz w:val="20"/>
                <w:szCs w:val="20"/>
                <w:lang w:val="en-GB"/>
              </w:rPr>
              <w:t xml:space="preserve"> </w:t>
            </w:r>
            <w:proofErr w:type="spellStart"/>
            <w:r w:rsidRPr="006274E5">
              <w:rPr>
                <w:rFonts w:ascii="Times New Roman" w:eastAsia="Times New Roman" w:hAnsi="Times New Roman" w:cs="Times New Roman"/>
                <w:sz w:val="20"/>
                <w:szCs w:val="20"/>
                <w:lang w:val="en-GB"/>
              </w:rPr>
              <w:t>hatáskörét</w:t>
            </w:r>
            <w:proofErr w:type="spellEnd"/>
            <w:r w:rsidRPr="006274E5">
              <w:rPr>
                <w:rFonts w:ascii="Times New Roman" w:eastAsia="Times New Roman" w:hAnsi="Times New Roman" w:cs="Times New Roman"/>
                <w:sz w:val="20"/>
                <w:szCs w:val="20"/>
                <w:lang w:val="en-GB"/>
              </w:rPr>
              <w:t>.”</w:t>
            </w:r>
          </w:p>
        </w:tc>
      </w:tr>
    </w:tbl>
    <w:p w14:paraId="0112A8A8" w14:textId="77777777" w:rsidR="00445CE8" w:rsidRPr="00AC57DB" w:rsidRDefault="00445CE8" w:rsidP="00445CE8">
      <w:pPr>
        <w:spacing w:line="360" w:lineRule="auto"/>
        <w:jc w:val="both"/>
        <w:rPr>
          <w:rFonts w:ascii="Times New Roman" w:eastAsia="Times New Roman" w:hAnsi="Times New Roman" w:cs="Times New Roman"/>
          <w:sz w:val="24"/>
          <w:szCs w:val="24"/>
        </w:rPr>
      </w:pPr>
    </w:p>
    <w:p w14:paraId="43DCF266" w14:textId="77777777" w:rsidR="00445CE8" w:rsidRPr="00AC57DB" w:rsidRDefault="00445CE8" w:rsidP="00445CE8">
      <w:pPr>
        <w:spacing w:line="360" w:lineRule="auto"/>
        <w:jc w:val="both"/>
        <w:rPr>
          <w:rFonts w:ascii="Times New Roman" w:eastAsia="Times New Roman" w:hAnsi="Times New Roman" w:cs="Times New Roman"/>
          <w:sz w:val="24"/>
          <w:szCs w:val="24"/>
        </w:rPr>
      </w:pPr>
      <w:r w:rsidRPr="00AC57DB">
        <w:rPr>
          <w:rFonts w:ascii="Times New Roman" w:eastAsia="Times New Roman" w:hAnsi="Times New Roman" w:cs="Times New Roman"/>
          <w:sz w:val="24"/>
          <w:szCs w:val="24"/>
        </w:rPr>
        <w:t>In conclusion, we consider that the case study presented here provides an excellent illustration of how the methods of reasoning we have examined could be reflected in the reasoning of the Constitutional Court at the textual level. The problem is that these keywords and methods of interpretation are found only occasionally, rather than systematically in all the decisions of the Constitutional Court.</w:t>
      </w:r>
    </w:p>
    <w:p w14:paraId="0E4C03D5" w14:textId="77777777" w:rsidR="00445CE8" w:rsidRPr="00AC57DB" w:rsidRDefault="00445CE8" w:rsidP="00445CE8">
      <w:pPr>
        <w:spacing w:line="360" w:lineRule="auto"/>
      </w:pPr>
    </w:p>
    <w:p w14:paraId="153BB9FB" w14:textId="77777777" w:rsidR="00445CE8" w:rsidRPr="00AC57DB" w:rsidRDefault="00445CE8" w:rsidP="00445CE8">
      <w:pPr>
        <w:spacing w:line="360" w:lineRule="auto"/>
        <w:jc w:val="both"/>
      </w:pPr>
      <w:r w:rsidRPr="00AC57DB">
        <w:fldChar w:fldCharType="begin"/>
      </w:r>
      <w:r w:rsidRPr="00AC57DB">
        <w:instrText xml:space="preserve"> ADDIN EN.REFLIST </w:instrText>
      </w:r>
      <w:r w:rsidRPr="00AC57DB">
        <w:fldChar w:fldCharType="end"/>
      </w:r>
    </w:p>
    <w:p w14:paraId="5280F0FB" w14:textId="77777777" w:rsidR="006C2384" w:rsidRDefault="006C2384"/>
    <w:sectPr w:rsidR="006C2384" w:rsidSect="009A49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9AAE" w14:textId="77777777" w:rsidR="00FD38B2" w:rsidRDefault="00FD38B2" w:rsidP="00445CE8">
      <w:pPr>
        <w:spacing w:line="240" w:lineRule="auto"/>
      </w:pPr>
      <w:r>
        <w:separator/>
      </w:r>
    </w:p>
  </w:endnote>
  <w:endnote w:type="continuationSeparator" w:id="0">
    <w:p w14:paraId="18B0A939" w14:textId="77777777" w:rsidR="00FD38B2" w:rsidRDefault="00FD38B2" w:rsidP="00445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17764"/>
      <w:docPartObj>
        <w:docPartGallery w:val="Page Numbers (Bottom of Page)"/>
        <w:docPartUnique/>
      </w:docPartObj>
    </w:sdtPr>
    <w:sdtContent>
      <w:p w14:paraId="2302849B" w14:textId="77777777" w:rsidR="00127E00" w:rsidRDefault="00000000">
        <w:pPr>
          <w:pStyle w:val="llb"/>
          <w:jc w:val="center"/>
        </w:pPr>
        <w:r>
          <w:fldChar w:fldCharType="begin"/>
        </w:r>
        <w:r>
          <w:instrText>PAGE   \* MERGEFORMAT</w:instrText>
        </w:r>
        <w:r>
          <w:fldChar w:fldCharType="separate"/>
        </w:r>
        <w:r w:rsidRPr="008E7BB7">
          <w:rPr>
            <w:noProof/>
            <w:lang w:val="hu-HU"/>
          </w:rPr>
          <w:t>28</w:t>
        </w:r>
        <w:r>
          <w:fldChar w:fldCharType="end"/>
        </w:r>
      </w:p>
    </w:sdtContent>
  </w:sdt>
  <w:p w14:paraId="32A60321" w14:textId="77777777" w:rsidR="00127E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DCAA" w14:textId="77777777" w:rsidR="00FD38B2" w:rsidRDefault="00FD38B2" w:rsidP="00445CE8">
      <w:pPr>
        <w:spacing w:line="240" w:lineRule="auto"/>
      </w:pPr>
      <w:r>
        <w:separator/>
      </w:r>
    </w:p>
  </w:footnote>
  <w:footnote w:type="continuationSeparator" w:id="0">
    <w:p w14:paraId="46EAD0DE" w14:textId="77777777" w:rsidR="00FD38B2" w:rsidRDefault="00FD38B2" w:rsidP="00445CE8">
      <w:pPr>
        <w:spacing w:line="240" w:lineRule="auto"/>
      </w:pPr>
      <w:r>
        <w:continuationSeparator/>
      </w:r>
    </w:p>
  </w:footnote>
  <w:footnote w:id="1">
    <w:p w14:paraId="2F5A7D1E" w14:textId="77777777" w:rsidR="00445CE8" w:rsidRPr="00C02ED7" w:rsidRDefault="00445CE8" w:rsidP="00445CE8">
      <w:pPr>
        <w:pStyle w:val="Lbjegyzetszveg"/>
        <w:ind w:firstLine="284"/>
        <w:jc w:val="both"/>
        <w:rPr>
          <w:rFonts w:ascii="Times New Roman" w:hAnsi="Times New Roman" w:cs="Times New Roman"/>
          <w:lang w:val="en-GB"/>
        </w:rPr>
      </w:pPr>
      <w:r w:rsidRPr="00C02ED7">
        <w:rPr>
          <w:rStyle w:val="Lbjegyzet-hivatkozs"/>
          <w:rFonts w:ascii="Times New Roman" w:hAnsi="Times New Roman" w:cs="Times New Roman"/>
          <w:lang w:val="en-GB"/>
        </w:rPr>
        <w:footnoteRef/>
      </w:r>
      <w:r w:rsidRPr="00C02ED7">
        <w:rPr>
          <w:rFonts w:ascii="Times New Roman" w:hAnsi="Times New Roman" w:cs="Times New Roman"/>
          <w:lang w:val="en-GB"/>
        </w:rPr>
        <w:t xml:space="preserve"> </w:t>
      </w:r>
      <w:r w:rsidRPr="00C02ED7">
        <w:rPr>
          <w:rFonts w:ascii="Times New Roman" w:eastAsia="Arial" w:hAnsi="Times New Roman" w:cs="Times New Roman"/>
          <w:lang w:val="en-GB" w:eastAsia="hu-HU"/>
        </w:rPr>
        <w:t xml:space="preserve">T. </w:t>
      </w:r>
      <w:proofErr w:type="spellStart"/>
      <w:r w:rsidRPr="00C02ED7">
        <w:rPr>
          <w:rFonts w:ascii="Times New Roman" w:eastAsia="Arial" w:hAnsi="Times New Roman" w:cs="Times New Roman"/>
          <w:lang w:val="en-GB" w:eastAsia="hu-HU"/>
        </w:rPr>
        <w:t>Drinóczi</w:t>
      </w:r>
      <w:proofErr w:type="spellEnd"/>
      <w:r w:rsidRPr="00C02ED7">
        <w:rPr>
          <w:rFonts w:ascii="Times New Roman" w:eastAsia="Arial" w:hAnsi="Times New Roman" w:cs="Times New Roman"/>
          <w:lang w:val="en-GB" w:eastAsia="hu-HU"/>
        </w:rPr>
        <w:t xml:space="preserve">, </w:t>
      </w:r>
      <w:r w:rsidRPr="00C02ED7">
        <w:rPr>
          <w:rFonts w:ascii="Times New Roman" w:hAnsi="Times New Roman" w:cs="Times New Roman"/>
          <w:lang w:val="en-GB"/>
        </w:rPr>
        <w:t>‘</w:t>
      </w:r>
      <w:proofErr w:type="spellStart"/>
      <w:r w:rsidRPr="00C02ED7">
        <w:rPr>
          <w:rFonts w:ascii="Times New Roman" w:eastAsia="Arial" w:hAnsi="Times New Roman" w:cs="Times New Roman"/>
          <w:lang w:val="en-GB" w:eastAsia="hu-HU"/>
        </w:rPr>
        <w:t>Gondolatok</w:t>
      </w:r>
      <w:proofErr w:type="spellEnd"/>
      <w:r w:rsidRPr="00C02ED7">
        <w:rPr>
          <w:rFonts w:ascii="Times New Roman" w:eastAsia="Arial" w:hAnsi="Times New Roman" w:cs="Times New Roman"/>
          <w:lang w:val="en-GB" w:eastAsia="hu-HU"/>
        </w:rPr>
        <w:t xml:space="preserve"> </w:t>
      </w:r>
      <w:proofErr w:type="spellStart"/>
      <w:r w:rsidRPr="00C02ED7">
        <w:rPr>
          <w:rFonts w:ascii="Times New Roman" w:eastAsia="Arial" w:hAnsi="Times New Roman" w:cs="Times New Roman"/>
          <w:lang w:val="en-GB" w:eastAsia="hu-HU"/>
        </w:rPr>
        <w:t>az</w:t>
      </w:r>
      <w:proofErr w:type="spellEnd"/>
      <w:r w:rsidRPr="00C02ED7">
        <w:rPr>
          <w:rFonts w:ascii="Times New Roman" w:eastAsia="Arial" w:hAnsi="Times New Roman" w:cs="Times New Roman"/>
          <w:lang w:val="en-GB" w:eastAsia="hu-HU"/>
        </w:rPr>
        <w:t xml:space="preserve"> </w:t>
      </w:r>
      <w:proofErr w:type="spellStart"/>
      <w:r w:rsidRPr="00C02ED7">
        <w:rPr>
          <w:rFonts w:ascii="Times New Roman" w:eastAsia="Arial" w:hAnsi="Times New Roman" w:cs="Times New Roman"/>
          <w:lang w:val="en-GB" w:eastAsia="hu-HU"/>
        </w:rPr>
        <w:t>Alkotmánybíróság</w:t>
      </w:r>
      <w:proofErr w:type="spellEnd"/>
      <w:r w:rsidRPr="00C02ED7">
        <w:rPr>
          <w:rFonts w:ascii="Times New Roman" w:eastAsia="Arial" w:hAnsi="Times New Roman" w:cs="Times New Roman"/>
          <w:lang w:val="en-GB" w:eastAsia="hu-HU"/>
        </w:rPr>
        <w:t xml:space="preserve"> 61/2011. (VII. 12.) AB </w:t>
      </w:r>
      <w:proofErr w:type="spellStart"/>
      <w:r w:rsidRPr="00C02ED7">
        <w:rPr>
          <w:rFonts w:ascii="Times New Roman" w:eastAsia="Arial" w:hAnsi="Times New Roman" w:cs="Times New Roman"/>
          <w:lang w:val="en-GB" w:eastAsia="hu-HU"/>
        </w:rPr>
        <w:t>határozatával</w:t>
      </w:r>
      <w:proofErr w:type="spellEnd"/>
      <w:r w:rsidRPr="00C02ED7">
        <w:rPr>
          <w:rFonts w:ascii="Times New Roman" w:eastAsia="Arial" w:hAnsi="Times New Roman" w:cs="Times New Roman"/>
          <w:lang w:val="en-GB" w:eastAsia="hu-HU"/>
        </w:rPr>
        <w:t xml:space="preserve"> </w:t>
      </w:r>
      <w:proofErr w:type="spellStart"/>
      <w:r w:rsidRPr="00C02ED7">
        <w:rPr>
          <w:rFonts w:ascii="Times New Roman" w:eastAsia="Arial" w:hAnsi="Times New Roman" w:cs="Times New Roman"/>
          <w:lang w:val="en-GB" w:eastAsia="hu-HU"/>
        </w:rPr>
        <w:t>kapcsolatban</w:t>
      </w:r>
      <w:proofErr w:type="spellEnd"/>
      <w:r w:rsidRPr="00C02ED7">
        <w:rPr>
          <w:rFonts w:ascii="Times New Roman" w:hAnsi="Times New Roman" w:cs="Times New Roman"/>
          <w:lang w:val="en-GB"/>
        </w:rPr>
        <w:t>’ 1</w:t>
      </w:r>
      <w:r w:rsidRPr="00C02ED7">
        <w:rPr>
          <w:rFonts w:ascii="Times New Roman" w:eastAsia="Arial" w:hAnsi="Times New Roman" w:cs="Times New Roman"/>
          <w:lang w:val="en-GB" w:eastAsia="hu-HU"/>
        </w:rPr>
        <w:t> </w:t>
      </w:r>
      <w:r w:rsidRPr="00C02ED7">
        <w:rPr>
          <w:rFonts w:ascii="Times New Roman" w:eastAsia="Arial" w:hAnsi="Times New Roman" w:cs="Times New Roman"/>
          <w:i/>
          <w:iCs/>
          <w:lang w:val="en-GB" w:eastAsia="hu-HU"/>
        </w:rPr>
        <w:t>Jura</w:t>
      </w:r>
      <w:r w:rsidRPr="00C02ED7">
        <w:rPr>
          <w:rFonts w:ascii="Times New Roman" w:eastAsia="Arial" w:hAnsi="Times New Roman" w:cs="Times New Roman"/>
          <w:lang w:val="en-GB" w:eastAsia="hu-HU"/>
        </w:rPr>
        <w:t xml:space="preserve">, </w:t>
      </w:r>
      <w:r w:rsidRPr="00C02ED7">
        <w:rPr>
          <w:rFonts w:ascii="Times New Roman" w:hAnsi="Times New Roman" w:cs="Times New Roman"/>
          <w:lang w:val="en-GB"/>
        </w:rPr>
        <w:t xml:space="preserve">(2012) pp. </w:t>
      </w:r>
      <w:r w:rsidRPr="00C02ED7">
        <w:rPr>
          <w:rFonts w:ascii="Times New Roman" w:eastAsia="Times New Roman" w:hAnsi="Times New Roman" w:cs="Times New Roman"/>
          <w:lang w:val="en-GB"/>
        </w:rPr>
        <w:t>37–44.</w:t>
      </w:r>
    </w:p>
  </w:footnote>
  <w:footnote w:id="2">
    <w:p w14:paraId="3D7EC4CF" w14:textId="77777777" w:rsidR="00445CE8" w:rsidRPr="00C02ED7" w:rsidRDefault="00445CE8" w:rsidP="00445CE8">
      <w:pPr>
        <w:spacing w:line="240" w:lineRule="auto"/>
        <w:ind w:firstLine="284"/>
        <w:jc w:val="both"/>
        <w:rPr>
          <w:rFonts w:ascii="Times New Roman" w:hAnsi="Times New Roman" w:cs="Times New Roman"/>
          <w:sz w:val="20"/>
          <w:szCs w:val="20"/>
          <w:lang w:val="en-GB"/>
        </w:rPr>
      </w:pPr>
      <w:r w:rsidRPr="00C02ED7">
        <w:rPr>
          <w:rStyle w:val="Lbjegyzet-hivatkozs"/>
          <w:rFonts w:ascii="Times New Roman" w:hAnsi="Times New Roman" w:cs="Times New Roman"/>
          <w:sz w:val="20"/>
          <w:szCs w:val="20"/>
          <w:lang w:val="en-GB"/>
        </w:rPr>
        <w:footnoteRef/>
      </w:r>
      <w:r w:rsidRPr="00C02ED7">
        <w:rPr>
          <w:rFonts w:ascii="Times New Roman" w:hAnsi="Times New Roman" w:cs="Times New Roman"/>
          <w:sz w:val="20"/>
          <w:szCs w:val="20"/>
          <w:lang w:val="en-GB"/>
        </w:rPr>
        <w:t xml:space="preserve"> In Hungarian the following keywords appear in the reasoning of the decision: “</w:t>
      </w:r>
      <w:proofErr w:type="spellStart"/>
      <w:r w:rsidRPr="00C02ED7">
        <w:rPr>
          <w:rFonts w:ascii="Times New Roman" w:hAnsi="Times New Roman" w:cs="Times New Roman"/>
          <w:sz w:val="20"/>
          <w:szCs w:val="20"/>
          <w:lang w:val="en-GB"/>
        </w:rPr>
        <w:t>nyelvtani</w:t>
      </w:r>
      <w:proofErr w:type="spellEnd"/>
      <w:r w:rsidRPr="00C02ED7">
        <w:rPr>
          <w:rFonts w:ascii="Times New Roman" w:hAnsi="Times New Roman" w:cs="Times New Roman"/>
          <w:sz w:val="20"/>
          <w:szCs w:val="20"/>
          <w:lang w:val="en-GB"/>
        </w:rPr>
        <w:t>”; “</w:t>
      </w:r>
      <w:proofErr w:type="spellStart"/>
      <w:r w:rsidRPr="00C02ED7">
        <w:rPr>
          <w:rFonts w:ascii="Times New Roman" w:hAnsi="Times New Roman" w:cs="Times New Roman"/>
          <w:sz w:val="20"/>
          <w:szCs w:val="20"/>
          <w:lang w:val="en-GB"/>
        </w:rPr>
        <w:t>nyelvtani</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értelmezés</w:t>
      </w:r>
      <w:proofErr w:type="spellEnd"/>
      <w:r w:rsidRPr="00C02ED7">
        <w:rPr>
          <w:rFonts w:ascii="Times New Roman" w:hAnsi="Times New Roman" w:cs="Times New Roman"/>
          <w:sz w:val="20"/>
          <w:szCs w:val="20"/>
          <w:lang w:val="en-GB"/>
        </w:rPr>
        <w:t>”; “</w:t>
      </w:r>
      <w:proofErr w:type="spellStart"/>
      <w:r w:rsidRPr="00C02ED7">
        <w:rPr>
          <w:rFonts w:ascii="Times New Roman" w:eastAsia="Times New Roman" w:hAnsi="Times New Roman" w:cs="Times New Roman"/>
          <w:color w:val="000000"/>
          <w:sz w:val="20"/>
          <w:szCs w:val="20"/>
          <w:lang w:val="en-GB"/>
        </w:rPr>
        <w:t>Alkotmány</w:t>
      </w:r>
      <w:proofErr w:type="spellEnd"/>
      <w:r w:rsidRPr="00C02ED7">
        <w:rPr>
          <w:rFonts w:ascii="Times New Roman" w:eastAsia="Times New Roman" w:hAnsi="Times New Roman" w:cs="Times New Roman"/>
          <w:color w:val="000000"/>
          <w:sz w:val="20"/>
          <w:szCs w:val="20"/>
          <w:lang w:val="en-GB"/>
        </w:rPr>
        <w:t xml:space="preserve"> </w:t>
      </w:r>
      <w:proofErr w:type="spellStart"/>
      <w:r w:rsidRPr="00C02ED7">
        <w:rPr>
          <w:rFonts w:ascii="Times New Roman" w:eastAsia="Times New Roman" w:hAnsi="Times New Roman" w:cs="Times New Roman"/>
          <w:color w:val="000000"/>
          <w:sz w:val="20"/>
          <w:szCs w:val="20"/>
          <w:lang w:val="en-GB"/>
        </w:rPr>
        <w:t>szövege</w:t>
      </w:r>
      <w:proofErr w:type="spellEnd"/>
      <w:r w:rsidRPr="00C02ED7">
        <w:rPr>
          <w:rFonts w:ascii="Times New Roman" w:eastAsia="Times New Roman" w:hAnsi="Times New Roman" w:cs="Times New Roman"/>
          <w:color w:val="000000"/>
          <w:sz w:val="20"/>
          <w:szCs w:val="20"/>
          <w:lang w:val="en-GB"/>
        </w:rPr>
        <w:t>”; “</w:t>
      </w:r>
      <w:proofErr w:type="spellStart"/>
      <w:r w:rsidRPr="00C02ED7">
        <w:rPr>
          <w:rFonts w:ascii="Times New Roman" w:eastAsia="Times New Roman" w:hAnsi="Times New Roman" w:cs="Times New Roman"/>
          <w:color w:val="000000"/>
          <w:sz w:val="20"/>
          <w:szCs w:val="20"/>
          <w:lang w:val="en-GB"/>
        </w:rPr>
        <w:t>tradíció</w:t>
      </w:r>
      <w:proofErr w:type="spellEnd"/>
      <w:r w:rsidRPr="00C02ED7">
        <w:rPr>
          <w:rFonts w:ascii="Times New Roman" w:eastAsia="Times New Roman" w:hAnsi="Times New Roman" w:cs="Times New Roman"/>
          <w:color w:val="000000"/>
          <w:sz w:val="20"/>
          <w:szCs w:val="20"/>
          <w:lang w:val="en-GB"/>
        </w:rPr>
        <w:t>”; “</w:t>
      </w:r>
      <w:proofErr w:type="spellStart"/>
      <w:r w:rsidRPr="00C02ED7">
        <w:rPr>
          <w:rFonts w:ascii="Times New Roman" w:hAnsi="Times New Roman" w:cs="Times New Roman"/>
          <w:sz w:val="20"/>
          <w:szCs w:val="20"/>
          <w:lang w:val="en-GB"/>
        </w:rPr>
        <w:t>Alkotmány</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értékrendje</w:t>
      </w:r>
      <w:proofErr w:type="spellEnd"/>
      <w:r w:rsidRPr="00C02ED7">
        <w:rPr>
          <w:rFonts w:ascii="Times New Roman" w:hAnsi="Times New Roman" w:cs="Times New Roman"/>
          <w:sz w:val="20"/>
          <w:szCs w:val="20"/>
          <w:lang w:val="en-GB"/>
        </w:rPr>
        <w:t>”; “</w:t>
      </w:r>
      <w:proofErr w:type="spellStart"/>
      <w:r w:rsidRPr="00C02ED7">
        <w:rPr>
          <w:rFonts w:ascii="Times New Roman" w:hAnsi="Times New Roman" w:cs="Times New Roman"/>
          <w:sz w:val="20"/>
          <w:szCs w:val="20"/>
          <w:lang w:val="en-GB"/>
        </w:rPr>
        <w:t>jogalkotó</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célja</w:t>
      </w:r>
      <w:proofErr w:type="spellEnd"/>
      <w:r w:rsidRPr="00C02ED7">
        <w:rPr>
          <w:rFonts w:ascii="Times New Roman" w:hAnsi="Times New Roman" w:cs="Times New Roman"/>
          <w:sz w:val="20"/>
          <w:szCs w:val="20"/>
          <w:lang w:val="en-GB"/>
        </w:rPr>
        <w:t>”; “</w:t>
      </w:r>
      <w:proofErr w:type="spellStart"/>
      <w:r w:rsidRPr="00C02ED7">
        <w:rPr>
          <w:rFonts w:ascii="Times New Roman" w:hAnsi="Times New Roman" w:cs="Times New Roman"/>
          <w:sz w:val="20"/>
          <w:szCs w:val="20"/>
          <w:lang w:val="en-GB"/>
        </w:rPr>
        <w:t>jogon</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túli</w:t>
      </w:r>
      <w:proofErr w:type="spellEnd"/>
      <w:r w:rsidRPr="00C02ED7">
        <w:rPr>
          <w:rFonts w:ascii="Times New Roman" w:hAnsi="Times New Roman" w:cs="Times New Roman"/>
          <w:sz w:val="20"/>
          <w:szCs w:val="20"/>
          <w:lang w:val="en-GB"/>
        </w:rPr>
        <w:t>”; “</w:t>
      </w:r>
      <w:proofErr w:type="spellStart"/>
      <w:r w:rsidRPr="00C02ED7">
        <w:rPr>
          <w:rFonts w:ascii="Times New Roman" w:hAnsi="Times New Roman" w:cs="Times New Roman"/>
          <w:sz w:val="20"/>
          <w:szCs w:val="20"/>
          <w:lang w:val="en-GB"/>
        </w:rPr>
        <w:t>jogon</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kívüli</w:t>
      </w:r>
      <w:proofErr w:type="spellEnd"/>
      <w:r w:rsidRPr="00C02ED7">
        <w:rPr>
          <w:rFonts w:ascii="Times New Roman" w:hAnsi="Times New Roman" w:cs="Times New Roman"/>
          <w:sz w:val="20"/>
          <w:szCs w:val="20"/>
          <w:lang w:val="en-GB"/>
        </w:rPr>
        <w:t>”; “</w:t>
      </w:r>
      <w:proofErr w:type="spellStart"/>
      <w:r w:rsidRPr="00C02ED7">
        <w:rPr>
          <w:rFonts w:ascii="Times New Roman" w:hAnsi="Times New Roman" w:cs="Times New Roman"/>
          <w:sz w:val="20"/>
          <w:szCs w:val="20"/>
          <w:lang w:val="en-GB"/>
        </w:rPr>
        <w:t>Alkotmánybíróság</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állandó</w:t>
      </w:r>
      <w:proofErr w:type="spellEnd"/>
      <w:r w:rsidRPr="00C02ED7">
        <w:rPr>
          <w:rFonts w:ascii="Times New Roman" w:hAnsi="Times New Roman" w:cs="Times New Roman"/>
          <w:sz w:val="20"/>
          <w:szCs w:val="20"/>
          <w:lang w:val="en-GB"/>
        </w:rPr>
        <w:t xml:space="preserve"> </w:t>
      </w:r>
      <w:proofErr w:type="spellStart"/>
      <w:r w:rsidRPr="00C02ED7">
        <w:rPr>
          <w:rFonts w:ascii="Times New Roman" w:hAnsi="Times New Roman" w:cs="Times New Roman"/>
          <w:sz w:val="20"/>
          <w:szCs w:val="20"/>
          <w:lang w:val="en-GB"/>
        </w:rPr>
        <w:t>gyakorlata</w:t>
      </w:r>
      <w:proofErr w:type="spellEnd"/>
      <w:r w:rsidRPr="00C02ED7">
        <w:rPr>
          <w:rFonts w:ascii="Times New Roman" w:hAnsi="Times New Roman" w:cs="Times New Roman"/>
          <w:sz w:val="20"/>
          <w:szCs w:val="20"/>
          <w:lang w:val="en-GB"/>
        </w:rPr>
        <w:t>”.</w:t>
      </w:r>
    </w:p>
  </w:footnote>
  <w:footnote w:id="3">
    <w:p w14:paraId="43511C08" w14:textId="77777777" w:rsidR="00445CE8" w:rsidRPr="00C02ED7" w:rsidRDefault="00445CE8" w:rsidP="00445CE8">
      <w:pPr>
        <w:spacing w:line="240" w:lineRule="auto"/>
        <w:ind w:firstLine="284"/>
        <w:jc w:val="both"/>
        <w:rPr>
          <w:rFonts w:ascii="Times New Roman" w:hAnsi="Times New Roman" w:cs="Times New Roman"/>
          <w:sz w:val="20"/>
          <w:szCs w:val="20"/>
          <w:lang w:val="en-GB"/>
        </w:rPr>
      </w:pPr>
      <w:r w:rsidRPr="00C02ED7">
        <w:rPr>
          <w:rFonts w:ascii="Times New Roman" w:hAnsi="Times New Roman" w:cs="Times New Roman"/>
          <w:sz w:val="20"/>
          <w:szCs w:val="20"/>
          <w:vertAlign w:val="superscript"/>
          <w:lang w:val="en-GB"/>
        </w:rPr>
        <w:footnoteRef/>
      </w:r>
      <w:r w:rsidRPr="00C02ED7">
        <w:rPr>
          <w:rFonts w:ascii="Times New Roman" w:hAnsi="Times New Roman" w:cs="Times New Roman"/>
          <w:sz w:val="20"/>
          <w:szCs w:val="20"/>
          <w:lang w:val="en-GB"/>
        </w:rPr>
        <w:t xml:space="preserve"> This sentence is also an example of linguistic interpretation.</w:t>
      </w:r>
    </w:p>
  </w:footnote>
  <w:footnote w:id="4">
    <w:p w14:paraId="19AD28CA" w14:textId="77777777" w:rsidR="00445CE8" w:rsidRPr="00C02ED7" w:rsidRDefault="00445CE8" w:rsidP="00445CE8">
      <w:pPr>
        <w:pStyle w:val="Lbjegyzetszveg"/>
        <w:ind w:firstLine="284"/>
        <w:rPr>
          <w:rFonts w:ascii="Times New Roman" w:hAnsi="Times New Roman" w:cs="Times New Roman"/>
          <w:lang w:val="en-GB"/>
        </w:rPr>
      </w:pPr>
      <w:r w:rsidRPr="00C02ED7">
        <w:rPr>
          <w:rStyle w:val="Lbjegyzet-hivatkozs"/>
          <w:rFonts w:ascii="Times New Roman" w:hAnsi="Times New Roman" w:cs="Times New Roman"/>
          <w:lang w:val="en-GB"/>
        </w:rPr>
        <w:footnoteRef/>
      </w:r>
      <w:r w:rsidRPr="00C02ED7">
        <w:rPr>
          <w:rFonts w:ascii="Times New Roman" w:hAnsi="Times New Roman" w:cs="Times New Roman"/>
          <w:lang w:val="en-GB"/>
        </w:rPr>
        <w:t xml:space="preserve"> This sentence is also an example of </w:t>
      </w:r>
      <w:r w:rsidRPr="00C02ED7">
        <w:rPr>
          <w:rFonts w:ascii="Times New Roman" w:eastAsia="Times New Roman" w:hAnsi="Times New Roman" w:cs="Times New Roman"/>
          <w:color w:val="000000"/>
          <w:lang w:val="en-GB"/>
        </w:rPr>
        <w:t>contextual</w:t>
      </w:r>
      <w:r w:rsidRPr="00C02ED7">
        <w:rPr>
          <w:rFonts w:ascii="Times New Roman" w:hAnsi="Times New Roman" w:cs="Times New Roman"/>
          <w:lang w:val="en-GB"/>
        </w:rPr>
        <w:t xml:space="preserve"> interpretation.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2D0DAF"/>
    <w:rsid w:val="00337B8A"/>
    <w:rsid w:val="00445CE8"/>
    <w:rsid w:val="004B1237"/>
    <w:rsid w:val="005201A7"/>
    <w:rsid w:val="0062343F"/>
    <w:rsid w:val="006274E5"/>
    <w:rsid w:val="006C2384"/>
    <w:rsid w:val="009A49F4"/>
    <w:rsid w:val="00DD24A4"/>
    <w:rsid w:val="00F21D05"/>
    <w:rsid w:val="00FD38B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1B5B"/>
  <w15:chartTrackingRefBased/>
  <w15:docId w15:val="{F27E9584-F391-474A-84EA-DEB522A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45CE8"/>
    <w:pPr>
      <w:spacing w:after="0" w:line="276" w:lineRule="auto"/>
    </w:pPr>
    <w:rPr>
      <w:rFonts w:ascii="Arial" w:eastAsia="Arial" w:hAnsi="Arial" w:cs="Arial"/>
      <w:lang w:val="en" w:eastAsia="hu-HU"/>
    </w:rPr>
  </w:style>
  <w:style w:type="paragraph" w:styleId="Cmsor3">
    <w:name w:val="heading 3"/>
    <w:basedOn w:val="Norml"/>
    <w:next w:val="Norml"/>
    <w:link w:val="Cmsor3Char"/>
    <w:uiPriority w:val="9"/>
    <w:unhideWhenUsed/>
    <w:qFormat/>
    <w:rsid w:val="00445CE8"/>
    <w:pPr>
      <w:keepNext/>
      <w:keepLines/>
      <w:spacing w:before="320" w:after="80"/>
      <w:outlineLvl w:val="2"/>
    </w:pPr>
    <w:rPr>
      <w:color w:val="434343"/>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45CE8"/>
    <w:rPr>
      <w:rFonts w:ascii="Arial" w:eastAsia="Arial" w:hAnsi="Arial" w:cs="Arial"/>
      <w:color w:val="434343"/>
      <w:sz w:val="28"/>
      <w:szCs w:val="28"/>
      <w:lang w:val="en" w:eastAsia="hu-HU"/>
    </w:rPr>
  </w:style>
  <w:style w:type="paragraph" w:styleId="Lbjegyzetszveg">
    <w:name w:val="footnote text"/>
    <w:aliases w:val="EUMC_Lábjegyzetszöveg,Footnote,Allmärkuse tekst Märk,fn,fn1,fn2,footnote text1,fn3,footnote text2,footnote text,Text pozn. pod čarou Char,Footnote Text Char Char Char Char,Footnote Text Char Char Char,Footnotes,Footnote ak,fn Char1"/>
    <w:basedOn w:val="Norml"/>
    <w:link w:val="LbjegyzetszvegChar"/>
    <w:uiPriority w:val="99"/>
    <w:unhideWhenUsed/>
    <w:qFormat/>
    <w:rsid w:val="00445CE8"/>
    <w:pPr>
      <w:spacing w:line="240" w:lineRule="auto"/>
    </w:pPr>
    <w:rPr>
      <w:rFonts w:asciiTheme="minorHAnsi" w:eastAsiaTheme="minorHAnsi" w:hAnsiTheme="minorHAnsi" w:cstheme="minorBidi"/>
      <w:sz w:val="20"/>
      <w:szCs w:val="20"/>
      <w:lang w:val="hu-HU" w:eastAsia="en-US"/>
    </w:rPr>
  </w:style>
  <w:style w:type="character" w:customStyle="1" w:styleId="LbjegyzetszvegChar">
    <w:name w:val="Lábjegyzetszöveg Char"/>
    <w:aliases w:val="EUMC_Lábjegyzetszöveg Char,Footnote Char,Allmärkuse tekst Märk Char,fn Char,fn1 Char,fn2 Char,footnote text1 Char,fn3 Char,footnote text2 Char,footnote text Char,Text pozn. pod čarou Char Char,Footnote Text Char Char Char Char Char"/>
    <w:basedOn w:val="Bekezdsalapbettpusa"/>
    <w:link w:val="Lbjegyzetszveg"/>
    <w:uiPriority w:val="99"/>
    <w:rsid w:val="00445CE8"/>
    <w:rPr>
      <w:sz w:val="20"/>
      <w:szCs w:val="20"/>
      <w:lang w:val="hu-HU"/>
    </w:rPr>
  </w:style>
  <w:style w:type="character" w:styleId="Lbjegyzet-hivatkozs">
    <w:name w:val="footnote reference"/>
    <w:aliases w:val="Footnote reference number,Footnote symbol,note TESI,Footnote Reference in text,Ref,de nota al pie,Footnote number,callout,Marque note bas de page,Footnotes refss,FZ,*,stylish,Footnote Reference1,art-rjuam,Footnote Refernece,4_G,fr"/>
    <w:basedOn w:val="Bekezdsalapbettpusa"/>
    <w:link w:val="FootnotesymbolCarZchn"/>
    <w:uiPriority w:val="99"/>
    <w:unhideWhenUsed/>
    <w:qFormat/>
    <w:rsid w:val="00445CE8"/>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link w:val="Lbjegyzet-hivatkozs"/>
    <w:autoRedefine/>
    <w:uiPriority w:val="99"/>
    <w:rsid w:val="00445CE8"/>
    <w:pPr>
      <w:spacing w:after="160" w:line="240" w:lineRule="exact"/>
      <w:jc w:val="both"/>
    </w:pPr>
    <w:rPr>
      <w:rFonts w:asciiTheme="minorHAnsi" w:eastAsiaTheme="minorHAnsi" w:hAnsiTheme="minorHAnsi" w:cstheme="minorBidi"/>
      <w:vertAlign w:val="superscript"/>
      <w:lang w:val="en-GB" w:eastAsia="en-US"/>
    </w:rPr>
  </w:style>
  <w:style w:type="paragraph" w:styleId="llb">
    <w:name w:val="footer"/>
    <w:basedOn w:val="Norml"/>
    <w:link w:val="llbChar"/>
    <w:uiPriority w:val="99"/>
    <w:unhideWhenUsed/>
    <w:rsid w:val="00445CE8"/>
    <w:pPr>
      <w:tabs>
        <w:tab w:val="center" w:pos="4536"/>
        <w:tab w:val="right" w:pos="9072"/>
      </w:tabs>
      <w:spacing w:line="240" w:lineRule="auto"/>
    </w:pPr>
  </w:style>
  <w:style w:type="character" w:customStyle="1" w:styleId="llbChar">
    <w:name w:val="Élőláb Char"/>
    <w:basedOn w:val="Bekezdsalapbettpusa"/>
    <w:link w:val="llb"/>
    <w:uiPriority w:val="99"/>
    <w:rsid w:val="00445CE8"/>
    <w:rPr>
      <w:rFonts w:ascii="Arial" w:eastAsia="Arial" w:hAnsi="Arial" w:cs="Arial"/>
      <w:lang w:val="en" w:eastAsia="hu-HU"/>
    </w:rPr>
  </w:style>
  <w:style w:type="table" w:styleId="Tblzategyszer2">
    <w:name w:val="Plain Table 2"/>
    <w:basedOn w:val="Normltblzat"/>
    <w:uiPriority w:val="42"/>
    <w:rsid w:val="00445CE8"/>
    <w:pPr>
      <w:spacing w:after="0" w:line="240" w:lineRule="auto"/>
    </w:pPr>
    <w:rPr>
      <w:rFonts w:ascii="Arial" w:eastAsia="Arial" w:hAnsi="Arial" w:cs="Arial"/>
      <w:lang w:val="en" w:eastAsia="hu-H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zvegtrzs">
    <w:name w:val="Body Text"/>
    <w:basedOn w:val="Norml"/>
    <w:link w:val="SzvegtrzsChar"/>
    <w:uiPriority w:val="1"/>
    <w:qFormat/>
    <w:rsid w:val="00445CE8"/>
    <w:pPr>
      <w:widowControl w:val="0"/>
      <w:autoSpaceDE w:val="0"/>
      <w:autoSpaceDN w:val="0"/>
      <w:spacing w:before="1" w:line="240" w:lineRule="auto"/>
    </w:pPr>
    <w:rPr>
      <w:rFonts w:ascii="Times New Roman" w:eastAsia="Times New Roman" w:hAnsi="Times New Roman" w:cs="Times New Roman"/>
      <w:sz w:val="24"/>
      <w:szCs w:val="24"/>
      <w:lang w:val="en-US" w:eastAsia="en-US"/>
    </w:rPr>
  </w:style>
  <w:style w:type="character" w:customStyle="1" w:styleId="SzvegtrzsChar">
    <w:name w:val="Szövegtörzs Char"/>
    <w:basedOn w:val="Bekezdsalapbettpusa"/>
    <w:link w:val="Szvegtrzs"/>
    <w:uiPriority w:val="1"/>
    <w:rsid w:val="00445CE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5029</Characters>
  <Application>Microsoft Office Word</Application>
  <DocSecurity>0</DocSecurity>
  <Lines>128</Lines>
  <Paragraphs>73</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Rebeka</dc:creator>
  <cp:keywords/>
  <dc:description/>
  <cp:lastModifiedBy>Kiss Rebeka</cp:lastModifiedBy>
  <cp:revision>4</cp:revision>
  <dcterms:created xsi:type="dcterms:W3CDTF">2022-10-19T11:44:00Z</dcterms:created>
  <dcterms:modified xsi:type="dcterms:W3CDTF">2023-05-18T19:11:00Z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626290212182a6173a14d9d4107c7047395fc5a0d1763c84d51a79733cc16029</vt:lpwstr>
  </property>
</Properties>
</file>