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025" w:rsidRPr="00CE2242" w:rsidRDefault="00134025" w:rsidP="00134025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CE2242">
        <w:rPr>
          <w:rFonts w:ascii="Times New Roman" w:hAnsi="Times New Roman"/>
          <w:sz w:val="20"/>
          <w:szCs w:val="20"/>
          <w:lang w:val="pl-PL"/>
        </w:rPr>
        <w:t>REFERENCES</w:t>
      </w:r>
    </w:p>
    <w:p w:rsidR="00134025" w:rsidRPr="00CE2242" w:rsidRDefault="00134025" w:rsidP="00134025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134025" w:rsidRPr="00CE2242" w:rsidRDefault="00134025" w:rsidP="00134025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0"/>
          <w:szCs w:val="20"/>
          <w:lang w:val="pl-PL"/>
        </w:rPr>
      </w:pPr>
      <w:proofErr w:type="spellStart"/>
      <w:r w:rsidRPr="00CE2242">
        <w:rPr>
          <w:rFonts w:ascii="Times New Roman" w:hAnsi="Times New Roman"/>
          <w:smallCaps/>
          <w:sz w:val="20"/>
          <w:szCs w:val="20"/>
          <w:lang w:val="pl-PL"/>
        </w:rPr>
        <w:t>Literature</w:t>
      </w:r>
      <w:proofErr w:type="spellEnd"/>
    </w:p>
    <w:p w:rsidR="00134025" w:rsidRPr="00CE2242" w:rsidRDefault="00134025" w:rsidP="00134025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C2340">
        <w:rPr>
          <w:rFonts w:ascii="Times New Roman" w:hAnsi="Times New Roman" w:cs="Times New Roman"/>
          <w:sz w:val="20"/>
          <w:szCs w:val="20"/>
        </w:rPr>
        <w:t>Andrijauskaitė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A.</w:t>
      </w:r>
      <w:r w:rsidRPr="001C2340">
        <w:rPr>
          <w:rFonts w:ascii="Times New Roman" w:hAnsi="Times New Roman" w:cs="Times New Roman"/>
          <w:sz w:val="20"/>
          <w:szCs w:val="20"/>
        </w:rPr>
        <w:t>, Exploring the penumbra of punishment under the ECHR, New Journal of European Criminal Law XX(X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proofErr w:type="spellStart"/>
      <w:r w:rsidRPr="001C2340">
        <w:rPr>
          <w:rFonts w:ascii="Times New Roman" w:hAnsi="Times New Roman" w:cs="Times New Roman"/>
          <w:sz w:val="20"/>
          <w:szCs w:val="20"/>
        </w:rPr>
        <w:t>Ansems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L.</w:t>
      </w:r>
      <w:r w:rsidRPr="001C2340">
        <w:rPr>
          <w:rFonts w:ascii="Times New Roman" w:hAnsi="Times New Roman" w:cs="Times New Roman"/>
          <w:sz w:val="20"/>
          <w:szCs w:val="20"/>
        </w:rPr>
        <w:t xml:space="preserve">, C. </w:t>
      </w:r>
      <w:proofErr w:type="spellStart"/>
      <w:r w:rsidRPr="001C2340">
        <w:rPr>
          <w:rFonts w:ascii="Times New Roman" w:hAnsi="Times New Roman" w:cs="Times New Roman"/>
          <w:sz w:val="20"/>
          <w:szCs w:val="20"/>
        </w:rPr>
        <w:t>Loeve</w:t>
      </w:r>
      <w:proofErr w:type="spellEnd"/>
      <w:r w:rsidRPr="001C2340">
        <w:rPr>
          <w:rFonts w:ascii="Times New Roman" w:hAnsi="Times New Roman" w:cs="Times New Roman"/>
          <w:sz w:val="20"/>
          <w:szCs w:val="20"/>
        </w:rPr>
        <w:t xml:space="preserve">, Targeted Financial Sanctions: Criminal in Nature?, </w:t>
      </w:r>
      <w:proofErr w:type="spellStart"/>
      <w:r w:rsidRPr="001C2340">
        <w:rPr>
          <w:rFonts w:ascii="Times New Roman" w:hAnsi="Times New Roman" w:cs="Times New Roman"/>
          <w:sz w:val="20"/>
          <w:szCs w:val="20"/>
        </w:rPr>
        <w:t>EuCLR</w:t>
      </w:r>
      <w:proofErr w:type="spellEnd"/>
      <w:r w:rsidRPr="001C2340">
        <w:rPr>
          <w:rFonts w:ascii="Times New Roman" w:hAnsi="Times New Roman" w:cs="Times New Roman"/>
          <w:sz w:val="20"/>
          <w:szCs w:val="20"/>
        </w:rPr>
        <w:t xml:space="preserve"> Vol.6, 1/2016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proofErr w:type="spellStart"/>
      <w:r w:rsidRPr="001C2340">
        <w:rPr>
          <w:rFonts w:ascii="Times New Roman" w:hAnsi="Times New Roman" w:cs="Times New Roman"/>
          <w:sz w:val="20"/>
          <w:szCs w:val="20"/>
        </w:rPr>
        <w:t>Błachnio-Parzych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A.</w:t>
      </w:r>
      <w:r w:rsidRPr="001C2340">
        <w:rPr>
          <w:rFonts w:ascii="Times New Roman" w:hAnsi="Times New Roman" w:cs="Times New Roman"/>
          <w:sz w:val="20"/>
          <w:szCs w:val="20"/>
        </w:rPr>
        <w:t>, The Nature of Responsibility of an Undertaking in Antitrust Proceedings and the Concept of „Criminal Charge” in the Jurisprudence of the European Court of Human Rights, YARS 2012, No. 5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pl-PL"/>
        </w:rPr>
      </w:pP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Błachnio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>-Parzych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A.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>,</w:t>
      </w:r>
      <w:r w:rsidRPr="001C234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pl-PL"/>
        </w:rPr>
        <w:t> </w:t>
      </w:r>
      <w:r w:rsidRPr="001C2340">
        <w:rPr>
          <w:rFonts w:ascii="Times New Roman" w:hAnsi="Times New Roman" w:cs="Times New Roman"/>
          <w:color w:val="333333"/>
          <w:sz w:val="20"/>
          <w:szCs w:val="20"/>
          <w:lang w:val="pl-PL"/>
        </w:rPr>
        <w:t>Zbieg odpowiedzialności karnej i administracyjno-karnej jako zbieg reżimów odpowiedzialności represyjnej</w:t>
      </w:r>
      <w:r w:rsidRPr="001C234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pl-PL"/>
        </w:rPr>
        <w:t>, Warszawa 2016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pl-PL"/>
        </w:rPr>
      </w:pP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Błachucki</w:t>
      </w:r>
      <w:proofErr w:type="spellEnd"/>
      <w:r>
        <w:rPr>
          <w:rFonts w:ascii="Times New Roman" w:hAnsi="Times New Roman" w:cs="Times New Roman"/>
          <w:sz w:val="20"/>
          <w:szCs w:val="20"/>
          <w:lang w:val="pl-PL"/>
        </w:rPr>
        <w:t xml:space="preserve"> M.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>, Wstęp, in: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M. 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Błachucki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 (ed.), Administracyjne kary pieniężne w demokratycznym państwie prawa, Warszawa 2015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C2340">
        <w:rPr>
          <w:rFonts w:ascii="Times New Roman" w:hAnsi="Times New Roman" w:cs="Times New Roman"/>
          <w:sz w:val="20"/>
          <w:szCs w:val="20"/>
          <w:lang w:val="pl-PL"/>
        </w:rPr>
        <w:t>Bojarski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T.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, Polskie prawo 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wykroczeń.Zarys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 wykładu, Warszawa 2009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C2340">
        <w:rPr>
          <w:rFonts w:ascii="Times New Roman" w:hAnsi="Times New Roman" w:cs="Times New Roman"/>
          <w:sz w:val="20"/>
          <w:szCs w:val="20"/>
        </w:rPr>
        <w:t>Caeiro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P.</w:t>
      </w:r>
      <w:r w:rsidRPr="001C2340">
        <w:rPr>
          <w:rFonts w:ascii="Times New Roman" w:hAnsi="Times New Roman" w:cs="Times New Roman"/>
          <w:sz w:val="20"/>
          <w:szCs w:val="20"/>
        </w:rPr>
        <w:t xml:space="preserve">, The influence of the EU on the “blurring” between administrative and criminal law, (w:)Do labels still matter? Blurring boundaries between administrative and criminal law. The influence of the EU, </w:t>
      </w:r>
      <w:proofErr w:type="spellStart"/>
      <w:r w:rsidRPr="001C2340">
        <w:rPr>
          <w:rFonts w:ascii="Times New Roman" w:hAnsi="Times New Roman" w:cs="Times New Roman"/>
          <w:sz w:val="20"/>
          <w:szCs w:val="20"/>
        </w:rPr>
        <w:t>ed.F</w:t>
      </w:r>
      <w:proofErr w:type="spellEnd"/>
      <w:r w:rsidRPr="001C2340">
        <w:rPr>
          <w:rFonts w:ascii="Times New Roman" w:hAnsi="Times New Roman" w:cs="Times New Roman"/>
          <w:sz w:val="20"/>
          <w:szCs w:val="20"/>
        </w:rPr>
        <w:t xml:space="preserve">. Galli, A. </w:t>
      </w:r>
      <w:proofErr w:type="spellStart"/>
      <w:r w:rsidRPr="001C2340">
        <w:rPr>
          <w:rFonts w:ascii="Times New Roman" w:hAnsi="Times New Roman" w:cs="Times New Roman"/>
          <w:sz w:val="20"/>
          <w:szCs w:val="20"/>
        </w:rPr>
        <w:t>Weyembergh</w:t>
      </w:r>
      <w:proofErr w:type="spellEnd"/>
      <w:r w:rsidRPr="001C234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C2340">
        <w:rPr>
          <w:rFonts w:ascii="Times New Roman" w:hAnsi="Times New Roman" w:cs="Times New Roman"/>
          <w:sz w:val="20"/>
          <w:szCs w:val="20"/>
        </w:rPr>
        <w:t>Bruxelles</w:t>
      </w:r>
      <w:proofErr w:type="spellEnd"/>
      <w:r w:rsidRPr="001C2340">
        <w:rPr>
          <w:rFonts w:ascii="Times New Roman" w:hAnsi="Times New Roman" w:cs="Times New Roman"/>
          <w:sz w:val="20"/>
          <w:szCs w:val="20"/>
        </w:rPr>
        <w:t xml:space="preserve"> 2014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C2340">
        <w:rPr>
          <w:rFonts w:ascii="Times New Roman" w:hAnsi="Times New Roman" w:cs="Times New Roman"/>
          <w:sz w:val="20"/>
          <w:szCs w:val="20"/>
          <w:lang w:val="pl-PL"/>
        </w:rPr>
        <w:t>Cieślak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M.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>, Polskie prawo karne, Warszawa 1990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C2340">
        <w:rPr>
          <w:rFonts w:ascii="Times New Roman" w:hAnsi="Times New Roman" w:cs="Times New Roman"/>
          <w:sz w:val="20"/>
          <w:szCs w:val="20"/>
        </w:rPr>
        <w:t>Coffey</w:t>
      </w:r>
      <w:r>
        <w:rPr>
          <w:rFonts w:ascii="Times New Roman" w:hAnsi="Times New Roman" w:cs="Times New Roman"/>
          <w:sz w:val="20"/>
          <w:szCs w:val="20"/>
        </w:rPr>
        <w:t xml:space="preserve"> C.</w:t>
      </w:r>
      <w:r w:rsidRPr="001C2340">
        <w:rPr>
          <w:rFonts w:ascii="Times New Roman" w:hAnsi="Times New Roman" w:cs="Times New Roman"/>
          <w:sz w:val="20"/>
          <w:szCs w:val="20"/>
        </w:rPr>
        <w:t xml:space="preserve">, An interpretative analysis of the European ne bis in idem principle through the lens of ECHR, CFR and CISA </w:t>
      </w:r>
      <w:proofErr w:type="spellStart"/>
      <w:r w:rsidRPr="001C2340">
        <w:rPr>
          <w:rFonts w:ascii="Times New Roman" w:hAnsi="Times New Roman" w:cs="Times New Roman"/>
          <w:sz w:val="20"/>
          <w:szCs w:val="20"/>
        </w:rPr>
        <w:t>Provisions:Are</w:t>
      </w:r>
      <w:proofErr w:type="spellEnd"/>
      <w:r w:rsidRPr="001C2340">
        <w:rPr>
          <w:rFonts w:ascii="Times New Roman" w:hAnsi="Times New Roman" w:cs="Times New Roman"/>
          <w:sz w:val="20"/>
          <w:szCs w:val="20"/>
        </w:rPr>
        <w:t xml:space="preserve"> three streams flowing in the same channel?, New Journal of European Criminal Law 2023, Vol.0 (0),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C2340">
        <w:rPr>
          <w:rFonts w:ascii="Times New Roman" w:hAnsi="Times New Roman" w:cs="Times New Roman"/>
          <w:sz w:val="20"/>
          <w:szCs w:val="20"/>
          <w:lang w:val="pl-PL"/>
        </w:rPr>
        <w:t>Danecka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D.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>, Konwersja odpowiedzialności karnej w administracyjną w prawie polskim, Warszawa 2018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C2340">
        <w:rPr>
          <w:rFonts w:ascii="Times New Roman" w:hAnsi="Times New Roman" w:cs="Times New Roman"/>
          <w:sz w:val="20"/>
          <w:szCs w:val="20"/>
          <w:lang w:val="pl-PL"/>
        </w:rPr>
        <w:t>Daniluk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P.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, Zbieg odpowiedzialności represyjnej za nieopłacenie składek na ubezpieczenia społeczne, 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in:P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>. Daniluk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P.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>, P. Radziewicz (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eds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>.), Aktualne problemy konstytucyjne w świetle wniosków, pytań prawnych i skarg konstytucyjnych do Trybunału Konstytucyjnego, Warszawa 2010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C2340">
        <w:rPr>
          <w:rFonts w:ascii="Times New Roman" w:hAnsi="Times New Roman" w:cs="Times New Roman"/>
          <w:sz w:val="20"/>
          <w:szCs w:val="20"/>
          <w:lang w:val="pl-PL"/>
        </w:rPr>
        <w:t>Daniluk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P.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>, Zbieg odpowiedzialności represyjnej za ten sam czyn wypełniający znamiona wykroczenia i przestępstwa (in:) P. Daniluk, M. Laskowska (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eds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>.) Aktualne problemy konstytucyjne w świetle wniosków, pytań prawnych i skarg konstytucyjnych do Trybunału Konstytucyjnego 2010 – 2012, Warszawa 2013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C2340">
        <w:rPr>
          <w:rFonts w:ascii="Times New Roman" w:hAnsi="Times New Roman" w:cs="Times New Roman"/>
          <w:sz w:val="20"/>
          <w:szCs w:val="20"/>
          <w:lang w:val="pl-PL"/>
        </w:rPr>
        <w:t>Daniluk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P.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>, Idealny zbieg wykroczenia z przestępstwem (in:)P. Daniluk, M. Laskowska (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eds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>.)Aktualne problemy konstytucyjne w świetle wniosków, pytań prawnych i skarg konstytucyjnych do trybunału Konstytucyjnego 2010 – 2012, Warszawa 2013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Daniluk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P. 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>(ed.)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Kodeks 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wykroczeń.Komentarz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>, Warszawa 2018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Daniluk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P. 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>(ed.)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>Reforma prawa wykroczeń, vol.1, Warszawa 2019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Daniluk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P. 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(ed.)Reforma prawa wykroczeń, 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vol.II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>, Warszawa 2020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C2340">
        <w:rPr>
          <w:rFonts w:ascii="Times New Roman" w:hAnsi="Times New Roman" w:cs="Times New Roman"/>
          <w:sz w:val="20"/>
          <w:szCs w:val="20"/>
        </w:rPr>
        <w:t>Dijk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340">
        <w:rPr>
          <w:rFonts w:ascii="Times New Roman" w:hAnsi="Times New Roman" w:cs="Times New Roman"/>
          <w:sz w:val="20"/>
          <w:szCs w:val="20"/>
        </w:rPr>
        <w:t>P. 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340">
        <w:rPr>
          <w:rFonts w:ascii="Times New Roman" w:hAnsi="Times New Roman" w:cs="Times New Roman"/>
          <w:sz w:val="20"/>
          <w:szCs w:val="20"/>
        </w:rPr>
        <w:t xml:space="preserve">[in:]Theory and Practice of the European Convention on Human Rights, </w:t>
      </w:r>
      <w:proofErr w:type="spellStart"/>
      <w:r w:rsidRPr="001C2340">
        <w:rPr>
          <w:rFonts w:ascii="Times New Roman" w:hAnsi="Times New Roman" w:cs="Times New Roman"/>
          <w:sz w:val="20"/>
          <w:szCs w:val="20"/>
        </w:rPr>
        <w:t>eds.P</w:t>
      </w:r>
      <w:proofErr w:type="spellEnd"/>
      <w:r w:rsidRPr="001C2340">
        <w:rPr>
          <w:rFonts w:ascii="Times New Roman" w:hAnsi="Times New Roman" w:cs="Times New Roman"/>
          <w:sz w:val="20"/>
          <w:szCs w:val="20"/>
        </w:rPr>
        <w:t>. van Dijk, F. van Hoof, A. van Rijn, L. </w:t>
      </w:r>
      <w:proofErr w:type="spellStart"/>
      <w:r w:rsidRPr="001C2340">
        <w:rPr>
          <w:rFonts w:ascii="Times New Roman" w:hAnsi="Times New Roman" w:cs="Times New Roman"/>
          <w:sz w:val="20"/>
          <w:szCs w:val="20"/>
        </w:rPr>
        <w:t>Zwaak</w:t>
      </w:r>
      <w:proofErr w:type="spellEnd"/>
      <w:r w:rsidRPr="001C234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C2340">
        <w:rPr>
          <w:rFonts w:ascii="Times New Roman" w:hAnsi="Times New Roman" w:cs="Times New Roman"/>
          <w:sz w:val="20"/>
          <w:szCs w:val="20"/>
        </w:rPr>
        <w:t>Antwerpia</w:t>
      </w:r>
      <w:proofErr w:type="spellEnd"/>
      <w:r w:rsidRPr="001C2340">
        <w:rPr>
          <w:rFonts w:ascii="Times New Roman" w:hAnsi="Times New Roman" w:cs="Times New Roman"/>
          <w:sz w:val="20"/>
          <w:szCs w:val="20"/>
        </w:rPr>
        <w:t>–Oxford 2006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C2340">
        <w:rPr>
          <w:rFonts w:ascii="Times New Roman" w:hAnsi="Times New Roman" w:cs="Times New Roman"/>
          <w:sz w:val="20"/>
          <w:szCs w:val="20"/>
          <w:lang w:val="pl-PL"/>
        </w:rPr>
        <w:t>Górski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M.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>, Odpowiedzialność administracyjna w ochronie środowiska – zagadnienia podstawowe, Poznań 2007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C2340">
        <w:rPr>
          <w:rFonts w:ascii="Times New Roman" w:hAnsi="Times New Roman" w:cs="Times New Roman"/>
          <w:sz w:val="20"/>
          <w:szCs w:val="20"/>
          <w:lang w:val="pl-PL"/>
        </w:rPr>
        <w:t>Gubiński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A.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, W kwestii rozgraniczenia niektórych kategorii wykroczeń i przestępstw, 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PiP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 1972, vol.2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C2340">
        <w:rPr>
          <w:rFonts w:ascii="Times New Roman" w:hAnsi="Times New Roman" w:cs="Times New Roman"/>
          <w:sz w:val="20"/>
          <w:szCs w:val="20"/>
        </w:rPr>
        <w:t>Guran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M.</w:t>
      </w:r>
      <w:r w:rsidRPr="001C2340">
        <w:rPr>
          <w:rFonts w:ascii="Times New Roman" w:hAnsi="Times New Roman" w:cs="Times New Roman"/>
          <w:sz w:val="20"/>
          <w:szCs w:val="20"/>
        </w:rPr>
        <w:t>, Short Considerations on the Scope of the Right to a Fair Trial Provided by Art. 6 of the ECHR - The Concept of "Criminal Charge", 9 LAW REV.157 (2019)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C2340">
        <w:rPr>
          <w:rFonts w:ascii="Times New Roman" w:hAnsi="Times New Roman" w:cs="Times New Roman"/>
          <w:sz w:val="20"/>
          <w:szCs w:val="20"/>
        </w:rPr>
        <w:t>Heine</w:t>
      </w:r>
      <w:r>
        <w:rPr>
          <w:rFonts w:ascii="Times New Roman" w:hAnsi="Times New Roman" w:cs="Times New Roman"/>
          <w:sz w:val="20"/>
          <w:szCs w:val="20"/>
        </w:rPr>
        <w:t xml:space="preserve"> G.</w:t>
      </w:r>
      <w:r w:rsidRPr="001C234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C2340">
        <w:rPr>
          <w:rFonts w:ascii="Times New Roman" w:hAnsi="Times New Roman" w:cs="Times New Roman"/>
          <w:sz w:val="20"/>
          <w:szCs w:val="20"/>
        </w:rPr>
        <w:t>Unterschiedung</w:t>
      </w:r>
      <w:proofErr w:type="spellEnd"/>
      <w:r w:rsidRPr="001C23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2340">
        <w:rPr>
          <w:rFonts w:ascii="Times New Roman" w:hAnsi="Times New Roman" w:cs="Times New Roman"/>
          <w:sz w:val="20"/>
          <w:szCs w:val="20"/>
        </w:rPr>
        <w:t>zwischen</w:t>
      </w:r>
      <w:proofErr w:type="spellEnd"/>
      <w:r w:rsidRPr="001C23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2340">
        <w:rPr>
          <w:rFonts w:ascii="Times New Roman" w:hAnsi="Times New Roman" w:cs="Times New Roman"/>
          <w:sz w:val="20"/>
          <w:szCs w:val="20"/>
        </w:rPr>
        <w:t>Straftaten</w:t>
      </w:r>
      <w:proofErr w:type="spellEnd"/>
      <w:r w:rsidRPr="001C2340"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 w:rsidRPr="001C2340">
        <w:rPr>
          <w:rFonts w:ascii="Times New Roman" w:hAnsi="Times New Roman" w:cs="Times New Roman"/>
          <w:sz w:val="20"/>
          <w:szCs w:val="20"/>
        </w:rPr>
        <w:t>Ordnungswidrigkeiten</w:t>
      </w:r>
      <w:proofErr w:type="spellEnd"/>
      <w:r w:rsidRPr="001C234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C2340">
        <w:rPr>
          <w:rFonts w:ascii="Times New Roman" w:hAnsi="Times New Roman" w:cs="Times New Roman"/>
          <w:sz w:val="20"/>
          <w:szCs w:val="20"/>
        </w:rPr>
        <w:t>Jurisprudencija</w:t>
      </w:r>
      <w:proofErr w:type="spellEnd"/>
      <w:r w:rsidRPr="001C2340">
        <w:rPr>
          <w:rFonts w:ascii="Times New Roman" w:hAnsi="Times New Roman" w:cs="Times New Roman"/>
          <w:sz w:val="20"/>
          <w:szCs w:val="20"/>
        </w:rPr>
        <w:t xml:space="preserve"> 1999, vol.12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C2340">
        <w:rPr>
          <w:rFonts w:ascii="Times New Roman" w:hAnsi="Times New Roman" w:cs="Times New Roman"/>
          <w:sz w:val="20"/>
          <w:szCs w:val="20"/>
          <w:lang w:val="pl-PL"/>
        </w:rPr>
        <w:lastRenderedPageBreak/>
        <w:t>Hofmański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P.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, A. Wróbel Komentarz do art. 6 Konwencji o Ochronie Praw Człowieka i Podstawowych Wolności (w:) Konwencja o Ochronie Praw Człowieka i Podstawowych Wolności. Komentarz, red. L. Garlicki, t. 1, 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Legalis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>/ el. 2019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C2340">
        <w:rPr>
          <w:rFonts w:ascii="Times New Roman" w:hAnsi="Times New Roman" w:cs="Times New Roman"/>
          <w:sz w:val="20"/>
          <w:szCs w:val="20"/>
          <w:lang w:val="pl-PL"/>
        </w:rPr>
        <w:t>Kardas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P.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, Konstrukcja idealnego zbiegu przestępstw a konstytucyjna i konwencyjna zasada </w:t>
      </w:r>
      <w:proofErr w:type="spellStart"/>
      <w:r w:rsidRPr="001C2340">
        <w:rPr>
          <w:rFonts w:ascii="Times New Roman" w:hAnsi="Times New Roman" w:cs="Times New Roman"/>
          <w:i/>
          <w:sz w:val="20"/>
          <w:szCs w:val="20"/>
          <w:lang w:val="pl-PL"/>
        </w:rPr>
        <w:t>ne</w:t>
      </w:r>
      <w:proofErr w:type="spellEnd"/>
      <w:r w:rsidRPr="001C2340">
        <w:rPr>
          <w:rFonts w:ascii="Times New Roman" w:hAnsi="Times New Roman" w:cs="Times New Roman"/>
          <w:i/>
          <w:sz w:val="20"/>
          <w:szCs w:val="20"/>
          <w:lang w:val="pl-PL"/>
        </w:rPr>
        <w:t xml:space="preserve"> bis in </w:t>
      </w:r>
      <w:proofErr w:type="spellStart"/>
      <w:r w:rsidRPr="001C2340">
        <w:rPr>
          <w:rFonts w:ascii="Times New Roman" w:hAnsi="Times New Roman" w:cs="Times New Roman"/>
          <w:i/>
          <w:sz w:val="20"/>
          <w:szCs w:val="20"/>
          <w:lang w:val="pl-PL"/>
        </w:rPr>
        <w:t>idem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>.Rozważania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 o konstytucyjnych granicach władzy ustawodawczej, 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CzPKiNP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 2010, no. 4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C2340">
        <w:rPr>
          <w:rFonts w:ascii="Times New Roman" w:hAnsi="Times New Roman" w:cs="Times New Roman"/>
          <w:sz w:val="20"/>
          <w:szCs w:val="20"/>
          <w:lang w:val="pl-PL"/>
        </w:rPr>
        <w:t>Kardas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P.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, Zbieg przepisów ustawy w prawie 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karnym.Analiza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 teoretyczna, Warszawa 2011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C2340">
        <w:rPr>
          <w:rFonts w:ascii="Times New Roman" w:hAnsi="Times New Roman" w:cs="Times New Roman"/>
          <w:sz w:val="20"/>
          <w:szCs w:val="20"/>
          <w:lang w:val="pl-PL"/>
        </w:rPr>
        <w:t>Kardas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P.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, Problem reakcji na tzw. czyny przepołowione w świetle ciągłości popełnienia przestępstwa, konstrukcji idealnego zbiegu czynów karalnych oraz zasady </w:t>
      </w:r>
      <w:proofErr w:type="spellStart"/>
      <w:r w:rsidRPr="001C2340">
        <w:rPr>
          <w:rFonts w:ascii="Times New Roman" w:hAnsi="Times New Roman" w:cs="Times New Roman"/>
          <w:i/>
          <w:sz w:val="20"/>
          <w:szCs w:val="20"/>
          <w:lang w:val="pl-PL"/>
        </w:rPr>
        <w:t>ne</w:t>
      </w:r>
      <w:proofErr w:type="spellEnd"/>
      <w:r w:rsidRPr="001C2340">
        <w:rPr>
          <w:rFonts w:ascii="Times New Roman" w:hAnsi="Times New Roman" w:cs="Times New Roman"/>
          <w:i/>
          <w:sz w:val="20"/>
          <w:szCs w:val="20"/>
          <w:lang w:val="pl-PL"/>
        </w:rPr>
        <w:t xml:space="preserve"> bis in </w:t>
      </w:r>
      <w:proofErr w:type="spellStart"/>
      <w:r w:rsidRPr="001C2340">
        <w:rPr>
          <w:rFonts w:ascii="Times New Roman" w:hAnsi="Times New Roman" w:cs="Times New Roman"/>
          <w:i/>
          <w:sz w:val="20"/>
          <w:szCs w:val="20"/>
          <w:lang w:val="pl-PL"/>
        </w:rPr>
        <w:t>idem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>, Prok. i Pr.2018, no.  3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C2340">
        <w:rPr>
          <w:rFonts w:ascii="Times New Roman" w:hAnsi="Times New Roman" w:cs="Times New Roman"/>
          <w:sz w:val="20"/>
          <w:szCs w:val="20"/>
          <w:lang w:val="pl-PL"/>
        </w:rPr>
        <w:t>Kardas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P.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>, M. Sławiński, Przenikanie się odpowiedzialności wykroczeniowej i administracyjnej – problem podwójnego karania, in: M. Kolendowska-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Matejczuk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, V. 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Vachev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 (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eds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>.), Węzłowe problemy prawa wykroczeń – czy potrzebna jest reforma?, Warszawa 2016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Kierska</w:t>
      </w:r>
      <w:proofErr w:type="spellEnd"/>
      <w:r>
        <w:rPr>
          <w:rFonts w:ascii="Times New Roman" w:hAnsi="Times New Roman" w:cs="Times New Roman"/>
          <w:sz w:val="20"/>
          <w:szCs w:val="20"/>
          <w:lang w:val="pl-PL"/>
        </w:rPr>
        <w:t xml:space="preserve"> M.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, T. Marek, Zasada 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ne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 bis in 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idem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 w kontekście orzecznictwa ETPC, MOP 2015, Nr 21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Kłopocka-Jasińska</w:t>
      </w:r>
      <w:proofErr w:type="spellEnd"/>
      <w:r>
        <w:rPr>
          <w:rFonts w:ascii="Times New Roman" w:hAnsi="Times New Roman" w:cs="Times New Roman"/>
          <w:sz w:val="20"/>
          <w:szCs w:val="20"/>
          <w:lang w:val="pl-PL"/>
        </w:rPr>
        <w:t xml:space="preserve"> M.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>, Pojęcie sprawy w świetle art. 6  Konwencji o ochronie praw człowieka i podstawowych wolności, Przegląd Prawa Konstytucyjnego 2016, nr 3 (31),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C2340">
        <w:rPr>
          <w:rFonts w:ascii="Times New Roman" w:hAnsi="Times New Roman" w:cs="Times New Roman"/>
          <w:sz w:val="20"/>
          <w:szCs w:val="20"/>
          <w:lang w:val="pl-PL"/>
        </w:rPr>
        <w:t>Kmieciak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Z.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>, Charakter prawny orzeczeń w sprawach o naruszenie dyscypliny budżetowej a koncepcja sankcji administracyjnej, Glosa 1997, No. 11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C2340">
        <w:rPr>
          <w:rFonts w:ascii="Times New Roman" w:hAnsi="Times New Roman" w:cs="Times New Roman"/>
          <w:sz w:val="20"/>
          <w:szCs w:val="20"/>
        </w:rPr>
        <w:t>Kozioł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T.</w:t>
      </w:r>
      <w:r w:rsidRPr="001C2340">
        <w:rPr>
          <w:rFonts w:ascii="Times New Roman" w:hAnsi="Times New Roman" w:cs="Times New Roman"/>
          <w:sz w:val="20"/>
          <w:szCs w:val="20"/>
        </w:rPr>
        <w:t xml:space="preserve">, Administrative pecuniary penalty in the light of amendments to the administrative procedure, </w:t>
      </w:r>
      <w:proofErr w:type="spellStart"/>
      <w:r w:rsidRPr="001C2340">
        <w:rPr>
          <w:rFonts w:ascii="Times New Roman" w:hAnsi="Times New Roman" w:cs="Times New Roman"/>
          <w:sz w:val="20"/>
          <w:szCs w:val="20"/>
        </w:rPr>
        <w:t>Toruń</w:t>
      </w:r>
      <w:proofErr w:type="spellEnd"/>
      <w:r w:rsidRPr="001C2340">
        <w:rPr>
          <w:rFonts w:ascii="Times New Roman" w:hAnsi="Times New Roman" w:cs="Times New Roman"/>
          <w:sz w:val="20"/>
          <w:szCs w:val="20"/>
        </w:rPr>
        <w:t xml:space="preserve"> Business Review 15(4) 2016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C2340">
        <w:rPr>
          <w:rFonts w:ascii="Times New Roman" w:hAnsi="Times New Roman" w:cs="Times New Roman"/>
          <w:sz w:val="20"/>
          <w:szCs w:val="20"/>
          <w:lang w:val="pl-PL"/>
        </w:rPr>
        <w:t>Król-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Bogomilska</w:t>
      </w:r>
      <w:proofErr w:type="spellEnd"/>
      <w:r>
        <w:rPr>
          <w:rFonts w:ascii="Times New Roman" w:hAnsi="Times New Roman" w:cs="Times New Roman"/>
          <w:sz w:val="20"/>
          <w:szCs w:val="20"/>
          <w:lang w:val="pl-PL"/>
        </w:rPr>
        <w:t xml:space="preserve"> M.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>, Kary pieniężne w prawie antymonopolowym, Warszawa 2001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C2340">
        <w:rPr>
          <w:rFonts w:ascii="Times New Roman" w:hAnsi="Times New Roman" w:cs="Times New Roman"/>
          <w:sz w:val="20"/>
          <w:szCs w:val="20"/>
          <w:lang w:val="pl-PL"/>
        </w:rPr>
        <w:t>Król-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Bogomilska</w:t>
      </w:r>
      <w:proofErr w:type="spellEnd"/>
      <w:r>
        <w:rPr>
          <w:rFonts w:ascii="Times New Roman" w:hAnsi="Times New Roman" w:cs="Times New Roman"/>
          <w:sz w:val="20"/>
          <w:szCs w:val="20"/>
          <w:lang w:val="pl-PL"/>
        </w:rPr>
        <w:t xml:space="preserve"> M.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, Z problematyki zbiegu odpowiedzialności karnej i administracyjnej – w świetle orzecznictwa Trybunału Konstytucyjnego, 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in:M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>. Płatek, M. Dziewanowska (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eds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>.), Wina i kara. Księga pamięci Profesor Genowefy Rejman, Warszawa 2012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C2340">
        <w:rPr>
          <w:rFonts w:ascii="Times New Roman" w:hAnsi="Times New Roman" w:cs="Times New Roman"/>
          <w:sz w:val="20"/>
          <w:szCs w:val="20"/>
          <w:lang w:val="pl-PL"/>
        </w:rPr>
        <w:t>Kruk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E.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>, Zbieg odpowiedzialności administracyjnej i karnej, Zeszyty Naukowe Sądownictwa Administracyjnego 2011, No. 4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C2340">
        <w:rPr>
          <w:rFonts w:ascii="Times New Roman" w:hAnsi="Times New Roman" w:cs="Times New Roman"/>
          <w:sz w:val="20"/>
          <w:szCs w:val="20"/>
          <w:lang w:val="pl-PL"/>
        </w:rPr>
        <w:t>Kruk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E.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>, Sankcja administracyjna. Lublin 2013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C2340">
        <w:rPr>
          <w:rFonts w:ascii="Times New Roman" w:hAnsi="Times New Roman" w:cs="Times New Roman"/>
          <w:sz w:val="20"/>
          <w:szCs w:val="20"/>
          <w:lang w:val="pl-PL"/>
        </w:rPr>
        <w:t>Kulik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M.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, Kilka uwag o potencjalnym wpływie regulacji w zakresie prawnokarnej ochrony środowiska na polskie prawo karne (na przykładzie Dyrektywy Parlamentu Europejskiego 2008/99/WE z 19 XI 2008 r.) (in:)E. Guzik – 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Makaruk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>, K. Laskowska, W. Filipkowski (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eds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.)Człowiek, Społeczeństwo i państwo z pespektywy nauk kryminologicznych. </w:t>
      </w:r>
      <w:proofErr w:type="spellStart"/>
      <w:r w:rsidRPr="001C2340">
        <w:rPr>
          <w:rFonts w:ascii="Times New Roman" w:hAnsi="Times New Roman" w:cs="Times New Roman"/>
          <w:sz w:val="20"/>
          <w:szCs w:val="20"/>
        </w:rPr>
        <w:t>Księga</w:t>
      </w:r>
      <w:proofErr w:type="spellEnd"/>
      <w:r w:rsidRPr="001C23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2340">
        <w:rPr>
          <w:rFonts w:ascii="Times New Roman" w:hAnsi="Times New Roman" w:cs="Times New Roman"/>
          <w:sz w:val="20"/>
          <w:szCs w:val="20"/>
        </w:rPr>
        <w:t>jubileuszowa</w:t>
      </w:r>
      <w:proofErr w:type="spellEnd"/>
      <w:r w:rsidRPr="001C23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2340">
        <w:rPr>
          <w:rFonts w:ascii="Times New Roman" w:hAnsi="Times New Roman" w:cs="Times New Roman"/>
          <w:sz w:val="20"/>
          <w:szCs w:val="20"/>
        </w:rPr>
        <w:t>Profesora</w:t>
      </w:r>
      <w:proofErr w:type="spellEnd"/>
      <w:r w:rsidRPr="001C23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2340">
        <w:rPr>
          <w:rFonts w:ascii="Times New Roman" w:hAnsi="Times New Roman" w:cs="Times New Roman"/>
          <w:sz w:val="20"/>
          <w:szCs w:val="20"/>
        </w:rPr>
        <w:t>Emila</w:t>
      </w:r>
      <w:proofErr w:type="spellEnd"/>
      <w:r w:rsidRPr="001C2340">
        <w:rPr>
          <w:rFonts w:ascii="Times New Roman" w:hAnsi="Times New Roman" w:cs="Times New Roman"/>
          <w:sz w:val="20"/>
          <w:szCs w:val="20"/>
        </w:rPr>
        <w:t xml:space="preserve"> W. </w:t>
      </w:r>
      <w:proofErr w:type="spellStart"/>
      <w:r w:rsidRPr="001C2340">
        <w:rPr>
          <w:rFonts w:ascii="Times New Roman" w:hAnsi="Times New Roman" w:cs="Times New Roman"/>
          <w:sz w:val="20"/>
          <w:szCs w:val="20"/>
        </w:rPr>
        <w:t>Pływaczewskiego</w:t>
      </w:r>
      <w:proofErr w:type="spellEnd"/>
      <w:r w:rsidRPr="001C2340">
        <w:rPr>
          <w:rFonts w:ascii="Times New Roman" w:hAnsi="Times New Roman" w:cs="Times New Roman"/>
          <w:sz w:val="20"/>
          <w:szCs w:val="20"/>
        </w:rPr>
        <w:t>, Warszawa 2023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C2340">
        <w:rPr>
          <w:rFonts w:ascii="Times New Roman" w:hAnsi="Times New Roman" w:cs="Times New Roman"/>
          <w:sz w:val="20"/>
          <w:szCs w:val="20"/>
        </w:rPr>
        <w:t>Kulik</w:t>
      </w:r>
      <w:r>
        <w:rPr>
          <w:rFonts w:ascii="Times New Roman" w:hAnsi="Times New Roman" w:cs="Times New Roman"/>
          <w:sz w:val="20"/>
          <w:szCs w:val="20"/>
        </w:rPr>
        <w:t xml:space="preserve"> M.</w:t>
      </w:r>
      <w:r w:rsidRPr="001C2340">
        <w:rPr>
          <w:rFonts w:ascii="Times New Roman" w:hAnsi="Times New Roman" w:cs="Times New Roman"/>
          <w:sz w:val="20"/>
          <w:szCs w:val="20"/>
        </w:rPr>
        <w:t xml:space="preserve">, M. </w:t>
      </w:r>
      <w:proofErr w:type="spellStart"/>
      <w:r w:rsidRPr="001C2340">
        <w:rPr>
          <w:rFonts w:ascii="Times New Roman" w:hAnsi="Times New Roman" w:cs="Times New Roman"/>
          <w:sz w:val="20"/>
          <w:szCs w:val="20"/>
        </w:rPr>
        <w:t>Błotnicki</w:t>
      </w:r>
      <w:proofErr w:type="spellEnd"/>
      <w:r w:rsidRPr="001C2340">
        <w:rPr>
          <w:rFonts w:ascii="Times New Roman" w:hAnsi="Times New Roman" w:cs="Times New Roman"/>
          <w:sz w:val="20"/>
          <w:szCs w:val="20"/>
        </w:rPr>
        <w:t>, Petty Offences in Poland Between Criminal Law and Administrative Law, Croatian and Comparative Public Administration 2021, vol. 21 (3),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C2340">
        <w:rPr>
          <w:rFonts w:ascii="Times New Roman" w:hAnsi="Times New Roman" w:cs="Times New Roman"/>
          <w:sz w:val="20"/>
          <w:szCs w:val="20"/>
          <w:lang w:val="pl-PL"/>
        </w:rPr>
        <w:t>Łysko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M.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>, Prace nad kodyfikacją materialnego prawa wykroczeń w Polsce Ludowej (1960–1971), Białystok 2016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C2340">
        <w:rPr>
          <w:rFonts w:ascii="Times New Roman" w:hAnsi="Times New Roman" w:cs="Times New Roman"/>
          <w:sz w:val="20"/>
          <w:szCs w:val="20"/>
          <w:lang w:val="pl-PL"/>
        </w:rPr>
        <w:t>Marek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A.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>, Zbieg przestępstw i wykroczeń, NP 1970, no. 9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C2340">
        <w:rPr>
          <w:rFonts w:ascii="Times New Roman" w:hAnsi="Times New Roman" w:cs="Times New Roman"/>
          <w:sz w:val="20"/>
          <w:szCs w:val="20"/>
          <w:lang w:val="pl-PL"/>
        </w:rPr>
        <w:t>Marek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A.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>, Prawo wykroczeń, (materialne i procesowe), Warszawa 2002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C2340">
        <w:rPr>
          <w:rFonts w:ascii="Times New Roman" w:hAnsi="Times New Roman" w:cs="Times New Roman"/>
          <w:sz w:val="20"/>
          <w:szCs w:val="20"/>
          <w:lang w:val="pl-PL"/>
        </w:rPr>
        <w:t>Mozgawa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M.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, M. Kulik, Wybrane zagadnienia z zakresu wzajemnego stosunku odpowiedzialności karnej i administracyjnej, 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Ius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 Novum 3/2016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C2340">
        <w:rPr>
          <w:rFonts w:ascii="Times New Roman" w:hAnsi="Times New Roman" w:cs="Times New Roman"/>
          <w:sz w:val="20"/>
          <w:szCs w:val="20"/>
          <w:lang w:val="pl-PL"/>
        </w:rPr>
        <w:t>Nita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B.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>, Zakaz podwójnego karania w ujęciu konstytucyjnym, Zagadnienia Sądownictwa Konstytucyjnego 2011, No. 2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C2340">
        <w:rPr>
          <w:rFonts w:ascii="Times New Roman" w:hAnsi="Times New Roman" w:cs="Times New Roman"/>
          <w:sz w:val="20"/>
          <w:szCs w:val="20"/>
          <w:lang w:val="pl-PL"/>
        </w:rPr>
        <w:lastRenderedPageBreak/>
        <w:t>Nowak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C.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>, Prawo do rzetelnego procesu sądowego w świetle EKPC i orzecznictwa ETC, in: P. Wiliński (ed.), Rzetelny proces karny w orzecznictwie sądów polskich i międzynarodowych, Kraków 2006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C2340">
        <w:rPr>
          <w:rFonts w:ascii="Times New Roman" w:hAnsi="Times New Roman" w:cs="Times New Roman"/>
          <w:sz w:val="20"/>
          <w:szCs w:val="20"/>
          <w:lang w:val="pl-PL"/>
        </w:rPr>
        <w:t>Nowak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P.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, Zbieg sankcji penalnej z sankcją administracyjną – de lege lata i postulaty de lege 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ferenda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, 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CzPKiNP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 2012, No. 2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C2340">
        <w:rPr>
          <w:rFonts w:ascii="Times New Roman" w:hAnsi="Times New Roman" w:cs="Times New Roman"/>
          <w:sz w:val="20"/>
          <w:szCs w:val="20"/>
          <w:lang w:val="pl-PL"/>
        </w:rPr>
        <w:t>Nowicki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M. A.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>, Wokół Konwencji Europejskiej. Krótki komentarz do Europejskiej Konwencji Praw Człowieka, Kraków 2006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C2340">
        <w:rPr>
          <w:rFonts w:ascii="Times New Roman" w:hAnsi="Times New Roman" w:cs="Times New Roman"/>
          <w:sz w:val="20"/>
          <w:szCs w:val="20"/>
          <w:lang w:val="pl-PL"/>
        </w:rPr>
        <w:t>Oczkowski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T.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>, Delikty administracyjne jako szczególna forma represji publicznej. Próba określenia coraz większego znaczenia sankcji administracyjnych, in: T. Bojarski, A. Michalska-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Warias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, I. 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Nowikowski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, K. Nazar-Gutowska, J. Piórkowska-Flieger, D. 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Firkowski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 (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eds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>.), Teoretyczne i praktyczne problemy współczesnego prawa karnego, Lublin 2011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C2340">
        <w:rPr>
          <w:rFonts w:ascii="Times New Roman" w:hAnsi="Times New Roman" w:cs="Times New Roman"/>
          <w:sz w:val="20"/>
          <w:szCs w:val="20"/>
          <w:lang w:val="pl-PL"/>
        </w:rPr>
        <w:t>Radecki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W.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, Kilka uwag o zastępowaniu odpowiedzialności karnej odpowiedzialnością administracyjną, in: M. Bojarski (ed.), Współczesne problemy nauk penalnych. Zagadnienia wybrane, Wrocław 1994; 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C2340">
        <w:rPr>
          <w:rFonts w:ascii="Times New Roman" w:hAnsi="Times New Roman" w:cs="Times New Roman"/>
          <w:sz w:val="20"/>
          <w:szCs w:val="20"/>
          <w:lang w:val="pl-PL"/>
        </w:rPr>
        <w:t>Radecki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W.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>, Normatywne ujęcie wykroczenia, Prokuratura i Prawo2003, No. 2;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C2340">
        <w:rPr>
          <w:rFonts w:ascii="Times New Roman" w:hAnsi="Times New Roman" w:cs="Times New Roman"/>
          <w:sz w:val="20"/>
          <w:szCs w:val="20"/>
          <w:lang w:val="pl-PL"/>
        </w:rPr>
        <w:t>Radecki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W.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>, Dezintegracja polskiego prawa penalnego, Prokuratura i Prawo2014, No. 9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Raglewski</w:t>
      </w:r>
      <w:proofErr w:type="spellEnd"/>
      <w:r>
        <w:rPr>
          <w:rFonts w:ascii="Times New Roman" w:hAnsi="Times New Roman" w:cs="Times New Roman"/>
          <w:sz w:val="20"/>
          <w:szCs w:val="20"/>
          <w:lang w:val="pl-PL"/>
        </w:rPr>
        <w:t xml:space="preserve"> J.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>, Kilka uwag o specyficznych mechanizmach redukcyjnych kar w prawie karnym skarbowym i prawie wykroczeń (in:)W. Górowski, P. Kardas, T. Sroka, W. Wróbel (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eds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.)Zagadnienia teorii i nauczania prawa 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karnego.Kara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łączna.Księga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 jubileuszowa Profesor Marii Szewczyk, Warszawa 2013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C2340">
        <w:rPr>
          <w:rFonts w:ascii="Times New Roman" w:hAnsi="Times New Roman" w:cs="Times New Roman"/>
          <w:sz w:val="20"/>
          <w:szCs w:val="20"/>
          <w:lang w:val="pl-PL"/>
        </w:rPr>
        <w:t>Rogalski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M.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>, Przesłanka powagi rzeczy osądzonej w procesie karnym, Kraków 2005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C2340">
        <w:rPr>
          <w:rFonts w:ascii="Times New Roman" w:hAnsi="Times New Roman" w:cs="Times New Roman"/>
          <w:sz w:val="20"/>
          <w:szCs w:val="20"/>
        </w:rPr>
        <w:t>Roth</w:t>
      </w:r>
      <w:r>
        <w:rPr>
          <w:rFonts w:ascii="Times New Roman" w:hAnsi="Times New Roman" w:cs="Times New Roman"/>
          <w:sz w:val="20"/>
          <w:szCs w:val="20"/>
        </w:rPr>
        <w:t xml:space="preserve"> R.</w:t>
      </w:r>
      <w:r w:rsidRPr="001C2340">
        <w:rPr>
          <w:rFonts w:ascii="Times New Roman" w:hAnsi="Times New Roman" w:cs="Times New Roman"/>
          <w:sz w:val="20"/>
          <w:szCs w:val="20"/>
        </w:rPr>
        <w:t xml:space="preserve">, Concluding remarks (in:)(in:)Do labels still matter? Blurring boundaries between administrative and criminal law. The influence of the EU, </w:t>
      </w:r>
      <w:proofErr w:type="spellStart"/>
      <w:r w:rsidRPr="001C2340">
        <w:rPr>
          <w:rFonts w:ascii="Times New Roman" w:hAnsi="Times New Roman" w:cs="Times New Roman"/>
          <w:sz w:val="20"/>
          <w:szCs w:val="20"/>
        </w:rPr>
        <w:t>ed.F</w:t>
      </w:r>
      <w:proofErr w:type="spellEnd"/>
      <w:r w:rsidRPr="001C2340">
        <w:rPr>
          <w:rFonts w:ascii="Times New Roman" w:hAnsi="Times New Roman" w:cs="Times New Roman"/>
          <w:sz w:val="20"/>
          <w:szCs w:val="20"/>
        </w:rPr>
        <w:t xml:space="preserve">. Galli, A. </w:t>
      </w:r>
      <w:proofErr w:type="spellStart"/>
      <w:r w:rsidRPr="001C2340">
        <w:rPr>
          <w:rFonts w:ascii="Times New Roman" w:hAnsi="Times New Roman" w:cs="Times New Roman"/>
          <w:sz w:val="20"/>
          <w:szCs w:val="20"/>
        </w:rPr>
        <w:t>Weyembergh</w:t>
      </w:r>
      <w:proofErr w:type="spellEnd"/>
      <w:r w:rsidRPr="001C234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C2340">
        <w:rPr>
          <w:rFonts w:ascii="Times New Roman" w:hAnsi="Times New Roman" w:cs="Times New Roman"/>
          <w:sz w:val="20"/>
          <w:szCs w:val="20"/>
        </w:rPr>
        <w:t>Bruxelles</w:t>
      </w:r>
      <w:proofErr w:type="spellEnd"/>
      <w:r w:rsidRPr="001C2340">
        <w:rPr>
          <w:rFonts w:ascii="Times New Roman" w:hAnsi="Times New Roman" w:cs="Times New Roman"/>
          <w:sz w:val="20"/>
          <w:szCs w:val="20"/>
        </w:rPr>
        <w:t xml:space="preserve"> 2014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C2340">
        <w:rPr>
          <w:rFonts w:ascii="Times New Roman" w:hAnsi="Times New Roman" w:cs="Times New Roman"/>
          <w:sz w:val="20"/>
          <w:szCs w:val="20"/>
          <w:lang w:val="pl-PL"/>
        </w:rPr>
        <w:t>Skupiński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J.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, J. Szumski, Problemy kodyfikacji prawa wykroczeń, 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PiP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 1998, No. 9–10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C2340">
        <w:rPr>
          <w:rFonts w:ascii="Times New Roman" w:hAnsi="Times New Roman" w:cs="Times New Roman"/>
          <w:sz w:val="20"/>
          <w:szCs w:val="20"/>
          <w:lang w:val="pl-PL"/>
        </w:rPr>
        <w:t>Skupiński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J.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, Odpowiedzialność podmiotów zbiorowych na tle polskiej ustawy z dnia 28 października 2002 r. (próba zarysu problematyki), 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in:M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. Płachta (ed.), Aktualne problemy prawa i procesu 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karnego.Księga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 ofiarowana profesorowi Janowi Grajewskiemu, Gdańsk 2003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Stahl</w:t>
      </w:r>
      <w:proofErr w:type="spellEnd"/>
      <w:r>
        <w:rPr>
          <w:rFonts w:ascii="Times New Roman" w:hAnsi="Times New Roman" w:cs="Times New Roman"/>
          <w:sz w:val="20"/>
          <w:szCs w:val="20"/>
          <w:lang w:val="pl-PL"/>
        </w:rPr>
        <w:t xml:space="preserve"> M.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, Sankcje administracyjne – problemy węzłowe, 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in:M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. 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Stahl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>, R. Lewicka, M. Lewicki (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eds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>.), Sankcje administracyjne – blaski i cienie, Warszawa 2011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C2340">
        <w:rPr>
          <w:rFonts w:ascii="Times New Roman" w:hAnsi="Times New Roman" w:cs="Times New Roman"/>
          <w:sz w:val="20"/>
          <w:szCs w:val="20"/>
          <w:lang w:val="pl-PL"/>
        </w:rPr>
        <w:t>Staniszewska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L.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, Materialne i proceduralne zasady stosowane przy wymierzaniu administracyjnych kar pieniężnych, 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in:M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. 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Błachucki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 (ed.), Administracyjne kary pieniężne w demokratycznym państwie prawa, Warszawa 2015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C2340">
        <w:rPr>
          <w:rFonts w:ascii="Times New Roman" w:hAnsi="Times New Roman" w:cs="Times New Roman"/>
          <w:sz w:val="20"/>
          <w:szCs w:val="20"/>
          <w:lang w:val="pl-PL"/>
        </w:rPr>
        <w:t>Stankiewicz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R.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>, Regulacja administracyjnych kar pieniężnych w Kodeksie postępowania administracyjnego po nowelizacji, Radca Prawny. Zeszyty Naukowe 2017, No. 2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Steppa</w:t>
      </w:r>
      <w:proofErr w:type="spellEnd"/>
      <w:r>
        <w:rPr>
          <w:rFonts w:ascii="Times New Roman" w:hAnsi="Times New Roman" w:cs="Times New Roman"/>
          <w:sz w:val="20"/>
          <w:szCs w:val="20"/>
          <w:lang w:val="pl-PL"/>
        </w:rPr>
        <w:t xml:space="preserve"> W.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, Zasada </w:t>
      </w:r>
      <w:proofErr w:type="spellStart"/>
      <w:r w:rsidRPr="001C2340">
        <w:rPr>
          <w:rFonts w:ascii="Times New Roman" w:hAnsi="Times New Roman" w:cs="Times New Roman"/>
          <w:i/>
          <w:sz w:val="20"/>
          <w:szCs w:val="20"/>
          <w:lang w:val="pl-PL"/>
        </w:rPr>
        <w:t>ne</w:t>
      </w:r>
      <w:proofErr w:type="spellEnd"/>
      <w:r w:rsidRPr="001C2340">
        <w:rPr>
          <w:rFonts w:ascii="Times New Roman" w:hAnsi="Times New Roman" w:cs="Times New Roman"/>
          <w:i/>
          <w:sz w:val="20"/>
          <w:szCs w:val="20"/>
          <w:lang w:val="pl-PL"/>
        </w:rPr>
        <w:t xml:space="preserve"> bis in </w:t>
      </w:r>
      <w:proofErr w:type="spellStart"/>
      <w:r w:rsidRPr="001C2340">
        <w:rPr>
          <w:rFonts w:ascii="Times New Roman" w:hAnsi="Times New Roman" w:cs="Times New Roman"/>
          <w:i/>
          <w:sz w:val="20"/>
          <w:szCs w:val="20"/>
          <w:lang w:val="pl-PL"/>
        </w:rPr>
        <w:t>idem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 a idealny zbieg przestępstwa i wykroczenia, Prok. i Pr.2016, no. 5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Szumiło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>-Kulczycka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D.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>, Prawo administracyjno-karne, Zakamycze 2004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C2340">
        <w:rPr>
          <w:rFonts w:ascii="Times New Roman" w:hAnsi="Times New Roman" w:cs="Times New Roman"/>
          <w:sz w:val="20"/>
          <w:szCs w:val="20"/>
          <w:lang w:val="pl-PL"/>
        </w:rPr>
        <w:t>Szwarc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M.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, Łączne zastosowanie sankcji administracyjnych I karnych w świetle zasady 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ne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 bis in 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idem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 (Uwagi na tle orzecznictwa ETPC), 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PiP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 2017, no. 12,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C2340">
        <w:rPr>
          <w:rFonts w:ascii="Times New Roman" w:hAnsi="Times New Roman" w:cs="Times New Roman"/>
          <w:sz w:val="20"/>
          <w:szCs w:val="20"/>
        </w:rPr>
        <w:t>Theilen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J. T.</w:t>
      </w:r>
      <w:r w:rsidRPr="001C2340">
        <w:rPr>
          <w:rFonts w:ascii="Times New Roman" w:hAnsi="Times New Roman" w:cs="Times New Roman"/>
          <w:sz w:val="20"/>
          <w:szCs w:val="20"/>
        </w:rPr>
        <w:t xml:space="preserve">, European consensus between strategy and </w:t>
      </w:r>
      <w:proofErr w:type="spellStart"/>
      <w:r w:rsidRPr="001C2340">
        <w:rPr>
          <w:rFonts w:ascii="Times New Roman" w:hAnsi="Times New Roman" w:cs="Times New Roman"/>
          <w:sz w:val="20"/>
          <w:szCs w:val="20"/>
        </w:rPr>
        <w:t>principle.The</w:t>
      </w:r>
      <w:proofErr w:type="spellEnd"/>
      <w:r w:rsidRPr="001C2340">
        <w:rPr>
          <w:rFonts w:ascii="Times New Roman" w:hAnsi="Times New Roman" w:cs="Times New Roman"/>
          <w:sz w:val="20"/>
          <w:szCs w:val="20"/>
        </w:rPr>
        <w:t xml:space="preserve"> Uses of Vertically Comparative Legal Reasoning in Regional Human Rights Adjudication, Nomos 2021, pp. 288-289, </w:t>
      </w:r>
      <w:hyperlink r:id="rId4" w:history="1">
        <w:r w:rsidRPr="001C2340">
          <w:rPr>
            <w:rStyle w:val="Hipercze"/>
            <w:rFonts w:ascii="Times New Roman" w:hAnsi="Times New Roman" w:cs="Times New Roman"/>
            <w:sz w:val="20"/>
            <w:szCs w:val="20"/>
          </w:rPr>
          <w:t>https://www.echr.coe.int/documents/d/echr/THEILEN-2020-European_consensus_between_strategy_and_principle</w:t>
        </w:r>
      </w:hyperlink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lastRenderedPageBreak/>
        <w:t>Vachev</w:t>
      </w:r>
      <w:proofErr w:type="spellEnd"/>
      <w:r>
        <w:rPr>
          <w:rFonts w:ascii="Times New Roman" w:hAnsi="Times New Roman" w:cs="Times New Roman"/>
          <w:sz w:val="20"/>
          <w:szCs w:val="20"/>
          <w:lang w:val="pl-PL"/>
        </w:rPr>
        <w:t xml:space="preserve"> V.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>, Racjonalizacja prawa wykroczeń – potrzebna jest reforma (in:)M. Kolendowska-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Matejczuk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, V. 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Vachev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 (ed.), Węzłowe problemy prawa wykroczeń – czy potrzebna jest reforma?, Warszawa 2016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C2340">
        <w:rPr>
          <w:rFonts w:ascii="Times New Roman" w:hAnsi="Times New Roman" w:cs="Times New Roman"/>
          <w:sz w:val="20"/>
          <w:szCs w:val="20"/>
          <w:lang w:val="pl-PL"/>
        </w:rPr>
        <w:t>Waltoś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S.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, Kolizja postępowania karnego i karno-administracyjnego, Palestra 1961, no. 12; 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C2340">
        <w:rPr>
          <w:rFonts w:ascii="Times New Roman" w:hAnsi="Times New Roman" w:cs="Times New Roman"/>
          <w:sz w:val="20"/>
          <w:szCs w:val="20"/>
          <w:lang w:val="pl-PL"/>
        </w:rPr>
        <w:t>Waltoś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S.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, Konsekwencje prawne zbiegu znamion przestępstwa i wykroczenia w czynie społecznie niebezpiecznym, 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PiP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 1970, no. 11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Weyembergh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A.,</w:t>
      </w:r>
      <w:r w:rsidRPr="001C2340">
        <w:rPr>
          <w:rFonts w:ascii="Times New Roman" w:hAnsi="Times New Roman" w:cs="Times New Roman"/>
          <w:sz w:val="20"/>
          <w:szCs w:val="20"/>
        </w:rPr>
        <w:t xml:space="preserve"> Introduction, (in:) Do labels still matter? Blurring boundaries between administrative and criminal law. The influence of the EU, ed. F. Galli, A. </w:t>
      </w:r>
      <w:proofErr w:type="spellStart"/>
      <w:r w:rsidRPr="001C2340">
        <w:rPr>
          <w:rFonts w:ascii="Times New Roman" w:hAnsi="Times New Roman" w:cs="Times New Roman"/>
          <w:sz w:val="20"/>
          <w:szCs w:val="20"/>
        </w:rPr>
        <w:t>Weyembergh</w:t>
      </w:r>
      <w:proofErr w:type="spellEnd"/>
      <w:r w:rsidRPr="001C234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C2340">
        <w:rPr>
          <w:rFonts w:ascii="Times New Roman" w:hAnsi="Times New Roman" w:cs="Times New Roman"/>
          <w:sz w:val="20"/>
          <w:szCs w:val="20"/>
        </w:rPr>
        <w:t>Bruxelles</w:t>
      </w:r>
      <w:proofErr w:type="spellEnd"/>
      <w:r w:rsidRPr="001C2340">
        <w:rPr>
          <w:rFonts w:ascii="Times New Roman" w:hAnsi="Times New Roman" w:cs="Times New Roman"/>
          <w:sz w:val="20"/>
          <w:szCs w:val="20"/>
        </w:rPr>
        <w:t xml:space="preserve"> 2014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C2340">
        <w:rPr>
          <w:rFonts w:ascii="Times New Roman" w:hAnsi="Times New Roman" w:cs="Times New Roman"/>
          <w:sz w:val="20"/>
          <w:szCs w:val="20"/>
          <w:lang w:val="pl-PL"/>
        </w:rPr>
        <w:t>Wierzbowski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M.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, Problem kar administracyjnych w demokratycznym państwie prawnym, 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in:P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. Kardas, T. 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Sroka.W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. Wróbel (ed.), Państwo prawa i prawo karne. Księga jubileuszowa Profesora Andrzeja Zolla, 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vol.I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>, Warszawa 2012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C2340">
        <w:rPr>
          <w:rFonts w:ascii="Times New Roman" w:hAnsi="Times New Roman" w:cs="Times New Roman"/>
          <w:sz w:val="20"/>
          <w:szCs w:val="20"/>
          <w:lang w:val="pl-PL"/>
        </w:rPr>
        <w:t>Witkowska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K.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, Idealny zbieg czynów karalnych w Kodeksie wykroczeń a zasada 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ne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 bis in 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idem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CzPKiNP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  2012, vol.2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C2340">
        <w:rPr>
          <w:rFonts w:ascii="Times New Roman" w:hAnsi="Times New Roman" w:cs="Times New Roman"/>
          <w:sz w:val="20"/>
          <w:szCs w:val="20"/>
          <w:lang w:val="pl-PL"/>
        </w:rPr>
        <w:t>Wróbel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W.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, Zakaz podwójnej karalności i zasada 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ne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 bis in 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idem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 w obszarze przestępstw, wykroczeń oraz deliktów administracyjnych – wybrane zagadnienia, in: J. Godyń, M. Hudzik, 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L.K.Paprzycki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 (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eds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>.), Zagadnienia prawa dowodowego, Warszawa 2011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C2340">
        <w:rPr>
          <w:rFonts w:ascii="Times New Roman" w:hAnsi="Times New Roman" w:cs="Times New Roman"/>
          <w:sz w:val="20"/>
          <w:szCs w:val="20"/>
          <w:lang w:val="pl-PL"/>
        </w:rPr>
        <w:t>Wróblewski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A.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, Wina w odpowiedzialności administracyjnej w aspekcie prawa do sądu w rozumieniu art. 6 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EKPCz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 na przykładzie administracyjnych kar pieniężnych, PWPM 2022, No. 20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C2340">
        <w:rPr>
          <w:rFonts w:ascii="Times New Roman" w:hAnsi="Times New Roman" w:cs="Times New Roman"/>
          <w:sz w:val="20"/>
          <w:szCs w:val="20"/>
          <w:lang w:val="pl-PL"/>
        </w:rPr>
        <w:t>Zientara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A.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, Odpowiedzialność karna i administracyjna za udział w zmowie przetargowej – możliwość podwójnego ukarania, in: M. </w:t>
      </w:r>
      <w:proofErr w:type="spellStart"/>
      <w:r w:rsidRPr="001C2340">
        <w:rPr>
          <w:rFonts w:ascii="Times New Roman" w:hAnsi="Times New Roman" w:cs="Times New Roman"/>
          <w:sz w:val="20"/>
          <w:szCs w:val="20"/>
          <w:lang w:val="pl-PL"/>
        </w:rPr>
        <w:t>Błachucki</w:t>
      </w:r>
      <w:proofErr w:type="spellEnd"/>
      <w:r w:rsidRPr="001C2340">
        <w:rPr>
          <w:rFonts w:ascii="Times New Roman" w:hAnsi="Times New Roman" w:cs="Times New Roman"/>
          <w:sz w:val="20"/>
          <w:szCs w:val="20"/>
          <w:lang w:val="pl-PL"/>
        </w:rPr>
        <w:t xml:space="preserve"> (ed.), Administracyjne kary pieniężne w demokratycznym państwie prawa, Warszawa 2015</w:t>
      </w:r>
    </w:p>
    <w:p w:rsidR="00134025" w:rsidRPr="001C2340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C2340">
        <w:rPr>
          <w:rFonts w:ascii="Times New Roman" w:hAnsi="Times New Roman" w:cs="Times New Roman"/>
          <w:sz w:val="20"/>
          <w:szCs w:val="20"/>
          <w:lang w:val="pl-PL"/>
        </w:rPr>
        <w:t>Żółtek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S.</w:t>
      </w:r>
      <w:r w:rsidRPr="001C2340">
        <w:rPr>
          <w:rFonts w:ascii="Times New Roman" w:hAnsi="Times New Roman" w:cs="Times New Roman"/>
          <w:sz w:val="20"/>
          <w:szCs w:val="20"/>
          <w:lang w:val="pl-PL"/>
        </w:rPr>
        <w:t>, Prawo karne gospodarcze w aspekcie zasady subsydiarności, Warszawa 2009</w:t>
      </w:r>
    </w:p>
    <w:p w:rsidR="00134025" w:rsidRDefault="00134025" w:rsidP="00134025">
      <w:pPr>
        <w:pStyle w:val="Tekstprzypisudolnego"/>
        <w:spacing w:after="0"/>
        <w:ind w:firstLine="0"/>
        <w:rPr>
          <w:rFonts w:cs="Times New Roman"/>
          <w:lang w:val="pl-PL"/>
        </w:rPr>
      </w:pPr>
    </w:p>
    <w:p w:rsidR="00134025" w:rsidRPr="006C39AB" w:rsidRDefault="00134025" w:rsidP="00134025">
      <w:pPr>
        <w:spacing w:after="0" w:line="240" w:lineRule="auto"/>
        <w:jc w:val="both"/>
        <w:rPr>
          <w:rFonts w:ascii="Times New Roman" w:hAnsi="Times New Roman"/>
          <w:smallCaps/>
          <w:sz w:val="20"/>
          <w:szCs w:val="20"/>
        </w:rPr>
      </w:pPr>
      <w:r w:rsidRPr="006C39AB">
        <w:rPr>
          <w:rFonts w:ascii="Times New Roman" w:hAnsi="Times New Roman"/>
          <w:smallCaps/>
          <w:sz w:val="20"/>
          <w:szCs w:val="20"/>
        </w:rPr>
        <w:t>Case law</w:t>
      </w:r>
    </w:p>
    <w:p w:rsidR="00134025" w:rsidRPr="00890F06" w:rsidRDefault="00134025" w:rsidP="00134025">
      <w:pPr>
        <w:pStyle w:val="Tekstprzypisudolnego"/>
        <w:spacing w:after="0"/>
        <w:ind w:firstLine="0"/>
        <w:rPr>
          <w:rFonts w:cs="Times New Roman"/>
        </w:rPr>
      </w:pPr>
    </w:p>
    <w:p w:rsidR="00134025" w:rsidRPr="00890F06" w:rsidRDefault="00134025" w:rsidP="00134025">
      <w:pPr>
        <w:pStyle w:val="Tekstprzypisudolnego"/>
        <w:spacing w:after="0" w:line="360" w:lineRule="auto"/>
        <w:ind w:firstLine="0"/>
        <w:rPr>
          <w:rFonts w:cs="Times New Roman"/>
        </w:rPr>
      </w:pPr>
      <w:r w:rsidRPr="001C2340">
        <w:rPr>
          <w:rFonts w:cs="Times New Roman"/>
        </w:rPr>
        <w:t xml:space="preserve">A </w:t>
      </w:r>
      <w:r w:rsidRPr="00890F06">
        <w:rPr>
          <w:rFonts w:cs="Times New Roman"/>
        </w:rPr>
        <w:t>and B v. Norway [GC], nos.24130/11 and 29758/11, 15 November 2016</w:t>
      </w:r>
    </w:p>
    <w:p w:rsidR="00134025" w:rsidRPr="00890F06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90F06">
        <w:rPr>
          <w:rFonts w:ascii="Times New Roman" w:hAnsi="Times New Roman" w:cs="Times New Roman"/>
          <w:sz w:val="20"/>
          <w:szCs w:val="20"/>
        </w:rPr>
        <w:t>Adolf v. Austria, 26 March 1982, series A no.49</w:t>
      </w:r>
    </w:p>
    <w:p w:rsidR="00134025" w:rsidRPr="00890F06" w:rsidRDefault="00134025" w:rsidP="001340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90F06">
        <w:rPr>
          <w:rFonts w:ascii="Times New Roman" w:hAnsi="Times New Roman" w:cs="Times New Roman"/>
          <w:sz w:val="20"/>
          <w:szCs w:val="20"/>
        </w:rPr>
        <w:t>Bendenoun</w:t>
      </w:r>
      <w:proofErr w:type="spellEnd"/>
      <w:r w:rsidRPr="00890F06">
        <w:rPr>
          <w:rFonts w:ascii="Times New Roman" w:hAnsi="Times New Roman" w:cs="Times New Roman"/>
          <w:sz w:val="20"/>
          <w:szCs w:val="20"/>
        </w:rPr>
        <w:t xml:space="preserve"> v. France, 24 February 1994, Series A no.284</w:t>
      </w:r>
    </w:p>
    <w:p w:rsidR="00134025" w:rsidRPr="00890F06" w:rsidRDefault="00134025" w:rsidP="00134025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Blokhin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v. Russia </w:t>
      </w:r>
      <w:r w:rsidRPr="00FF4405">
        <w:rPr>
          <w:rFonts w:ascii="Times New Roman" w:hAnsi="Times New Roman" w:cs="Times New Roman"/>
          <w:sz w:val="20"/>
          <w:szCs w:val="20"/>
        </w:rPr>
        <w:t>[GC], no. 47152/06, 23 March 2016</w:t>
      </w:r>
    </w:p>
    <w:p w:rsidR="00134025" w:rsidRPr="00890F06" w:rsidRDefault="00134025" w:rsidP="00134025">
      <w:pPr>
        <w:pStyle w:val="Tekstprzypisudolnego"/>
        <w:spacing w:after="0" w:line="360" w:lineRule="auto"/>
        <w:ind w:firstLine="0"/>
        <w:rPr>
          <w:rFonts w:cs="Times New Roman"/>
        </w:rPr>
      </w:pPr>
      <w:r w:rsidRPr="00890F06">
        <w:rPr>
          <w:rFonts w:cs="Times New Roman"/>
        </w:rPr>
        <w:t>Brown v. the United Kingdom (</w:t>
      </w:r>
      <w:proofErr w:type="spellStart"/>
      <w:r w:rsidRPr="00890F06">
        <w:rPr>
          <w:rFonts w:cs="Times New Roman"/>
        </w:rPr>
        <w:t>dec.</w:t>
      </w:r>
      <w:proofErr w:type="spellEnd"/>
      <w:r w:rsidRPr="00890F06">
        <w:rPr>
          <w:rFonts w:cs="Times New Roman"/>
        </w:rPr>
        <w:t>), no.38644/97, 24 November 1998;</w:t>
      </w:r>
    </w:p>
    <w:p w:rsidR="00134025" w:rsidRPr="00890F06" w:rsidRDefault="00134025" w:rsidP="00134025">
      <w:pPr>
        <w:pStyle w:val="Tekstprzypisudolnego"/>
        <w:spacing w:after="0" w:line="360" w:lineRule="auto"/>
        <w:ind w:firstLine="0"/>
        <w:rPr>
          <w:rFonts w:cs="Times New Roman"/>
        </w:rPr>
      </w:pPr>
      <w:r w:rsidRPr="00890F06">
        <w:rPr>
          <w:rFonts w:cs="Times New Roman"/>
        </w:rPr>
        <w:t>Campbell and Fell v. the United Kingdom, 28 June 1984, Series A no.80</w:t>
      </w:r>
    </w:p>
    <w:p w:rsidR="00134025" w:rsidRPr="00890F06" w:rsidRDefault="00134025" w:rsidP="00134025">
      <w:pPr>
        <w:pStyle w:val="Tekstprzypisudolnego"/>
        <w:spacing w:after="0" w:line="360" w:lineRule="auto"/>
        <w:ind w:firstLine="0"/>
        <w:rPr>
          <w:rFonts w:cs="Times New Roman"/>
        </w:rPr>
      </w:pPr>
      <w:proofErr w:type="spellStart"/>
      <w:r w:rsidRPr="00890F06">
        <w:rPr>
          <w:rFonts w:cs="Times New Roman"/>
        </w:rPr>
        <w:t>Demicoli</w:t>
      </w:r>
      <w:proofErr w:type="spellEnd"/>
      <w:r w:rsidRPr="00890F06">
        <w:rPr>
          <w:rFonts w:cs="Times New Roman"/>
        </w:rPr>
        <w:t xml:space="preserve"> v. Malta, 27 August 1991, Series A no.210</w:t>
      </w:r>
    </w:p>
    <w:p w:rsidR="00134025" w:rsidRPr="00890F06" w:rsidRDefault="00134025" w:rsidP="00134025">
      <w:pPr>
        <w:pStyle w:val="Tekstprzypisudolnego"/>
        <w:spacing w:after="0" w:line="360" w:lineRule="auto"/>
        <w:ind w:firstLine="0"/>
        <w:rPr>
          <w:rFonts w:cs="Times New Roman"/>
        </w:rPr>
      </w:pPr>
      <w:r w:rsidRPr="00890F06">
        <w:rPr>
          <w:rFonts w:cs="Times New Roman"/>
        </w:rPr>
        <w:t>Engel and Others v. the Netherlands, 8 June 1976, Series A no.22</w:t>
      </w:r>
    </w:p>
    <w:p w:rsidR="00134025" w:rsidRPr="00890F06" w:rsidRDefault="00134025" w:rsidP="00134025">
      <w:pPr>
        <w:pStyle w:val="Tekstprzypisudolnego"/>
        <w:spacing w:after="0" w:line="360" w:lineRule="auto"/>
        <w:ind w:firstLine="0"/>
        <w:rPr>
          <w:rFonts w:cs="Times New Roman"/>
        </w:rPr>
      </w:pPr>
      <w:proofErr w:type="spellStart"/>
      <w:r w:rsidRPr="00890F06">
        <w:rPr>
          <w:rFonts w:cs="Times New Roman"/>
        </w:rPr>
        <w:t>Escoubet</w:t>
      </w:r>
      <w:proofErr w:type="spellEnd"/>
      <w:r w:rsidRPr="00890F06">
        <w:rPr>
          <w:rFonts w:cs="Times New Roman"/>
        </w:rPr>
        <w:t xml:space="preserve"> v. Belgium, no.26780/95</w:t>
      </w:r>
    </w:p>
    <w:p w:rsidR="00134025" w:rsidRPr="00890F06" w:rsidRDefault="00134025" w:rsidP="00134025">
      <w:pPr>
        <w:pStyle w:val="Tekstprzypisudolnego"/>
        <w:spacing w:after="0" w:line="360" w:lineRule="auto"/>
        <w:ind w:firstLine="0"/>
        <w:rPr>
          <w:rFonts w:cs="Times New Roman"/>
        </w:rPr>
      </w:pPr>
      <w:proofErr w:type="spellStart"/>
      <w:r w:rsidRPr="00890F06">
        <w:rPr>
          <w:rFonts w:cs="Times New Roman"/>
        </w:rPr>
        <w:t>Gestur</w:t>
      </w:r>
      <w:proofErr w:type="spellEnd"/>
      <w:r w:rsidRPr="00890F06">
        <w:rPr>
          <w:rFonts w:cs="Times New Roman"/>
        </w:rPr>
        <w:t xml:space="preserve"> </w:t>
      </w:r>
      <w:proofErr w:type="spellStart"/>
      <w:r w:rsidRPr="00890F06">
        <w:rPr>
          <w:rFonts w:cs="Times New Roman"/>
        </w:rPr>
        <w:t>Jónsson</w:t>
      </w:r>
      <w:proofErr w:type="spellEnd"/>
      <w:r w:rsidRPr="00890F06">
        <w:rPr>
          <w:rFonts w:cs="Times New Roman"/>
        </w:rPr>
        <w:t xml:space="preserve"> and Ragnar </w:t>
      </w:r>
      <w:proofErr w:type="spellStart"/>
      <w:r w:rsidRPr="00890F06">
        <w:rPr>
          <w:rFonts w:cs="Times New Roman"/>
        </w:rPr>
        <w:t>Ha</w:t>
      </w:r>
      <w:r>
        <w:rPr>
          <w:rFonts w:cs="Times New Roman"/>
        </w:rPr>
        <w:t>lldór</w:t>
      </w:r>
      <w:proofErr w:type="spellEnd"/>
      <w:r>
        <w:rPr>
          <w:rFonts w:cs="Times New Roman"/>
        </w:rPr>
        <w:t xml:space="preserve"> Hall v. Iceland [GC]</w:t>
      </w:r>
      <w:r>
        <w:t>, nos. 68273/14 and 68271/14, 22 December 2020</w:t>
      </w:r>
    </w:p>
    <w:p w:rsidR="00134025" w:rsidRPr="00890F06" w:rsidRDefault="00134025" w:rsidP="00134025">
      <w:pPr>
        <w:pStyle w:val="Tekstprzypisudolnego"/>
        <w:spacing w:after="0" w:line="360" w:lineRule="auto"/>
        <w:ind w:firstLine="0"/>
        <w:rPr>
          <w:rFonts w:cs="Times New Roman"/>
        </w:rPr>
      </w:pPr>
      <w:r w:rsidRPr="00890F06">
        <w:rPr>
          <w:rFonts w:cs="Times New Roman"/>
        </w:rPr>
        <w:t>Glantz v. Finland, Application no. 37394/11, ECtHR 20.5.2014</w:t>
      </w:r>
    </w:p>
    <w:p w:rsidR="00134025" w:rsidRPr="00890F06" w:rsidRDefault="00134025" w:rsidP="00134025">
      <w:pPr>
        <w:pStyle w:val="Tekstprzypisudolnego"/>
        <w:spacing w:after="0" w:line="360" w:lineRule="auto"/>
        <w:ind w:firstLine="0"/>
        <w:rPr>
          <w:rFonts w:cs="Times New Roman"/>
        </w:rPr>
      </w:pPr>
      <w:proofErr w:type="spellStart"/>
      <w:r w:rsidRPr="00890F06">
        <w:rPr>
          <w:rFonts w:cs="Times New Roman"/>
        </w:rPr>
        <w:t>Haarvig</w:t>
      </w:r>
      <w:proofErr w:type="spellEnd"/>
      <w:r w:rsidRPr="00890F06">
        <w:rPr>
          <w:rFonts w:cs="Times New Roman"/>
        </w:rPr>
        <w:t xml:space="preserve"> v Norway</w:t>
      </w:r>
      <w:r>
        <w:rPr>
          <w:rFonts w:cs="Times New Roman"/>
        </w:rPr>
        <w:t>,</w:t>
      </w:r>
      <w:r w:rsidRPr="00890F06">
        <w:rPr>
          <w:rFonts w:cs="Times New Roman"/>
        </w:rPr>
        <w:t xml:space="preserve"> App no 1118</w:t>
      </w:r>
      <w:r>
        <w:rPr>
          <w:rFonts w:cs="Times New Roman"/>
        </w:rPr>
        <w:t>7/ 05</w:t>
      </w:r>
      <w:r w:rsidRPr="00890F06">
        <w:rPr>
          <w:rFonts w:cs="Times New Roman"/>
        </w:rPr>
        <w:t xml:space="preserve"> </w:t>
      </w:r>
    </w:p>
    <w:p w:rsidR="00134025" w:rsidRPr="00890F06" w:rsidRDefault="00134025" w:rsidP="00134025">
      <w:pPr>
        <w:pStyle w:val="Tekstprzypisudolnego"/>
        <w:spacing w:after="0" w:line="360" w:lineRule="auto"/>
        <w:ind w:firstLine="0"/>
        <w:rPr>
          <w:rFonts w:cs="Times New Roman"/>
        </w:rPr>
      </w:pPr>
      <w:proofErr w:type="spellStart"/>
      <w:r w:rsidRPr="00890F06">
        <w:rPr>
          <w:rFonts w:cs="Times New Roman"/>
        </w:rPr>
        <w:t>Jussila</w:t>
      </w:r>
      <w:proofErr w:type="spellEnd"/>
      <w:r w:rsidRPr="00890F06">
        <w:rPr>
          <w:rFonts w:cs="Times New Roman"/>
        </w:rPr>
        <w:t xml:space="preserve"> v. Finland [GC], no.73053/01, ECHR 2006-XIV</w:t>
      </w:r>
    </w:p>
    <w:p w:rsidR="00134025" w:rsidRPr="00890F06" w:rsidRDefault="00134025" w:rsidP="00134025">
      <w:pPr>
        <w:pStyle w:val="Tekstprzypisudolnego"/>
        <w:spacing w:after="0" w:line="360" w:lineRule="auto"/>
        <w:ind w:firstLine="0"/>
        <w:rPr>
          <w:rFonts w:cs="Times New Roman"/>
        </w:rPr>
      </w:pPr>
      <w:proofErr w:type="spellStart"/>
      <w:r w:rsidRPr="00890F06">
        <w:rPr>
          <w:rFonts w:cs="Times New Roman"/>
        </w:rPr>
        <w:t>Lauko</w:t>
      </w:r>
      <w:proofErr w:type="spellEnd"/>
      <w:r w:rsidRPr="00890F06">
        <w:rPr>
          <w:rFonts w:cs="Times New Roman"/>
        </w:rPr>
        <w:t xml:space="preserve"> v. Slovakia, 2 September 1998</w:t>
      </w:r>
      <w:r>
        <w:t>, Reports of Judgments and Decisions 1998-VI</w:t>
      </w:r>
    </w:p>
    <w:p w:rsidR="00134025" w:rsidRPr="00890F06" w:rsidRDefault="00134025" w:rsidP="00134025">
      <w:pPr>
        <w:pStyle w:val="Tekstprzypisudolnego"/>
        <w:spacing w:after="0" w:line="360" w:lineRule="auto"/>
        <w:ind w:firstLine="0"/>
        <w:rPr>
          <w:rFonts w:cs="Times New Roman"/>
        </w:rPr>
      </w:pPr>
      <w:proofErr w:type="spellStart"/>
      <w:r w:rsidRPr="00890F06">
        <w:rPr>
          <w:rFonts w:cs="Times New Roman"/>
        </w:rPr>
        <w:t>Malige</w:t>
      </w:r>
      <w:proofErr w:type="spellEnd"/>
      <w:r w:rsidRPr="00890F06">
        <w:rPr>
          <w:rFonts w:cs="Times New Roman"/>
        </w:rPr>
        <w:t xml:space="preserve"> v. France, 23 September 1998, Reports of Judgments and Decisions 1998-VII</w:t>
      </w:r>
    </w:p>
    <w:p w:rsidR="00134025" w:rsidRPr="00890F06" w:rsidRDefault="00134025" w:rsidP="00134025">
      <w:pPr>
        <w:pStyle w:val="Tekstprzypisudolnego"/>
        <w:spacing w:after="0" w:line="360" w:lineRule="auto"/>
        <w:ind w:firstLine="0"/>
        <w:rPr>
          <w:rFonts w:cs="Times New Roman"/>
        </w:rPr>
      </w:pPr>
      <w:proofErr w:type="spellStart"/>
      <w:r w:rsidRPr="00890F06">
        <w:rPr>
          <w:rFonts w:cs="Times New Roman"/>
        </w:rPr>
        <w:t>Matyjek</w:t>
      </w:r>
      <w:proofErr w:type="spellEnd"/>
      <w:r w:rsidRPr="00890F06">
        <w:rPr>
          <w:rFonts w:cs="Times New Roman"/>
        </w:rPr>
        <w:t xml:space="preserve"> v. Poland, no.38184/03, 24 April 2007</w:t>
      </w:r>
    </w:p>
    <w:p w:rsidR="00134025" w:rsidRPr="00890F06" w:rsidRDefault="00134025" w:rsidP="00134025">
      <w:pPr>
        <w:pStyle w:val="Tekstprzypisudolnego"/>
        <w:spacing w:after="0" w:line="360" w:lineRule="auto"/>
        <w:ind w:firstLine="0"/>
        <w:rPr>
          <w:rFonts w:cs="Times New Roman"/>
        </w:rPr>
      </w:pPr>
      <w:proofErr w:type="spellStart"/>
      <w:r w:rsidRPr="00890F06">
        <w:rPr>
          <w:rFonts w:cs="Times New Roman"/>
        </w:rPr>
        <w:t>Öztürk</w:t>
      </w:r>
      <w:proofErr w:type="spellEnd"/>
      <w:r w:rsidRPr="00890F06">
        <w:rPr>
          <w:rFonts w:cs="Times New Roman"/>
        </w:rPr>
        <w:t xml:space="preserve"> v. Germany, </w:t>
      </w:r>
      <w:r>
        <w:t>21 February 1984, Series A no. 73</w:t>
      </w:r>
    </w:p>
    <w:p w:rsidR="00134025" w:rsidRPr="00890F06" w:rsidRDefault="00134025" w:rsidP="00134025">
      <w:pPr>
        <w:pStyle w:val="Tekstprzypisudolnego"/>
        <w:spacing w:after="0" w:line="360" w:lineRule="auto"/>
        <w:ind w:firstLine="0"/>
        <w:rPr>
          <w:rFonts w:cs="Times New Roman"/>
        </w:rPr>
      </w:pPr>
      <w:proofErr w:type="spellStart"/>
      <w:r w:rsidRPr="00890F06">
        <w:rPr>
          <w:rFonts w:cs="Times New Roman"/>
        </w:rPr>
        <w:lastRenderedPageBreak/>
        <w:t>Produkcija</w:t>
      </w:r>
      <w:proofErr w:type="spellEnd"/>
      <w:r w:rsidRPr="00890F06">
        <w:rPr>
          <w:rFonts w:cs="Times New Roman"/>
        </w:rPr>
        <w:t xml:space="preserve"> Plus </w:t>
      </w:r>
      <w:proofErr w:type="spellStart"/>
      <w:r w:rsidRPr="00890F06">
        <w:rPr>
          <w:rFonts w:cs="Times New Roman"/>
        </w:rPr>
        <w:t>Storitveno</w:t>
      </w:r>
      <w:proofErr w:type="spellEnd"/>
      <w:r w:rsidRPr="00890F06"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podjetje</w:t>
      </w:r>
      <w:proofErr w:type="spellEnd"/>
      <w:r>
        <w:rPr>
          <w:rFonts w:cs="Times New Roman"/>
        </w:rPr>
        <w:t xml:space="preserve"> d.o.o. v. Slovenia, </w:t>
      </w:r>
      <w:r>
        <w:t>no. 47072/15, 23 October 201</w:t>
      </w:r>
      <w:r w:rsidRPr="00890F06">
        <w:rPr>
          <w:rFonts w:cs="Times New Roman"/>
        </w:rPr>
        <w:t>8</w:t>
      </w:r>
    </w:p>
    <w:p w:rsidR="00134025" w:rsidRPr="00890F06" w:rsidRDefault="00134025" w:rsidP="00134025">
      <w:pPr>
        <w:pStyle w:val="Tekstprzypisudolnego"/>
        <w:spacing w:after="0" w:line="360" w:lineRule="auto"/>
        <w:ind w:firstLine="0"/>
        <w:rPr>
          <w:rFonts w:cs="Times New Roman"/>
        </w:rPr>
      </w:pPr>
      <w:r w:rsidRPr="00890F06">
        <w:rPr>
          <w:rFonts w:cs="Times New Roman"/>
        </w:rPr>
        <w:t xml:space="preserve">Société </w:t>
      </w:r>
      <w:proofErr w:type="spellStart"/>
      <w:r w:rsidRPr="00890F06">
        <w:rPr>
          <w:rFonts w:cs="Times New Roman"/>
        </w:rPr>
        <w:t>Oxygène</w:t>
      </w:r>
      <w:proofErr w:type="spellEnd"/>
      <w:r w:rsidRPr="00890F06">
        <w:rPr>
          <w:rFonts w:cs="Times New Roman"/>
        </w:rPr>
        <w:t xml:space="preserve"> Plus v. France (</w:t>
      </w:r>
      <w:proofErr w:type="spellStart"/>
      <w:r w:rsidRPr="00890F06">
        <w:rPr>
          <w:rFonts w:cs="Times New Roman"/>
        </w:rPr>
        <w:t>dec.</w:t>
      </w:r>
      <w:proofErr w:type="spellEnd"/>
      <w:r w:rsidRPr="00890F06">
        <w:rPr>
          <w:rFonts w:cs="Times New Roman"/>
        </w:rPr>
        <w:t>), no.76959/11, 17 May 2016,</w:t>
      </w:r>
    </w:p>
    <w:p w:rsidR="00134025" w:rsidRPr="00890F06" w:rsidRDefault="00134025" w:rsidP="00134025">
      <w:pPr>
        <w:pStyle w:val="Tekstprzypisudolnego"/>
        <w:spacing w:after="0" w:line="360" w:lineRule="auto"/>
        <w:ind w:firstLine="0"/>
        <w:rPr>
          <w:rFonts w:cs="Times New Roman"/>
        </w:rPr>
      </w:pPr>
      <w:proofErr w:type="spellStart"/>
      <w:r w:rsidRPr="00890F06">
        <w:rPr>
          <w:rFonts w:cs="Times New Roman"/>
        </w:rPr>
        <w:t>Storbråten</w:t>
      </w:r>
      <w:proofErr w:type="spellEnd"/>
      <w:r w:rsidRPr="00890F06">
        <w:rPr>
          <w:rFonts w:cs="Times New Roman"/>
        </w:rPr>
        <w:t xml:space="preserve"> v. Norway (</w:t>
      </w:r>
      <w:proofErr w:type="spellStart"/>
      <w:r w:rsidRPr="00890F06">
        <w:rPr>
          <w:rFonts w:cs="Times New Roman"/>
        </w:rPr>
        <w:t>dec.</w:t>
      </w:r>
      <w:proofErr w:type="spellEnd"/>
      <w:r w:rsidRPr="00890F06">
        <w:rPr>
          <w:rFonts w:cs="Times New Roman"/>
        </w:rPr>
        <w:t>), no.12277/04, 11.02.2007</w:t>
      </w:r>
    </w:p>
    <w:p w:rsidR="00134025" w:rsidRPr="00890F06" w:rsidRDefault="00134025" w:rsidP="00134025">
      <w:pPr>
        <w:pStyle w:val="Tekstprzypisudolnego"/>
        <w:spacing w:after="0" w:line="360" w:lineRule="auto"/>
        <w:ind w:firstLine="0"/>
        <w:rPr>
          <w:rFonts w:cs="Times New Roman"/>
        </w:rPr>
      </w:pPr>
      <w:r w:rsidRPr="00890F06">
        <w:rPr>
          <w:rFonts w:cs="Times New Roman"/>
        </w:rPr>
        <w:t>Weber v. Switzerland,</w:t>
      </w:r>
      <w:r>
        <w:rPr>
          <w:rFonts w:cs="Times New Roman"/>
        </w:rPr>
        <w:t>22 May</w:t>
      </w:r>
      <w:r w:rsidRPr="00890F06">
        <w:rPr>
          <w:rFonts w:cs="Times New Roman"/>
        </w:rPr>
        <w:t>1990</w:t>
      </w:r>
      <w:r>
        <w:rPr>
          <w:rFonts w:cs="Times New Roman"/>
        </w:rPr>
        <w:t>, no. 11034/84</w:t>
      </w:r>
    </w:p>
    <w:p w:rsidR="00134025" w:rsidRPr="00890F06" w:rsidRDefault="00134025" w:rsidP="00134025">
      <w:pPr>
        <w:pStyle w:val="Tekstprzypisudolnego"/>
        <w:spacing w:after="0" w:line="360" w:lineRule="auto"/>
        <w:ind w:firstLine="0"/>
        <w:rPr>
          <w:rFonts w:cs="Times New Roman"/>
        </w:rPr>
      </w:pPr>
      <w:r w:rsidRPr="00890F06">
        <w:rPr>
          <w:rFonts w:cs="Times New Roman"/>
        </w:rPr>
        <w:t xml:space="preserve">Sergey </w:t>
      </w:r>
      <w:proofErr w:type="spellStart"/>
      <w:r w:rsidRPr="00890F06">
        <w:rPr>
          <w:rFonts w:cs="Times New Roman"/>
        </w:rPr>
        <w:t>Zolotukhin</w:t>
      </w:r>
      <w:proofErr w:type="spellEnd"/>
      <w:r w:rsidRPr="00890F06">
        <w:rPr>
          <w:rFonts w:cs="Times New Roman"/>
        </w:rPr>
        <w:t xml:space="preserve"> v. Russia [GC], no.14939/03, ECHR 2009</w:t>
      </w:r>
    </w:p>
    <w:p w:rsidR="00134025" w:rsidRPr="00890F06" w:rsidRDefault="00134025" w:rsidP="00134025">
      <w:pPr>
        <w:pStyle w:val="Tekstprzypisudolnego"/>
        <w:spacing w:after="0" w:line="360" w:lineRule="auto"/>
        <w:ind w:firstLine="0"/>
        <w:rPr>
          <w:rFonts w:cs="Times New Roman"/>
        </w:rPr>
      </w:pPr>
      <w:proofErr w:type="spellStart"/>
      <w:r w:rsidRPr="00890F06">
        <w:rPr>
          <w:rFonts w:cs="Times New Roman"/>
        </w:rPr>
        <w:t>Žaja</w:t>
      </w:r>
      <w:proofErr w:type="spellEnd"/>
      <w:r w:rsidRPr="00890F06">
        <w:rPr>
          <w:rFonts w:cs="Times New Roman"/>
        </w:rPr>
        <w:t xml:space="preserve"> v. Croatia, no.37462/09, 4 October 2016,</w:t>
      </w:r>
    </w:p>
    <w:p w:rsidR="00134025" w:rsidRPr="00890F06" w:rsidRDefault="00134025" w:rsidP="00134025">
      <w:pPr>
        <w:pStyle w:val="Tekstprzypisudolnego"/>
        <w:spacing w:after="0" w:line="360" w:lineRule="auto"/>
        <w:ind w:firstLine="0"/>
        <w:rPr>
          <w:rFonts w:cs="Times New Roman"/>
        </w:rPr>
      </w:pPr>
      <w:r w:rsidRPr="00890F06">
        <w:rPr>
          <w:rFonts w:cs="Times New Roman"/>
        </w:rPr>
        <w:t xml:space="preserve">Judgement TK  29.4.1998 r., K 17/97, OTK 1998, No. 3, pos. 30; </w:t>
      </w:r>
    </w:p>
    <w:p w:rsidR="00134025" w:rsidRPr="00890F06" w:rsidRDefault="00134025" w:rsidP="00134025">
      <w:pPr>
        <w:pStyle w:val="Tekstprzypisudolnego"/>
        <w:spacing w:after="0" w:line="360" w:lineRule="auto"/>
        <w:ind w:firstLine="0"/>
        <w:rPr>
          <w:rFonts w:cs="Times New Roman"/>
        </w:rPr>
      </w:pPr>
      <w:r w:rsidRPr="00890F06">
        <w:rPr>
          <w:rFonts w:cs="Times New Roman"/>
        </w:rPr>
        <w:t>Judgement TK 4.9.2007 r., P 43/06, OTK-A 2007, No. 8, pos. 95;</w:t>
      </w:r>
    </w:p>
    <w:p w:rsidR="00134025" w:rsidRPr="00890F06" w:rsidRDefault="00134025" w:rsidP="00134025">
      <w:pPr>
        <w:pStyle w:val="Tekstprzypisudolnego"/>
        <w:spacing w:after="0" w:line="360" w:lineRule="auto"/>
        <w:ind w:firstLine="0"/>
        <w:rPr>
          <w:rFonts w:cs="Times New Roman"/>
        </w:rPr>
      </w:pPr>
      <w:r w:rsidRPr="00890F06">
        <w:rPr>
          <w:rFonts w:cs="Times New Roman"/>
        </w:rPr>
        <w:t>Judgement TK 15.4.2008 r., P 26/06, OTK-A 2008, No. 3, pos. 42</w:t>
      </w:r>
    </w:p>
    <w:p w:rsidR="00134025" w:rsidRPr="00890F06" w:rsidRDefault="00134025" w:rsidP="00134025">
      <w:pPr>
        <w:pStyle w:val="Tekstprzypisudolnego"/>
        <w:spacing w:after="0" w:line="360" w:lineRule="auto"/>
        <w:ind w:firstLine="0"/>
        <w:rPr>
          <w:rFonts w:cs="Times New Roman"/>
        </w:rPr>
      </w:pPr>
      <w:r w:rsidRPr="00890F06">
        <w:rPr>
          <w:rFonts w:cs="Times New Roman"/>
        </w:rPr>
        <w:t>Judgement TK 18.11.2010 r., P 29/09, OTK-A 2010, No. 9, pos. 104</w:t>
      </w:r>
    </w:p>
    <w:p w:rsidR="00134025" w:rsidRPr="00890F06" w:rsidRDefault="00134025" w:rsidP="00134025">
      <w:pPr>
        <w:pStyle w:val="Tekstprzypisudolnego"/>
        <w:spacing w:after="0" w:line="360" w:lineRule="auto"/>
        <w:ind w:firstLine="0"/>
        <w:rPr>
          <w:rFonts w:cs="Times New Roman"/>
        </w:rPr>
      </w:pPr>
      <w:r w:rsidRPr="00890F06">
        <w:rPr>
          <w:rFonts w:cs="Times New Roman"/>
        </w:rPr>
        <w:t>Judgement TK  21.10.2015 r., P 32/12,Dz.U. 2015, pos. 1742</w:t>
      </w:r>
    </w:p>
    <w:p w:rsidR="00134025" w:rsidRPr="00890F06" w:rsidRDefault="00134025" w:rsidP="00134025">
      <w:pPr>
        <w:pStyle w:val="Tekstprzypisudolnego"/>
        <w:spacing w:after="0" w:line="360" w:lineRule="auto"/>
        <w:ind w:firstLine="0"/>
        <w:rPr>
          <w:rFonts w:cs="Times New Roman"/>
        </w:rPr>
      </w:pPr>
      <w:r w:rsidRPr="00890F06">
        <w:rPr>
          <w:rFonts w:cs="Times New Roman"/>
        </w:rPr>
        <w:t>Judgement TK 11.10.2016 r., K 24/15, OTK-A 2016, pos. 77</w:t>
      </w:r>
    </w:p>
    <w:p w:rsidR="00134025" w:rsidRPr="00890F06" w:rsidRDefault="00134025" w:rsidP="00134025">
      <w:pPr>
        <w:pStyle w:val="Tekstprzypisudolnego"/>
        <w:spacing w:after="0" w:line="360" w:lineRule="auto"/>
        <w:ind w:firstLine="0"/>
        <w:rPr>
          <w:rFonts w:cs="Times New Roman"/>
        </w:rPr>
      </w:pPr>
      <w:r w:rsidRPr="00890F06">
        <w:rPr>
          <w:rFonts w:cs="Times New Roman"/>
        </w:rPr>
        <w:t xml:space="preserve">Judgement TK 1.12.2016 r., K 45/14; </w:t>
      </w:r>
      <w:proofErr w:type="spellStart"/>
      <w:r w:rsidRPr="00890F06">
        <w:rPr>
          <w:rFonts w:cs="Times New Roman"/>
        </w:rPr>
        <w:t>Dz.U</w:t>
      </w:r>
      <w:proofErr w:type="spellEnd"/>
      <w:r w:rsidRPr="00890F06">
        <w:rPr>
          <w:rFonts w:cs="Times New Roman"/>
        </w:rPr>
        <w:t>. 2016, pos. 220.</w:t>
      </w:r>
    </w:p>
    <w:p w:rsidR="00134025" w:rsidRPr="00890F06" w:rsidRDefault="00134025" w:rsidP="00134025">
      <w:pPr>
        <w:pStyle w:val="Tekstprzypisudolnego"/>
        <w:spacing w:after="0" w:line="360" w:lineRule="auto"/>
        <w:ind w:firstLine="0"/>
        <w:rPr>
          <w:rFonts w:cs="Times New Roman"/>
        </w:rPr>
      </w:pPr>
      <w:r w:rsidRPr="00890F06">
        <w:rPr>
          <w:rFonts w:cs="Times New Roman"/>
        </w:rPr>
        <w:t xml:space="preserve">Judgement TK  20.06.2017 r., P 124/15, </w:t>
      </w:r>
      <w:proofErr w:type="spellStart"/>
      <w:r w:rsidRPr="00890F06">
        <w:rPr>
          <w:rFonts w:cs="Times New Roman"/>
        </w:rPr>
        <w:t>Dz.U</w:t>
      </w:r>
      <w:proofErr w:type="spellEnd"/>
      <w:r w:rsidRPr="00890F06">
        <w:rPr>
          <w:rFonts w:cs="Times New Roman"/>
        </w:rPr>
        <w:t>. 2017, pos. 1214</w:t>
      </w:r>
    </w:p>
    <w:p w:rsidR="00B9663A" w:rsidRDefault="00B9663A">
      <w:bookmarkStart w:id="0" w:name="_GoBack"/>
      <w:bookmarkEnd w:id="0"/>
    </w:p>
    <w:sectPr w:rsidR="00B96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25"/>
    <w:rsid w:val="00134025"/>
    <w:rsid w:val="00B9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B5747-DDBB-43CD-A4F4-7FBE36D9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402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34025"/>
    <w:rPr>
      <w:u w:val="single"/>
    </w:rPr>
  </w:style>
  <w:style w:type="paragraph" w:styleId="Tekstprzypisudolnego">
    <w:name w:val="footnote text"/>
    <w:aliases w:val="Przypis a,FA,FA Fußnotentext,Podrozdział,Podrozdzia3,Footnote,Schriftart: 9 pt,Schriftart: 10 pt,Schriftart: 8 pt,o,Footnote text,Tekst przypisu Znak Znak Znak Znak,Tekst przypisu Znak Znak Znak Znak Znak Char,fußn,Fußnote"/>
    <w:link w:val="TekstprzypisudolnegoZnak"/>
    <w:rsid w:val="00134025"/>
    <w:pPr>
      <w:pBdr>
        <w:top w:val="nil"/>
        <w:left w:val="nil"/>
        <w:bottom w:val="nil"/>
        <w:right w:val="nil"/>
        <w:between w:val="nil"/>
        <w:bar w:val="nil"/>
      </w:pBdr>
      <w:spacing w:after="120"/>
      <w:ind w:firstLine="720"/>
      <w:jc w:val="both"/>
    </w:pPr>
    <w:rPr>
      <w:rFonts w:ascii="Times New Roman" w:eastAsia="Arial Unicode MS" w:hAnsi="Times New Roman" w:cs="Arial Unicode MS"/>
      <w:color w:val="000000"/>
      <w:kern w:val="20"/>
      <w:sz w:val="20"/>
      <w:szCs w:val="20"/>
      <w:u w:color="000000"/>
      <w:bdr w:val="nil"/>
      <w:lang w:val="en-US" w:eastAsia="pl-PL"/>
    </w:rPr>
  </w:style>
  <w:style w:type="character" w:customStyle="1" w:styleId="TekstprzypisudolnegoZnak">
    <w:name w:val="Tekst przypisu dolnego Znak"/>
    <w:aliases w:val="Przypis a Znak,FA Znak,FA Fußnotentext Znak,Podrozdział Znak,Podrozdzia3 Znak,Footnote Znak,Schriftart: 9 pt Znak,Schriftart: 10 pt Znak,Schriftart: 8 pt Znak,o Znak,Footnote text Znak,Tekst przypisu Znak Znak Znak Znak Znak"/>
    <w:basedOn w:val="Domylnaczcionkaakapitu"/>
    <w:link w:val="Tekstprzypisudolnego"/>
    <w:rsid w:val="00134025"/>
    <w:rPr>
      <w:rFonts w:ascii="Times New Roman" w:eastAsia="Arial Unicode MS" w:hAnsi="Times New Roman" w:cs="Arial Unicode MS"/>
      <w:color w:val="000000"/>
      <w:kern w:val="20"/>
      <w:sz w:val="20"/>
      <w:szCs w:val="20"/>
      <w:u w:color="000000"/>
      <w:bdr w:val="nil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chr.coe.int/documents/d/echr/THEILEN-2020-European_consensus_between_strategy_and_principl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1828</Words>
  <Characters>10974</Characters>
  <Application>Microsoft Office Word</Application>
  <DocSecurity>0</DocSecurity>
  <Lines>91</Lines>
  <Paragraphs>25</Paragraphs>
  <ScaleCrop>false</ScaleCrop>
  <Company/>
  <LinksUpToDate>false</LinksUpToDate>
  <CharactersWithSpaces>12777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UMCS</dc:creator>
  <cp:keywords/>
  <dc:description/>
  <cp:lastModifiedBy>UMCS</cp:lastModifiedBy>
  <cp:revision>1</cp:revision>
  <dcterms:created xsi:type="dcterms:W3CDTF">2024-03-26T07:28:00Z</dcterms:created>
  <dcterms:modified xsi:type="dcterms:W3CDTF">2024-03-26T07:28:00Z</dcterms:modified>
</cp:coreProperties>
</file>